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Suria Hamza</w:t>
              </w:r>
            </w:hyperlink>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80"/>
              <w:spacing w:after="0"/>
              <w:rPr>
                <w:sz w:val="20"/>
                <w:szCs w:val="20"/>
                <w:color w:val="auto"/>
              </w:rPr>
            </w:pPr>
            <w:r>
              <w:rPr>
                <w:rFonts w:ascii="Arial" w:cs="Arial" w:eastAsia="Arial" w:hAnsi="Arial"/>
                <w:sz w:val="14"/>
                <w:szCs w:val="14"/>
                <w:color w:val="auto"/>
              </w:rPr>
              <w:t>(First)</w:t>
            </w:r>
          </w:p>
        </w:tc>
        <w:tc>
          <w:tcPr>
            <w:tcW w:w="1580" w:type="dxa"/>
            <w:vAlign w:val="bottom"/>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20" w:type="dxa"/>
            <w:vAlign w:val="bottom"/>
            <w:gridSpan w:val="3"/>
            <w:vMerge w:val="restart"/>
          </w:tcPr>
          <w:p>
            <w:pPr>
              <w:spacing w:after="0"/>
              <w:rPr>
                <w:sz w:val="20"/>
                <w:szCs w:val="20"/>
                <w:color w:val="auto"/>
              </w:rPr>
            </w:pPr>
            <w:r>
              <w:rPr>
                <w:rFonts w:ascii="Arial" w:cs="Arial" w:eastAsia="Arial" w:hAnsi="Arial"/>
                <w:sz w:val="18"/>
                <w:szCs w:val="18"/>
                <w:color w:val="0000FF"/>
              </w:rPr>
              <w:t>C/O ANAPTYSBIO, INC.</w:t>
            </w:r>
          </w:p>
        </w:tc>
        <w:tc>
          <w:tcPr>
            <w:tcW w:w="1580" w:type="dxa"/>
            <w:vAlign w:val="bottom"/>
          </w:tcPr>
          <w:p>
            <w:pPr>
              <w:spacing w:after="0"/>
              <w:rPr>
                <w:sz w:val="19"/>
                <w:szCs w:val="19"/>
                <w:color w:val="auto"/>
              </w:rPr>
            </w:pPr>
          </w:p>
        </w:tc>
        <w:tc>
          <w:tcPr>
            <w:tcW w:w="1940" w:type="dxa"/>
            <w:vAlign w:val="bottom"/>
            <w:gridSpan w:val="3"/>
          </w:tcPr>
          <w:p>
            <w:pPr>
              <w:ind w:left="160"/>
              <w:spacing w:after="0"/>
              <w:rPr>
                <w:sz w:val="20"/>
                <w:szCs w:val="20"/>
                <w:color w:val="auto"/>
              </w:rPr>
            </w:pPr>
            <w:r>
              <w:rPr>
                <w:rFonts w:ascii="Arial" w:cs="Arial" w:eastAsia="Arial" w:hAnsi="Arial"/>
                <w:sz w:val="18"/>
                <w:szCs w:val="18"/>
                <w:color w:val="0000FF"/>
              </w:rPr>
              <w:t>06/10/2019</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CEO</w:t>
      </w:r>
    </w:p>
    <w:p>
      <w:pPr>
        <w:spacing w:after="0" w:line="409" w:lineRule="exact"/>
        <w:rPr>
          <w:sz w:val="20"/>
          <w:szCs w:val="20"/>
          <w:color w:val="auto"/>
        </w:rPr>
      </w:pPr>
    </w:p>
    <w:p>
      <w:pPr>
        <w:sectPr>
          <w:pgSz w:w="11900" w:h="16838" w:orient="portrait"/>
          <w:cols w:equalWidth="0" w:num="2">
            <w:col w:w="7980" w:space="77"/>
            <w:col w:w="3363"/>
          </w:cols>
          <w:pgMar w:left="240" w:top="226" w:right="239" w:bottom="5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DIEGO</w:t>
            </w:r>
          </w:p>
        </w:tc>
        <w:tc>
          <w:tcPr>
            <w:tcW w:w="1000" w:type="dxa"/>
            <w:vAlign w:val="bottom"/>
          </w:tcPr>
          <w:p>
            <w:pPr>
              <w:ind w:left="1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92121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5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06/10/2019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8,540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72.6446</w:t>
            </w:r>
            <w:r>
              <w:rPr>
                <w:rFonts w:ascii="Arial" w:cs="Arial" w:eastAsia="Arial" w:hAnsi="Arial"/>
                <w:sz w:val="22"/>
                <w:szCs w:val="22"/>
                <w:color w:val="008000"/>
                <w:w w:val="85"/>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31,524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06/10/2019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6,440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73.7014</w:t>
            </w:r>
            <w:r>
              <w:rPr>
                <w:rFonts w:ascii="Arial" w:cs="Arial" w:eastAsia="Arial" w:hAnsi="Arial"/>
                <w:sz w:val="22"/>
                <w:szCs w:val="22"/>
                <w:color w:val="008000"/>
                <w:w w:val="85"/>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25,084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06/10/2019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74.6825</w:t>
            </w:r>
            <w:r>
              <w:rPr>
                <w:rFonts w:ascii="Arial" w:cs="Arial" w:eastAsia="Arial" w:hAnsi="Arial"/>
                <w:sz w:val="22"/>
                <w:szCs w:val="22"/>
                <w:color w:val="008000"/>
                <w:w w:val="85"/>
                <w:vertAlign w:val="superscript"/>
              </w:rPr>
              <w:t>(4)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20,084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06/10/2019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1,994</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75.863</w:t>
            </w:r>
            <w:r>
              <w:rPr>
                <w:rFonts w:ascii="Arial" w:cs="Arial" w:eastAsia="Arial" w:hAnsi="Arial"/>
                <w:sz w:val="22"/>
                <w:szCs w:val="22"/>
                <w:color w:val="008000"/>
                <w:w w:val="86"/>
                <w:vertAlign w:val="superscript"/>
              </w:rPr>
              <w:t>(5)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18,090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06/10/2019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454</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76.31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17,636</w:t>
            </w:r>
            <w:r>
              <w:rPr>
                <w:rFonts w:ascii="Arial" w:cs="Arial" w:eastAsia="Arial" w:hAnsi="Arial"/>
                <w:sz w:val="22"/>
                <w:szCs w:val="22"/>
                <w:color w:val="008000"/>
                <w:w w:val="84"/>
                <w:vertAlign w:val="superscript"/>
              </w:rPr>
              <w:t>(6)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on this Form 4 were effected pursuant to a 10b5-1 trading plan adopted by the reporting person.</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price in Column 4 is a weighted average price. These shares were sold in multiple transactions at prices ranging from $72.16 to $73.15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price in Column 4 is a weighted average price. These shares were sold in multiple transactions at prices ranging from $73.20 to $74.15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price in Column 4 is a weighted average price. These shares were sold in multiple transactions at prices ranging from $74.20 to $75.12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price in Column 4 is a weighted average price. These shares were sold in multiple transactions at prices ranging from $75.24 to $76.13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also holds options to purchase up to an aggregate of 878,838 shares of common stock, which options vest according to their terms, in addition to the 17,636 shares of common stock held directly as set forth in Table I above.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/s/Eric Loumeau, attorney-in-</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06/12/2019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2019-12-24T04:38:28Z</dcterms:created>
  <dcterms:modified xsi:type="dcterms:W3CDTF">2019-12-24T04:38:28Z</dcterms:modified>
</cp:coreProperties>
</file>