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20" w:type="dxa"/>
            <w:vAlign w:val="bottom"/>
          </w:tcPr>
          <w:p>
            <w:pPr>
              <w:jc w:val="center"/>
              <w:ind w:right="19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20" w:type="dxa"/>
            <w:vAlign w:val="bottom"/>
            <w:vMerge w:val="restart"/>
          </w:tcPr>
          <w:p>
            <w:pPr>
              <w:jc w:val="center"/>
              <w:ind w:right="19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jc w:val="center"/>
              <w:ind w:right="19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620" w:type="dxa"/>
            <w:vAlign w:val="bottom"/>
            <w:vMerge w:val="restart"/>
          </w:tcPr>
          <w:p>
            <w:pPr>
              <w:jc w:val="center"/>
              <w:ind w:right="19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5547360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-1721485</wp:posOffset>
            </wp:positionH>
            <wp:positionV relativeFrom="paragraph">
              <wp:posOffset>21590</wp:posOffset>
            </wp:positionV>
            <wp:extent cx="7388860" cy="5280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88860" cy="528002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380" w:space="320"/>
            <w:col w:w="8900"/>
          </w:cols>
          <w:pgMar w:left="160" w:top="14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60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20" w:type="dxa"/>
            <w:vAlign w:val="bottom"/>
            <w:gridSpan w:val="2"/>
            <w:vMerge w:val="restart"/>
          </w:tcPr>
          <w:p>
            <w:pPr>
              <w:spacing w:after="0"/>
              <w:rPr>
                <w:rFonts w:ascii="Arial" w:cs="Arial" w:eastAsia="Arial" w:hAnsi="Arial"/>
                <w:sz w:val="22"/>
                <w:szCs w:val="22"/>
                <w:color w:val="0000EE"/>
                <w:w w:val="94"/>
              </w:rPr>
            </w:pPr>
            <w:hyperlink r:id="rId12">
              <w:r>
                <w:rPr>
                  <w:rFonts w:ascii="Arial" w:cs="Arial" w:eastAsia="Arial" w:hAnsi="Arial"/>
                  <w:sz w:val="22"/>
                  <w:szCs w:val="22"/>
                  <w:color w:val="0000EE"/>
                  <w:w w:val="94"/>
                </w:rPr>
                <w:t>Suria Hamza</w:t>
              </w:r>
            </w:hyperlink>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ANAPTYSBIO,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Borders>
              <w:top w:val="single" w:sz="8" w:color="0000EE"/>
            </w:tcBorders>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560" w:type="dxa"/>
            <w:vAlign w:val="bottom"/>
            <w:gridSpan w:val="3"/>
            <w:vMerge w:val="restart"/>
          </w:tcPr>
          <w:p>
            <w:pPr>
              <w:spacing w:after="0"/>
              <w:rPr>
                <w:sz w:val="20"/>
                <w:szCs w:val="20"/>
                <w:color w:val="auto"/>
              </w:rPr>
            </w:pPr>
            <w:r>
              <w:rPr>
                <w:rFonts w:ascii="Arial" w:cs="Arial" w:eastAsia="Arial" w:hAnsi="Arial"/>
                <w:sz w:val="18"/>
                <w:szCs w:val="18"/>
                <w:color w:val="0000FF"/>
              </w:rPr>
              <w:t>C/O ANAPTYSBIO, INC.</w:t>
            </w:r>
          </w:p>
        </w:tc>
        <w:tc>
          <w:tcPr>
            <w:tcW w:w="1260" w:type="dxa"/>
            <w:vAlign w:val="bottom"/>
          </w:tcPr>
          <w:p>
            <w:pPr>
              <w:spacing w:after="0"/>
              <w:rPr>
                <w:sz w:val="19"/>
                <w:szCs w:val="19"/>
                <w:color w:val="auto"/>
              </w:rPr>
            </w:pPr>
          </w:p>
        </w:tc>
        <w:tc>
          <w:tcPr>
            <w:tcW w:w="2020" w:type="dxa"/>
            <w:vAlign w:val="bottom"/>
            <w:gridSpan w:val="3"/>
          </w:tcPr>
          <w:p>
            <w:pPr>
              <w:ind w:left="180"/>
              <w:spacing w:after="0"/>
              <w:rPr>
                <w:sz w:val="20"/>
                <w:szCs w:val="20"/>
                <w:color w:val="auto"/>
              </w:rPr>
            </w:pPr>
            <w:r>
              <w:rPr>
                <w:rFonts w:ascii="Arial" w:cs="Arial" w:eastAsia="Arial" w:hAnsi="Arial"/>
                <w:sz w:val="18"/>
                <w:szCs w:val="18"/>
                <w:color w:val="0000FF"/>
              </w:rPr>
              <w:t>11/22/2019</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6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10421 PACIFIC CENTER COURT, SUITE 200</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5" w:right="620" w:hanging="5"/>
        <w:spacing w:after="0" w:line="258"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8" w:lineRule="exact"/>
        <w:rPr>
          <w:sz w:val="20"/>
          <w:szCs w:val="20"/>
          <w:color w:val="auto"/>
        </w:rPr>
      </w:pPr>
    </w:p>
    <w:tbl>
      <w:tblPr>
        <w:tblLayout w:type="fixed"/>
        <w:tblInd w:w="205"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115"/>
        <w:spacing w:after="0"/>
        <w:rPr>
          <w:sz w:val="20"/>
          <w:szCs w:val="20"/>
          <w:color w:val="auto"/>
        </w:rPr>
      </w:pPr>
      <w:r>
        <w:rPr>
          <w:rFonts w:ascii="Arial" w:cs="Arial" w:eastAsia="Arial" w:hAnsi="Arial"/>
          <w:sz w:val="18"/>
          <w:szCs w:val="18"/>
          <w:color w:val="0000FF"/>
        </w:rPr>
        <w:t>President, CEO</w:t>
      </w:r>
    </w:p>
    <w:p>
      <w:pPr>
        <w:spacing w:after="0" w:line="420" w:lineRule="exact"/>
        <w:rPr>
          <w:sz w:val="20"/>
          <w:szCs w:val="20"/>
          <w:color w:val="auto"/>
        </w:rPr>
      </w:pPr>
    </w:p>
    <w:p>
      <w:pPr>
        <w:sectPr>
          <w:pgSz w:w="11900" w:h="16838" w:orient="portrait"/>
          <w:cols w:equalWidth="0" w:num="2">
            <w:col w:w="8060" w:space="75"/>
            <w:col w:w="3465"/>
          </w:cols>
          <w:pgMar w:left="160" w:top="146" w:right="139" w:bottom="1440"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1"/>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SAN DIEGO</w:t>
            </w:r>
          </w:p>
        </w:tc>
        <w:tc>
          <w:tcPr>
            <w:tcW w:w="1020" w:type="dxa"/>
            <w:vAlign w:val="bottom"/>
          </w:tcPr>
          <w:p>
            <w:pPr>
              <w:ind w:left="180"/>
              <w:spacing w:after="0"/>
              <w:rPr>
                <w:sz w:val="20"/>
                <w:szCs w:val="20"/>
                <w:color w:val="auto"/>
              </w:rPr>
            </w:pPr>
            <w:r>
              <w:rPr>
                <w:rFonts w:ascii="Arial" w:cs="Arial" w:eastAsia="Arial" w:hAnsi="Arial"/>
                <w:sz w:val="18"/>
                <w:szCs w:val="18"/>
                <w:color w:val="0000FF"/>
              </w:rPr>
              <w:t>CA</w:t>
            </w:r>
          </w:p>
        </w:tc>
        <w:tc>
          <w:tcPr>
            <w:tcW w:w="1680" w:type="dxa"/>
            <w:vAlign w:val="bottom"/>
          </w:tcPr>
          <w:p>
            <w:pPr>
              <w:ind w:left="440"/>
              <w:spacing w:after="0"/>
              <w:rPr>
                <w:sz w:val="20"/>
                <w:szCs w:val="20"/>
                <w:color w:val="auto"/>
              </w:rPr>
            </w:pPr>
            <w:r>
              <w:rPr>
                <w:rFonts w:ascii="Arial" w:cs="Arial" w:eastAsia="Arial" w:hAnsi="Arial"/>
                <w:sz w:val="18"/>
                <w:szCs w:val="18"/>
                <w:color w:val="0000FF"/>
              </w:rPr>
              <w:t>92121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40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20"/>
        <w:spacing w:after="0"/>
        <w:rPr>
          <w:sz w:val="20"/>
          <w:szCs w:val="20"/>
          <w:color w:val="auto"/>
        </w:rPr>
      </w:pPr>
      <w:r>
        <w:rPr>
          <w:rFonts w:ascii="Arial" w:cs="Arial" w:eastAsia="Arial" w:hAnsi="Arial"/>
          <w:sz w:val="13"/>
          <w:szCs w:val="13"/>
          <w:color w:val="auto"/>
        </w:rPr>
        <w:t>Line)</w:t>
      </w:r>
    </w:p>
    <w:p>
      <w:pPr>
        <w:ind w:left="4220"/>
        <w:spacing w:after="0" w:line="224" w:lineRule="auto"/>
        <w:tabs>
          <w:tab w:leader="none" w:pos="45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5"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372" w:lineRule="exact"/>
        <w:rPr>
          <w:sz w:val="20"/>
          <w:szCs w:val="20"/>
          <w:color w:val="auto"/>
        </w:rPr>
      </w:pPr>
    </w:p>
    <w:p>
      <w:pPr>
        <w:sectPr>
          <w:pgSz w:w="11900" w:h="16838" w:orient="portrait"/>
          <w:cols w:equalWidth="0" w:num="2">
            <w:col w:w="3940" w:space="180"/>
            <w:col w:w="7480"/>
          </w:cols>
          <w:pgMar w:left="160" w:top="146" w:right="1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6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8"/>
                <w:szCs w:val="18"/>
                <w:color w:val="0000FF"/>
              </w:rPr>
              <w:t>11/22/2019</w:t>
            </w: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0000FF"/>
                <w:w w:val="90"/>
              </w:rPr>
              <w:t>10,000</w:t>
            </w:r>
          </w:p>
        </w:tc>
        <w:tc>
          <w:tcPr>
            <w:tcW w:w="580" w:type="dxa"/>
            <w:vAlign w:val="bottom"/>
          </w:tcPr>
          <w:p>
            <w:pPr>
              <w:ind w:left="360"/>
              <w:spacing w:after="0"/>
              <w:rPr>
                <w:sz w:val="20"/>
                <w:szCs w:val="20"/>
                <w:color w:val="auto"/>
              </w:rPr>
            </w:pPr>
            <w:r>
              <w:rPr>
                <w:rFonts w:ascii="Arial" w:cs="Arial" w:eastAsia="Arial" w:hAnsi="Arial"/>
                <w:sz w:val="18"/>
                <w:szCs w:val="18"/>
                <w:color w:val="0000FF"/>
              </w:rPr>
              <w:t>A</w:t>
            </w:r>
          </w:p>
        </w:tc>
        <w:tc>
          <w:tcPr>
            <w:tcW w:w="760" w:type="dxa"/>
            <w:vAlign w:val="bottom"/>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1.12</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27,636</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6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ind w:left="7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9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8"/>
                <w:szCs w:val="18"/>
                <w:color w:val="0000FF"/>
                <w:w w:val="98"/>
              </w:rPr>
              <w:t>10,000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40"/>
              <w:spacing w:after="0"/>
              <w:rPr>
                <w:sz w:val="20"/>
                <w:szCs w:val="20"/>
                <w:color w:val="auto"/>
              </w:rPr>
            </w:pPr>
            <w:r>
              <w:rPr>
                <w:rFonts w:ascii="Arial" w:cs="Arial" w:eastAsia="Arial" w:hAnsi="Arial"/>
                <w:sz w:val="13"/>
                <w:szCs w:val="13"/>
                <w:color w:val="0000FF"/>
                <w:w w:val="83"/>
              </w:rPr>
              <w:t>60,361</w:t>
            </w:r>
            <w:r>
              <w:rPr>
                <w:rFonts w:ascii="Arial" w:cs="Arial" w:eastAsia="Arial" w:hAnsi="Arial"/>
                <w:sz w:val="22"/>
                <w:szCs w:val="22"/>
                <w:color w:val="008000"/>
                <w:w w:val="83"/>
                <w:vertAlign w:val="superscript"/>
              </w:rPr>
              <w:t>(2)</w:t>
            </w: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20" w:type="dxa"/>
            <w:vAlign w:val="bottom"/>
          </w:tcPr>
          <w:p>
            <w:pPr>
              <w:ind w:left="2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1.12</w:t>
            </w:r>
          </w:p>
        </w:tc>
        <w:tc>
          <w:tcPr>
            <w:tcW w:w="1080" w:type="dxa"/>
            <w:vAlign w:val="bottom"/>
          </w:tcPr>
          <w:p>
            <w:pPr>
              <w:jc w:val="right"/>
              <w:ind w:right="138"/>
              <w:spacing w:after="0" w:line="146" w:lineRule="exact"/>
              <w:rPr>
                <w:sz w:val="20"/>
                <w:szCs w:val="20"/>
                <w:color w:val="auto"/>
              </w:rPr>
            </w:pPr>
            <w:r>
              <w:rPr>
                <w:rFonts w:ascii="Arial" w:cs="Arial" w:eastAsia="Arial" w:hAnsi="Arial"/>
                <w:sz w:val="13"/>
                <w:szCs w:val="13"/>
                <w:color w:val="0000FF"/>
              </w:rPr>
              <w:t>11/22/2019</w:t>
            </w:r>
          </w:p>
        </w:tc>
        <w:tc>
          <w:tcPr>
            <w:tcW w:w="1180" w:type="dxa"/>
            <w:vAlign w:val="bottom"/>
          </w:tcPr>
          <w:p>
            <w:pPr>
              <w:spacing w:after="0"/>
              <w:rPr>
                <w:sz w:val="12"/>
                <w:szCs w:val="12"/>
                <w:color w:val="auto"/>
              </w:rPr>
            </w:pPr>
          </w:p>
        </w:tc>
        <w:tc>
          <w:tcPr>
            <w:tcW w:w="780" w:type="dxa"/>
            <w:vAlign w:val="bottom"/>
          </w:tcPr>
          <w:p>
            <w:pPr>
              <w:ind w:left="180"/>
              <w:spacing w:after="0" w:line="146" w:lineRule="exact"/>
              <w:rPr>
                <w:sz w:val="20"/>
                <w:szCs w:val="20"/>
                <w:color w:val="auto"/>
              </w:rPr>
            </w:pPr>
            <w:r>
              <w:rPr>
                <w:rFonts w:ascii="Arial" w:cs="Arial" w:eastAsia="Arial" w:hAnsi="Arial"/>
                <w:sz w:val="13"/>
                <w:szCs w:val="13"/>
                <w:color w:val="0000FF"/>
              </w:rPr>
              <w:t>M</w:t>
            </w:r>
          </w:p>
        </w:tc>
        <w:tc>
          <w:tcPr>
            <w:tcW w:w="960" w:type="dxa"/>
            <w:vAlign w:val="bottom"/>
          </w:tcPr>
          <w:p>
            <w:pPr>
              <w:ind w:left="460"/>
              <w:spacing w:after="0" w:line="146" w:lineRule="exact"/>
              <w:rPr>
                <w:sz w:val="20"/>
                <w:szCs w:val="20"/>
                <w:color w:val="auto"/>
              </w:rPr>
            </w:pPr>
            <w:r>
              <w:rPr>
                <w:rFonts w:ascii="Arial" w:cs="Arial" w:eastAsia="Arial" w:hAnsi="Arial"/>
                <w:sz w:val="13"/>
                <w:szCs w:val="13"/>
                <w:color w:val="0000FF"/>
              </w:rPr>
              <w:t>10,000</w:t>
            </w:r>
          </w:p>
        </w:tc>
        <w:tc>
          <w:tcPr>
            <w:tcW w:w="800" w:type="dxa"/>
            <w:vAlign w:val="bottom"/>
            <w:gridSpan w:val="2"/>
            <w:vMerge w:val="continue"/>
          </w:tcPr>
          <w:p>
            <w:pPr>
              <w:spacing w:after="0"/>
              <w:rPr>
                <w:sz w:val="12"/>
                <w:szCs w:val="12"/>
                <w:color w:val="auto"/>
              </w:rPr>
            </w:pPr>
          </w:p>
        </w:tc>
        <w:tc>
          <w:tcPr>
            <w:tcW w:w="740" w:type="dxa"/>
            <w:vAlign w:val="bottom"/>
            <w:gridSpan w:val="2"/>
          </w:tcPr>
          <w:p>
            <w:pPr>
              <w:ind w:left="40"/>
              <w:spacing w:after="0" w:line="146" w:lineRule="exact"/>
              <w:rPr>
                <w:sz w:val="20"/>
                <w:szCs w:val="20"/>
                <w:color w:val="auto"/>
              </w:rPr>
            </w:pPr>
            <w:r>
              <w:rPr>
                <w:rFonts w:ascii="Arial" w:cs="Arial" w:eastAsia="Arial" w:hAnsi="Arial"/>
                <w:sz w:val="13"/>
                <w:szCs w:val="13"/>
                <w:color w:val="0000FF"/>
              </w:rPr>
              <w:t>12/08/2021</w:t>
            </w: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40" w:type="dxa"/>
            <w:vAlign w:val="bottom"/>
            <w:vMerge w:val="continue"/>
          </w:tcPr>
          <w:p>
            <w:pPr>
              <w:spacing w:after="0"/>
              <w:rPr>
                <w:sz w:val="12"/>
                <w:szCs w:val="12"/>
                <w:color w:val="auto"/>
              </w:rPr>
            </w:pPr>
          </w:p>
        </w:tc>
        <w:tc>
          <w:tcPr>
            <w:tcW w:w="960" w:type="dxa"/>
            <w:vAlign w:val="bottom"/>
          </w:tcPr>
          <w:p>
            <w:pPr>
              <w:ind w:left="560"/>
              <w:spacing w:after="0" w:line="146"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is fully vested and immediately exercisable.</w:t>
      </w:r>
    </w:p>
    <w:p>
      <w:pPr>
        <w:spacing w:after="0" w:line="53" w:lineRule="exact"/>
        <w:rPr>
          <w:rFonts w:ascii="Arial" w:cs="Arial" w:eastAsia="Arial" w:hAnsi="Arial"/>
          <w:sz w:val="13"/>
          <w:szCs w:val="13"/>
          <w:color w:val="008000"/>
        </w:rPr>
      </w:pPr>
    </w:p>
    <w:p>
      <w:pPr>
        <w:ind w:left="40" w:right="2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60,361 shares of common stock as set forth in Table II above, the Reporting Person also holds (i) additional options to purchase up to an aggregate of 808,477 shares of common stock, which options vest according to their terms, and (ii) 27,636 shares of common stock held directly.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94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color w:val="0000FF"/>
                <w:w w:val="99"/>
              </w:rPr>
              <w:t>/s/Eric Loumeau, attorney-in-</w:t>
            </w: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11/25/2019</w:t>
            </w: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80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0"/>
          <w:szCs w:val="20"/>
          <w:color w:val="auto"/>
        </w:rPr>
      </w:pPr>
    </w:p>
    <w:p>
      <w:pPr>
        <w:jc w:val="both"/>
        <w:ind w:left="40" w:right="3760" w:firstLine="8"/>
        <w:spacing w:after="0" w:line="323" w:lineRule="auto"/>
        <w:tabs>
          <w:tab w:leader="none" w:pos="183"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600"/>
      </w:cols>
      <w:pgMar w:left="160" w:top="14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file:///cgi-bin/browse-edgar?action=getcompany&amp;CIK=0001654495" TargetMode="External"/><Relationship Id="rId13" Type="http://schemas.openxmlformats.org/officeDocument/2006/relationships/hyperlink" Target="file:///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2019-11-26T13:21:30Z</dcterms:created>
  <dcterms:modified xsi:type="dcterms:W3CDTF">2019-11-26T13:21:30Z</dcterms:modified>
</cp:coreProperties>
</file>