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January 26, 2017</w:t>
      </w:r>
    </w:p>
    <w:p>
      <w:pPr>
        <w:spacing w:after="0" w:line="27"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6908800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w:t>
      </w:r>
      <w:r>
        <w:rPr>
          <w:rFonts w:ascii="Arial" w:cs="Arial" w:eastAsia="Arial" w:hAnsi="Arial"/>
          <w:sz w:val="36"/>
          <w:szCs w:val="36"/>
          <w:b w:val="1"/>
          <w:bCs w:val="1"/>
          <w:color w:val="auto"/>
        </w:rPr>
        <w:t>NAPTYS</w:t>
      </w:r>
      <w:r>
        <w:rPr>
          <w:rFonts w:ascii="Arial" w:cs="Arial" w:eastAsia="Arial" w:hAnsi="Arial"/>
          <w:sz w:val="43"/>
          <w:szCs w:val="43"/>
          <w:b w:val="1"/>
          <w:bCs w:val="1"/>
          <w:color w:val="auto"/>
        </w:rPr>
        <w:t>B</w:t>
      </w:r>
      <w:r>
        <w:rPr>
          <w:rFonts w:ascii="Arial" w:cs="Arial" w:eastAsia="Arial" w:hAnsi="Arial"/>
          <w:sz w:val="36"/>
          <w:szCs w:val="36"/>
          <w:b w:val="1"/>
          <w:bCs w:val="1"/>
          <w:color w:val="auto"/>
        </w:rPr>
        <w:t>IO</w:t>
      </w:r>
      <w:r>
        <w:rPr>
          <w:rFonts w:ascii="Arial" w:cs="Arial" w:eastAsia="Arial" w:hAnsi="Arial"/>
          <w:sz w:val="43"/>
          <w:szCs w:val="43"/>
          <w:b w:val="1"/>
          <w:bCs w:val="1"/>
          <w:color w:val="auto"/>
        </w:rPr>
        <w:t>, I</w:t>
      </w:r>
      <w:r>
        <w:rPr>
          <w:rFonts w:ascii="Arial" w:cs="Arial" w:eastAsia="Arial" w:hAnsi="Arial"/>
          <w:sz w:val="36"/>
          <w:szCs w:val="36"/>
          <w:b w:val="1"/>
          <w:bCs w:val="1"/>
          <w:color w:val="auto"/>
        </w:rPr>
        <w:t>NC</w:t>
      </w:r>
      <w:r>
        <w:rPr>
          <w:rFonts w:ascii="Arial" w:cs="Arial" w:eastAsia="Arial" w:hAnsi="Arial"/>
          <w:sz w:val="43"/>
          <w:szCs w:val="43"/>
          <w:b w:val="1"/>
          <w:bCs w:val="1"/>
          <w:color w:val="auto"/>
        </w:rPr>
        <w:t>.</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39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1982"/>
              <w:spacing w:after="0"/>
              <w:rPr>
                <w:sz w:val="20"/>
                <w:szCs w:val="20"/>
                <w:color w:val="auto"/>
              </w:rPr>
            </w:pPr>
            <w:r>
              <w:rPr>
                <w:rFonts w:ascii="Arial" w:cs="Arial" w:eastAsia="Arial" w:hAnsi="Arial"/>
                <w:sz w:val="18"/>
                <w:szCs w:val="18"/>
                <w:b w:val="1"/>
                <w:bCs w:val="1"/>
                <w:color w:val="auto"/>
                <w:w w:val="89"/>
              </w:rPr>
              <w:t>20-3828755</w:t>
            </w:r>
          </w:p>
        </w:tc>
      </w:tr>
      <w:tr>
        <w:trPr>
          <w:trHeight w:val="149"/>
        </w:trPr>
        <w:tc>
          <w:tcPr>
            <w:tcW w:w="3920" w:type="dxa"/>
            <w:vAlign w:val="bottom"/>
          </w:tcPr>
          <w:p>
            <w:pPr>
              <w:jc w:val="center"/>
              <w:ind w:right="19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2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20" w:type="dxa"/>
            <w:vAlign w:val="bottom"/>
          </w:tcPr>
          <w:p>
            <w:pPr>
              <w:jc w:val="center"/>
              <w:ind w:right="1962"/>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jc w:val="center"/>
              <w:ind w:left="1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2006 Equity Incentive Plan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2017 Equity Incentive Plan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2017 Employee Stock Purchase Plan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Hamza Suria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10421 Pacific Center Court, Suite 200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(858) 362-6295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Please send copies of all communications to:</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Robert A. Freedman,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Fenwick &amp; West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555 California Street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(415) 875-2300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420"/>
          </w:cols>
          <w:pgMar w:left="240" w:top="229" w:right="239" w:bottom="1440" w:gutter="0" w:footer="0" w:header="0"/>
        </w:sectPr>
      </w:pPr>
    </w:p>
    <w:p>
      <w:pPr>
        <w:spacing w:after="0" w:line="197" w:lineRule="exact"/>
        <w:rPr>
          <w:sz w:val="24"/>
          <w:szCs w:val="24"/>
          <w:color w:val="auto"/>
        </w:rPr>
      </w:pPr>
    </w:p>
    <w:p>
      <w:pPr>
        <w:spacing w:after="0" w:line="483"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700" w:space="340"/>
            <w:col w:w="160" w:space="80"/>
            <w:col w:w="5760" w:space="720"/>
            <w:col w:w="2060" w:space="440"/>
            <w:col w:w="16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252095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0"/>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Each Class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16"/>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6"/>
              </w:rPr>
              <w:t>Per Unit</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6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 Outstanding under the Amended and Restated 2006 Equity</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Incentive Plan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2,049,163(2)</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8"/>
                <w:szCs w:val="18"/>
                <w:color w:val="auto"/>
                <w:w w:val="92"/>
              </w:rPr>
              <w:t>$4.92(4)</w:t>
            </w:r>
          </w:p>
        </w:tc>
        <w:tc>
          <w:tcPr>
            <w:tcW w:w="16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89"/>
              </w:rPr>
              <w:t>$10,081,882</w:t>
            </w:r>
          </w:p>
        </w:tc>
        <w:tc>
          <w:tcPr>
            <w:tcW w:w="15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0"/>
              </w:rPr>
              <w:t>$1,169</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To be issued under the 2017 Equity Incentive Plan</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1,955,506(3)</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8"/>
                <w:szCs w:val="18"/>
                <w:color w:val="auto"/>
                <w:w w:val="90"/>
              </w:rPr>
              <w:t>$15.00(5)</w:t>
            </w:r>
          </w:p>
        </w:tc>
        <w:tc>
          <w:tcPr>
            <w:tcW w:w="1600" w:type="dxa"/>
            <w:vAlign w:val="bottom"/>
            <w:tcBorders>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89"/>
              </w:rPr>
              <w:t>$29,332,590</w:t>
            </w:r>
          </w:p>
        </w:tc>
        <w:tc>
          <w:tcPr>
            <w:tcW w:w="1560" w:type="dxa"/>
            <w:vAlign w:val="bottom"/>
            <w:tcBorders>
              <w:bottom w:val="single" w:sz="8" w:color="auto"/>
            </w:tcBorders>
          </w:tcPr>
          <w:p>
            <w:pPr>
              <w:jc w:val="center"/>
              <w:ind w:left="16"/>
              <w:spacing w:after="0"/>
              <w:rPr>
                <w:sz w:val="20"/>
                <w:szCs w:val="20"/>
                <w:color w:val="auto"/>
              </w:rPr>
            </w:pPr>
            <w:r>
              <w:rPr>
                <w:rFonts w:ascii="Arial" w:cs="Arial" w:eastAsia="Arial" w:hAnsi="Arial"/>
                <w:sz w:val="18"/>
                <w:szCs w:val="18"/>
                <w:color w:val="auto"/>
                <w:w w:val="90"/>
              </w:rPr>
              <w:t>$3,400</w:t>
            </w:r>
          </w:p>
        </w:tc>
        <w:tc>
          <w:tcPr>
            <w:tcW w:w="0" w:type="dxa"/>
            <w:vAlign w:val="bottom"/>
          </w:tcPr>
          <w:p>
            <w:pPr>
              <w:spacing w:after="0"/>
              <w:rPr>
                <w:sz w:val="1"/>
                <w:szCs w:val="1"/>
                <w:color w:val="auto"/>
              </w:rPr>
            </w:pPr>
          </w:p>
        </w:tc>
      </w:tr>
      <w:tr>
        <w:trPr>
          <w:trHeight w:val="210"/>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9"/>
              </w:rPr>
              <w:t>-- To be issued under the 2017 Employee Stock Purchase Plan</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218,000</w:t>
            </w:r>
          </w:p>
        </w:tc>
        <w:tc>
          <w:tcPr>
            <w:tcW w:w="1600" w:type="dxa"/>
            <w:vAlign w:val="bottom"/>
            <w:tcBorders>
              <w:right w:val="single" w:sz="8" w:color="auto"/>
            </w:tcBorders>
          </w:tcPr>
          <w:p>
            <w:pPr>
              <w:jc w:val="center"/>
              <w:ind w:left="22"/>
              <w:spacing w:after="0"/>
              <w:rPr>
                <w:sz w:val="20"/>
                <w:szCs w:val="20"/>
                <w:color w:val="auto"/>
              </w:rPr>
            </w:pPr>
            <w:r>
              <w:rPr>
                <w:rFonts w:ascii="Arial" w:cs="Arial" w:eastAsia="Arial" w:hAnsi="Arial"/>
                <w:sz w:val="18"/>
                <w:szCs w:val="18"/>
                <w:color w:val="auto"/>
                <w:w w:val="90"/>
              </w:rPr>
              <w:t>$12.75(6)</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$2,779,500</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4,222,669</w:t>
            </w:r>
          </w:p>
        </w:tc>
        <w:tc>
          <w:tcPr>
            <w:tcW w:w="1600" w:type="dxa"/>
            <w:vAlign w:val="bottom"/>
            <w:tcBorders>
              <w:top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center"/>
              <w:ind w:left="20"/>
              <w:spacing w:after="0"/>
              <w:rPr>
                <w:sz w:val="20"/>
                <w:szCs w:val="20"/>
                <w:color w:val="auto"/>
              </w:rPr>
            </w:pPr>
            <w:r>
              <w:rPr>
                <w:rFonts w:ascii="Arial" w:cs="Arial" w:eastAsia="Arial" w:hAnsi="Arial"/>
                <w:sz w:val="18"/>
                <w:szCs w:val="18"/>
                <w:color w:val="auto"/>
                <w:w w:val="89"/>
              </w:rPr>
              <w:t>$42,193,972</w:t>
            </w:r>
          </w:p>
        </w:tc>
        <w:tc>
          <w:tcPr>
            <w:tcW w:w="1560" w:type="dxa"/>
            <w:vAlign w:val="bottom"/>
            <w:tcBorders>
              <w:top w:val="single" w:sz="8" w:color="auto"/>
              <w:bottom w:val="single" w:sz="8" w:color="auto"/>
            </w:tcBorders>
          </w:tcPr>
          <w:p>
            <w:pPr>
              <w:jc w:val="center"/>
              <w:ind w:left="16"/>
              <w:spacing w:after="0"/>
              <w:rPr>
                <w:sz w:val="20"/>
                <w:szCs w:val="20"/>
                <w:color w:val="auto"/>
              </w:rPr>
            </w:pPr>
            <w:r>
              <w:rPr>
                <w:rFonts w:ascii="Arial" w:cs="Arial" w:eastAsia="Arial" w:hAnsi="Arial"/>
                <w:sz w:val="18"/>
                <w:szCs w:val="18"/>
                <w:color w:val="auto"/>
                <w:w w:val="90"/>
              </w:rPr>
              <w:t>$4,892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40" w:hanging="452"/>
        <w:spacing w:after="0" w:line="28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under the 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this Registration Statement shall also cover any additional shares of the Registrant’s common stock that becomes issuable under the Registrant’s Amended and Restated 2006 Equity Incentive Plan, 2017 Equity Incentive Plan or 2017 Employee Stock Purchase Plan by reason of any stock dividend, stock split, recapitalization or other similar transaction effected without the receipt of consideration that increases the number of the Registrant’s outstanding shares of common stock.</w:t>
      </w:r>
    </w:p>
    <w:p>
      <w:pPr>
        <w:ind w:left="460" w:right="32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Shares of common stock reserved for issuance pursuant to outstanding stock option awards under the Amended and Restated 2006 Equity Incentive Plan.</w:t>
      </w:r>
    </w:p>
    <w:p>
      <w:pPr>
        <w:ind w:left="460" w:right="2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Shares of common stock reserved for issuance under the 2017 Equity Incentive Plan consists of (a) 1,647,163 shares of common stock reserved for future issuance under the 2017 Equity Incentive Plan and (b) 308,343 shares of common stock previously reserved but unissued under the Amended and Restated 2006 Equity Incentive Plan on the effective date of the 2017 Equity Incentive Plan that are now available for issuance under the 2017 Equity Incentive Plan. Any shares subject to outstanding awards under the Amended and Restated 2006 Equity Incentive Plan that are issuable upon the exercise of options that expire without having been exercised in full, are forfeited or repurchased by us at the original purchase price or are used to pay the exercise price or withholding obligations related to any award will be available for future grant and issuance under the 2017 Equity Incentive Plan.</w:t>
      </w:r>
    </w:p>
    <w:p>
      <w:pPr>
        <w:spacing w:after="0" w:line="4" w:lineRule="exact"/>
        <w:rPr>
          <w:rFonts w:ascii="Arial" w:cs="Arial" w:eastAsia="Arial" w:hAnsi="Arial"/>
          <w:sz w:val="16"/>
          <w:szCs w:val="16"/>
          <w:color w:val="auto"/>
        </w:rPr>
      </w:pPr>
    </w:p>
    <w:p>
      <w:pPr>
        <w:ind w:left="460" w:right="6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457(h) under the Securities Act on the basis of the weighted average exercise price of $4.92 per share.</w:t>
      </w:r>
    </w:p>
    <w:p>
      <w:pPr>
        <w:ind w:left="460" w:right="30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 457(h) under the Securities Act on the basis of the initial public offering price of $15.00 per share.</w:t>
      </w:r>
    </w:p>
    <w:p>
      <w:pPr>
        <w:ind w:left="460" w:right="16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in accordance with Rules 457(h) under the Securities Act and based upon the initial public offering price of $15.00, multiplied by 85%, which is the percentage of the trading price per share applicable to purchasers under the 2017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information required under Part I of Form S-8 is omitted from this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w:t>
      </w:r>
    </w:p>
    <w:p>
      <w:pPr>
        <w:sectPr>
          <w:pgSz w:w="11900" w:h="16838" w:orient="portrait"/>
          <w:cols w:equalWidth="0" w:num="1">
            <w:col w:w="11380"/>
          </w:cols>
          <w:pgMar w:left="240" w:top="270"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documents filed by the Registrant with the Commission pursuant to the Securities Act and the Securities Exchange Act of 1934, as amended (the “Exchange Act”) are incorporated herein by reference:</w:t>
      </w:r>
    </w:p>
    <w:p>
      <w:pPr>
        <w:spacing w:after="0" w:line="76" w:lineRule="exact"/>
        <w:rPr>
          <w:sz w:val="20"/>
          <w:szCs w:val="20"/>
          <w:color w:val="auto"/>
        </w:rPr>
      </w:pPr>
    </w:p>
    <w:p>
      <w:pPr>
        <w:ind w:left="9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prospectus to be filed pursuant to Rule 424(b) under the Securities Act relating to the Registration Statement on Form S-1, as amended (File No. 333-206849), which contains audited financial statements for the Registrant’s latest fiscal year for which such statements have been filed; and</w:t>
      </w:r>
    </w:p>
    <w:p>
      <w:pPr>
        <w:spacing w:after="0" w:line="86"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contained in the Registrant’s registration statement on Form 8-A (File No. 001-37985) filed on January 17, 2017, under Section 12(b) of the Exchange Act, including any amendment or report filed for the purpose of updating such description.</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Registrant is incorporated under the laws of the State of Delaware. 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As permitted by the Delaware General Corporation Law, the Registrant’s restated certificate of incorporation includes a provision that eliminates the personal liability of a director for monetary damages resulting from any breach of his fiduciary duty as a director, except liability for the following:</w:t>
      </w:r>
    </w:p>
    <w:p>
      <w:pPr>
        <w:spacing w:after="0" w:line="2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permitted by the Delaware General Corporation Law, the Registrant’s restated bylaws provide that:</w:t>
      </w:r>
    </w:p>
    <w:p>
      <w:pPr>
        <w:spacing w:after="0" w:line="131" w:lineRule="exact"/>
        <w:rPr>
          <w:sz w:val="20"/>
          <w:szCs w:val="20"/>
          <w:color w:val="auto"/>
        </w:rPr>
      </w:pPr>
    </w:p>
    <w:p>
      <w:pPr>
        <w:ind w:left="900" w:right="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ectPr>
          <w:pgSz w:w="11900" w:h="16838" w:orient="portrait"/>
          <w:cols w:equalWidth="0" w:num="1">
            <w:col w:w="11400"/>
          </w:cols>
          <w:pgMar w:left="240" w:top="270" w:right="259" w:bottom="1440" w:gutter="0" w:footer="0" w:header="0"/>
        </w:sectPr>
      </w:pPr>
    </w:p>
    <w:bookmarkStart w:id="4" w:name="page5"/>
    <w:bookmarkEnd w:id="4"/>
    <w:p>
      <w:pPr>
        <w:ind w:right="4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the Registrant has entered, and intends to continue to enter, into indemnity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executive officers.</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indemnification provisions in the Registrant’s restated certificate of incorporation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undertakings set out in response to Item 9 hereof.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herewith:</w:t>
      </w:r>
    </w:p>
    <w:p>
      <w:pPr>
        <w:sectPr>
          <w:pgSz w:w="11900" w:h="16838" w:orient="portrait"/>
          <w:cols w:equalWidth="0" w:num="1">
            <w:col w:w="11400"/>
          </w:cols>
          <w:pgMar w:left="240" w:top="274" w:right="259" w:bottom="1440" w:gutter="0" w:footer="0" w:header="0"/>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gridSpan w:val="5"/>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520" w:type="dxa"/>
            <w:vAlign w:val="bottom"/>
            <w:vMerge w:val="restart"/>
          </w:tcPr>
          <w:p>
            <w:pPr>
              <w:jc w:val="right"/>
              <w:spacing w:after="0" w:line="151" w:lineRule="exact"/>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line="20" w:lineRule="exact"/>
              <w:rPr>
                <w:sz w:val="1"/>
                <w:szCs w:val="1"/>
                <w:color w:val="auto"/>
              </w:rPr>
            </w:pPr>
          </w:p>
        </w:tc>
        <w:tc>
          <w:tcPr>
            <w:tcW w:w="1200" w:type="dxa"/>
            <w:vAlign w:val="bottom"/>
            <w:vMerge w:val="restart"/>
          </w:tcPr>
          <w:p>
            <w:pPr>
              <w:spacing w:after="0" w:line="151" w:lineRule="exact"/>
              <w:rPr>
                <w:sz w:val="20"/>
                <w:szCs w:val="20"/>
                <w:color w:val="auto"/>
              </w:rPr>
            </w:pPr>
            <w:r>
              <w:rPr>
                <w:rFonts w:ascii="Arial" w:cs="Arial" w:eastAsia="Arial" w:hAnsi="Arial"/>
                <w:sz w:val="14"/>
                <w:szCs w:val="14"/>
                <w:b w:val="1"/>
                <w:bCs w:val="1"/>
                <w:color w:val="auto"/>
                <w:w w:val="92"/>
              </w:rPr>
              <w:t>Exhibit Description</w:t>
            </w:r>
          </w:p>
        </w:tc>
        <w:tc>
          <w:tcPr>
            <w:tcW w:w="4940" w:type="dxa"/>
            <w:vAlign w:val="bottom"/>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520" w:type="dxa"/>
            <w:vAlign w:val="bottom"/>
            <w:tcBorders>
              <w:bottom w:val="single" w:sz="8" w:color="auto"/>
            </w:tcBorders>
            <w:vMerge w:val="continue"/>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4940" w:type="dxa"/>
            <w:vAlign w:val="bottom"/>
          </w:tcPr>
          <w:p>
            <w:pPr>
              <w:spacing w:after="0"/>
              <w:rPr>
                <w:sz w:val="11"/>
                <w:szCs w:val="11"/>
                <w:color w:val="auto"/>
              </w:rPr>
            </w:pPr>
          </w:p>
        </w:tc>
        <w:tc>
          <w:tcPr>
            <w:tcW w:w="5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rPr>
              <w:t>Form</w:t>
            </w:r>
          </w:p>
        </w:tc>
        <w:tc>
          <w:tcPr>
            <w:tcW w:w="10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File No.</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Exhibit</w:t>
            </w:r>
          </w:p>
        </w:tc>
        <w:tc>
          <w:tcPr>
            <w:tcW w:w="12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648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Form of Restated Certificate of Incorporation of the Registrant</w:t>
            </w: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 9, 2015</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Form of Restated Bylaws of the Registrant</w:t>
            </w: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 9, 2015</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Form of Registrant’s Common Stock certificate</w:t>
            </w: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Dec. 23, 2015</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5.1</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Opinion of Fenwick &amp; West LLP</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23.1</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Consent of Fenwick &amp; West LLP (contained in Exhibit 5.1)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23.2</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Consent of KPMG, independent registered public accounting firm</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24.1</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w w:val="94"/>
              </w:rPr>
              <w:t>Power of Attorney (included on the signature page to this Registration Statement)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99.1</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Amended and Restated 2006 Equity Incentive Plan and forms of award</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agreements</w:t>
            </w: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January 17, 2017</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99.2</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2017 Equity Incentive Plan and forms of award agreements</w:t>
            </w: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January 17, 2017</w:t>
            </w:r>
          </w:p>
        </w:tc>
        <w:tc>
          <w:tcPr>
            <w:tcW w:w="0" w:type="dxa"/>
            <w:vAlign w:val="bottom"/>
          </w:tcPr>
          <w:p>
            <w:pPr>
              <w:spacing w:after="0"/>
              <w:rPr>
                <w:sz w:val="1"/>
                <w:szCs w:val="1"/>
                <w:color w:val="auto"/>
              </w:rPr>
            </w:pPr>
          </w:p>
        </w:tc>
      </w:tr>
      <w:tr>
        <w:trPr>
          <w:trHeight w:val="324"/>
        </w:trPr>
        <w:tc>
          <w:tcPr>
            <w:tcW w:w="520" w:type="dxa"/>
            <w:vAlign w:val="bottom"/>
          </w:tcPr>
          <w:p>
            <w:pPr>
              <w:jc w:val="right"/>
              <w:ind w:right="113"/>
              <w:spacing w:after="0"/>
              <w:rPr>
                <w:sz w:val="20"/>
                <w:szCs w:val="20"/>
                <w:color w:val="auto"/>
              </w:rPr>
            </w:pPr>
            <w:r>
              <w:rPr>
                <w:rFonts w:ascii="Arial" w:cs="Arial" w:eastAsia="Arial" w:hAnsi="Arial"/>
                <w:sz w:val="18"/>
                <w:szCs w:val="18"/>
                <w:color w:val="auto"/>
                <w:w w:val="85"/>
              </w:rPr>
              <w:t>99.3</w:t>
            </w:r>
          </w:p>
        </w:tc>
        <w:tc>
          <w:tcPr>
            <w:tcW w:w="6480" w:type="dxa"/>
            <w:vAlign w:val="bottom"/>
            <w:gridSpan w:val="3"/>
          </w:tcPr>
          <w:p>
            <w:pPr>
              <w:ind w:left="340"/>
              <w:spacing w:after="0"/>
              <w:rPr>
                <w:sz w:val="20"/>
                <w:szCs w:val="20"/>
                <w:color w:val="auto"/>
              </w:rPr>
            </w:pPr>
            <w:r>
              <w:rPr>
                <w:rFonts w:ascii="Arial" w:cs="Arial" w:eastAsia="Arial" w:hAnsi="Arial"/>
                <w:sz w:val="18"/>
                <w:szCs w:val="18"/>
                <w:color w:val="auto"/>
              </w:rPr>
              <w:t>2017 Employee Stock Purchase Plan and forms of award agreements</w:t>
            </w:r>
          </w:p>
        </w:tc>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January 17, 2017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undersigned Registrant hereby undertakes:</w:t>
      </w:r>
    </w:p>
    <w:p>
      <w:pPr>
        <w:spacing w:after="0" w:line="117" w:lineRule="exact"/>
        <w:rPr>
          <w:sz w:val="20"/>
          <w:szCs w:val="20"/>
          <w:color w:val="auto"/>
        </w:rPr>
      </w:pPr>
    </w:p>
    <w:p>
      <w:pPr>
        <w:ind w:left="1160" w:hanging="257"/>
        <w:spacing w:after="0"/>
        <w:tabs>
          <w:tab w:leader="none" w:pos="11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560" w:hanging="21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818" w:lineRule="exact"/>
        <w:rPr>
          <w:sz w:val="20"/>
          <w:szCs w:val="20"/>
          <w:color w:val="auto"/>
        </w:rPr>
      </w:pPr>
    </w:p>
    <w:p>
      <w:pPr>
        <w:sectPr>
          <w:pgSz w:w="11900" w:h="16838" w:orient="portrait"/>
          <w:cols w:equalWidth="0" w:num="2">
            <w:col w:w="10600" w:space="240"/>
            <w:col w:w="560"/>
          </w:cols>
          <w:pgMar w:left="240" w:top="274" w:right="259" w:bottom="1440" w:gutter="0" w:footer="0" w:header="0"/>
          <w:type w:val="continuous"/>
        </w:sectPr>
      </w:pPr>
    </w:p>
    <w:p>
      <w:pPr>
        <w:ind w:left="460" w:right="240" w:firstLine="881"/>
        <w:spacing w:after="0" w:line="264" w:lineRule="auto"/>
        <w:tabs>
          <w:tab w:leader="none" w:pos="1601"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w:t>
      </w:r>
    </w:p>
    <w:p>
      <w:pPr>
        <w:sectPr>
          <w:pgSz w:w="11900" w:h="16838" w:orient="portrait"/>
          <w:cols w:equalWidth="0" w:num="1">
            <w:col w:w="11400"/>
          </w:cols>
          <w:pgMar w:left="240" w:top="274" w:right="259" w:bottom="1440" w:gutter="0" w:footer="0" w:header="0"/>
          <w:type w:val="continuous"/>
        </w:sectPr>
      </w:pPr>
    </w:p>
    <w:bookmarkStart w:id="5" w:name="page6"/>
    <w:bookmarkEnd w:id="5"/>
    <w:p>
      <w:pPr>
        <w:ind w:right="2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3" w:lineRule="exact"/>
        <w:rPr>
          <w:sz w:val="20"/>
          <w:szCs w:val="20"/>
          <w:color w:val="auto"/>
        </w:rPr>
      </w:pPr>
    </w:p>
    <w:p>
      <w:pPr>
        <w:ind w:right="220" w:firstLine="881"/>
        <w:spacing w:after="0" w:line="277" w:lineRule="auto"/>
        <w:tabs>
          <w:tab w:leader="none" w:pos="1191"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jc w:val="both"/>
        <w:ind w:right="120" w:firstLine="876"/>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paragraphs (a)(1)(i) and (a)(1)(ii) above do not apply if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57" w:lineRule="exact"/>
        <w:rPr>
          <w:sz w:val="20"/>
          <w:szCs w:val="20"/>
          <w:color w:val="auto"/>
        </w:rPr>
      </w:pPr>
    </w:p>
    <w:p>
      <w:pPr>
        <w:ind w:right="60" w:firstLine="443"/>
        <w:spacing w:after="0" w:line="264" w:lineRule="auto"/>
        <w:tabs>
          <w:tab w:leader="none" w:pos="693"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right="560" w:firstLine="443"/>
        <w:spacing w:after="0" w:line="277" w:lineRule="auto"/>
        <w:tabs>
          <w:tab w:leader="none" w:pos="693" w:val="left"/>
        </w:tabs>
        <w:numPr>
          <w:ilvl w:val="1"/>
          <w:numId w:val="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60" w:firstLine="4"/>
        <w:spacing w:after="0" w:line="257"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80" w:lineRule="exact"/>
        <w:rPr>
          <w:rFonts w:ascii="Arial" w:cs="Arial" w:eastAsia="Arial" w:hAnsi="Arial"/>
          <w:sz w:val="18"/>
          <w:szCs w:val="18"/>
          <w:color w:val="auto"/>
        </w:rPr>
      </w:pPr>
    </w:p>
    <w:p>
      <w:pPr>
        <w:ind w:firstLine="4"/>
        <w:spacing w:after="0" w:line="271" w:lineRule="auto"/>
        <w:tabs>
          <w:tab w:leader="none" w:pos="21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40"/>
          </w:cols>
          <w:pgMar w:left="700" w:top="274"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San Diego, California, on the 26th day of January 2017.</w:t>
      </w:r>
    </w:p>
    <w:p>
      <w:pPr>
        <w:spacing w:after="0" w:line="17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4044950</wp:posOffset>
            </wp:positionH>
            <wp:positionV relativeFrom="paragraph">
              <wp:posOffset>-10160</wp:posOffset>
            </wp:positionV>
            <wp:extent cx="2016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6125" cy="8890"/>
                    </a:xfrm>
                    <a:prstGeom prst="rect">
                      <a:avLst/>
                    </a:prstGeom>
                    <a:noFill/>
                  </pic:spPr>
                </pic:pic>
              </a:graphicData>
            </a:graphic>
          </wp:anchor>
        </w:drawing>
      </w:r>
    </w:p>
    <w:p>
      <w:pPr>
        <w:spacing w:after="0" w:line="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Hamza Suria</w:t>
      </w:r>
    </w:p>
    <w:p>
      <w:pPr>
        <w:spacing w:after="0" w:line="9"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each person whose signature appears below hereby constitutes and appoints Hamza Suria and</w:t>
      </w:r>
      <w:r>
        <w:rPr>
          <w:rFonts w:ascii="Arial" w:cs="Arial" w:eastAsia="Arial" w:hAnsi="Arial"/>
          <w:sz w:val="18"/>
          <w:szCs w:val="18"/>
          <w:b w:val="1"/>
          <w:bCs w:val="1"/>
          <w:color w:val="auto"/>
        </w:rPr>
        <w:t xml:space="preserve"> </w:t>
      </w:r>
      <w:r>
        <w:rPr>
          <w:rFonts w:ascii="Arial" w:cs="Arial" w:eastAsia="Arial" w:hAnsi="Arial"/>
          <w:sz w:val="18"/>
          <w:szCs w:val="18"/>
          <w:color w:val="auto"/>
        </w:rPr>
        <w:t>Dominic G. Piscitelli, and each of them, as his or her true and lawful attorney-in-fact and agent with full power of substitution, for him or her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for all intents and purposes as he might or could do in person, hereby ratifying and confirming all that said attorney-in-fact and agent, or his or her substitute, may lawfully do or cause to be done by virtue hereof.</w:t>
      </w:r>
    </w:p>
    <w:p>
      <w:pPr>
        <w:spacing w:after="0" w:line="19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Hamza Suria</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8"/>
              </w:rPr>
              <w:t>Hamza Suria</w:t>
            </w:r>
          </w:p>
        </w:tc>
        <w:tc>
          <w:tcPr>
            <w:tcW w:w="100" w:type="dxa"/>
            <w:vAlign w:val="bottom"/>
          </w:tcPr>
          <w:p>
            <w:pPr>
              <w:spacing w:after="0"/>
              <w:rPr>
                <w:sz w:val="19"/>
                <w:szCs w:val="19"/>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Dominic G. Piscitelli</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5"/>
              </w:rPr>
              <w:t>Dominic G. Piscitelli</w:t>
            </w:r>
          </w:p>
        </w:tc>
        <w:tc>
          <w:tcPr>
            <w:tcW w:w="100" w:type="dxa"/>
            <w:vAlign w:val="bottom"/>
          </w:tcPr>
          <w:p>
            <w:pPr>
              <w:spacing w:after="0"/>
              <w:rPr>
                <w:sz w:val="19"/>
                <w:szCs w:val="19"/>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Accounting and Financial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Carol G. Gallagher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Carol G. Gallagher, Pharm.D.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Nicholas B. Lydon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Nicholas B. Lydon, Ph.D., FRS</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Hollings Renton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4"/>
              </w:rPr>
              <w:t>Hollings Renton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John Schmid</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8"/>
              </w:rPr>
              <w:t>John Schmid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A. Schoeneck</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7"/>
              </w:rPr>
              <w:t>James A. Schoeneck</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N. Topper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7"/>
              </w:rPr>
              <w:t>January 26,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James N. Topper, M.D., Ph.D.</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84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Exhibit Description</w:t>
      </w:r>
    </w:p>
    <w:p>
      <w:pPr>
        <w:spacing w:after="0" w:line="119"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Restated Certificate of Incorporation of the Registrant</w:t>
      </w:r>
    </w:p>
    <w:p>
      <w:pPr>
        <w:spacing w:after="0" w:line="101"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Restated Bylaws of the Registrant</w:t>
      </w:r>
    </w:p>
    <w:p>
      <w:pPr>
        <w:spacing w:after="0" w:line="117"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Registrant’s Common Stock certificate</w:t>
      </w:r>
    </w:p>
    <w:p>
      <w:pPr>
        <w:spacing w:after="0" w:line="117" w:lineRule="exact"/>
        <w:rPr>
          <w:sz w:val="20"/>
          <w:szCs w:val="20"/>
          <w:color w:val="auto"/>
        </w:rPr>
      </w:pPr>
    </w:p>
    <w:p>
      <w:pPr>
        <w:ind w:left="100"/>
        <w:spacing w:after="0"/>
        <w:tabs>
          <w:tab w:leader="none" w:pos="8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Fenwick &amp; West LLP</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Fenwick &amp; West LLP (contained in Exhibit 5.1)</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 independent registered public accounting firm</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the signature page to this Registration Statement)</w:t>
      </w:r>
    </w:p>
    <w:p>
      <w:pPr>
        <w:spacing w:after="0" w:line="117" w:lineRule="exact"/>
        <w:rPr>
          <w:sz w:val="20"/>
          <w:szCs w:val="20"/>
          <w:color w:val="auto"/>
        </w:rPr>
      </w:pPr>
    </w:p>
    <w:p>
      <w:pPr>
        <w:ind w:left="860" w:right="760" w:hanging="850"/>
        <w:spacing w:after="0" w:line="277" w:lineRule="auto"/>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Amended and Restated 2006 Equity Incentive Plan and forms of award agreements</w:t>
      </w:r>
    </w:p>
    <w:p>
      <w:pPr>
        <w:spacing w:after="0" w:line="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2017 Equity Incentive Plan and forms of award agreements</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2017 Employee Stock Purchase Plan and forms of award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22898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2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Filing Date</w:t>
            </w:r>
          </w:p>
        </w:tc>
      </w:tr>
      <w:tr>
        <w:trPr>
          <w:trHeight w:val="304"/>
        </w:trPr>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22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333-206849</w:t>
            </w:r>
          </w:p>
        </w:tc>
        <w:tc>
          <w:tcPr>
            <w:tcW w:w="220" w:type="dxa"/>
            <w:vAlign w:val="bottom"/>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Sep. 9, 2015</w:t>
            </w:r>
          </w:p>
        </w:tc>
      </w:tr>
      <w:tr>
        <w:trPr>
          <w:trHeight w:val="324"/>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Sep. 9, 2015</w:t>
            </w:r>
          </w:p>
        </w:tc>
      </w:tr>
      <w:tr>
        <w:trPr>
          <w:trHeight w:val="324"/>
        </w:trPr>
        <w:tc>
          <w:tcPr>
            <w:tcW w:w="58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S-1</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333-206849</w:t>
            </w:r>
          </w:p>
        </w:tc>
        <w:tc>
          <w:tcPr>
            <w:tcW w:w="2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Dec. 23, 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S-1</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333-206849</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400" w:type="dxa"/>
            <w:vAlign w:val="bottom"/>
          </w:tcPr>
          <w:p>
            <w:pPr>
              <w:ind w:left="160"/>
              <w:spacing w:after="0"/>
              <w:rPr>
                <w:sz w:val="20"/>
                <w:szCs w:val="20"/>
                <w:color w:val="auto"/>
              </w:rPr>
            </w:pPr>
            <w:r>
              <w:rPr>
                <w:rFonts w:ascii="Arial" w:cs="Arial" w:eastAsia="Arial" w:hAnsi="Arial"/>
                <w:sz w:val="18"/>
                <w:szCs w:val="18"/>
                <w:color w:val="auto"/>
                <w:w w:val="87"/>
              </w:rPr>
              <w:t>January 17, 2017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S-1</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333-206849</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1400" w:type="dxa"/>
            <w:vAlign w:val="bottom"/>
          </w:tcPr>
          <w:p>
            <w:pPr>
              <w:ind w:left="160"/>
              <w:spacing w:after="0"/>
              <w:rPr>
                <w:sz w:val="20"/>
                <w:szCs w:val="20"/>
                <w:color w:val="auto"/>
              </w:rPr>
            </w:pPr>
            <w:r>
              <w:rPr>
                <w:rFonts w:ascii="Arial" w:cs="Arial" w:eastAsia="Arial" w:hAnsi="Arial"/>
                <w:sz w:val="18"/>
                <w:szCs w:val="18"/>
                <w:color w:val="auto"/>
                <w:w w:val="87"/>
              </w:rPr>
              <w:t>January 17, 2017</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S-1</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333-206849</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1400" w:type="dxa"/>
            <w:vAlign w:val="bottom"/>
          </w:tcPr>
          <w:p>
            <w:pPr>
              <w:ind w:left="160"/>
              <w:spacing w:after="0"/>
              <w:rPr>
                <w:sz w:val="20"/>
                <w:szCs w:val="20"/>
                <w:color w:val="auto"/>
              </w:rPr>
            </w:pPr>
            <w:r>
              <w:rPr>
                <w:rFonts w:ascii="Arial" w:cs="Arial" w:eastAsia="Arial" w:hAnsi="Arial"/>
                <w:sz w:val="18"/>
                <w:szCs w:val="18"/>
                <w:color w:val="auto"/>
                <w:w w:val="87"/>
              </w:rPr>
              <w:t>January 17, 2017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740" w:space="260"/>
            <w:col w:w="3600" w:space="240"/>
            <w:col w:w="560"/>
          </w:cols>
          <w:pgMar w:left="240" w:top="270" w:right="2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2072005</wp:posOffset>
            </wp:positionH>
            <wp:positionV relativeFrom="paragraph">
              <wp:posOffset>172085</wp:posOffset>
            </wp:positionV>
            <wp:extent cx="3121660" cy="754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2166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26,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counsel to AnaptysBio,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at your request, we have examined the Registration Statement on Form S-8 to be filed by the Company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January 25, 2017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in connection with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an aggregate of 4,222,669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Common Stock, par value $0.001 per share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that are subject to issuance by the Company upon (a) the exercise of stock options granted under the Company’s Amended and Restated 2006 Equity Incentive Plan (the “</w:t>
      </w:r>
      <w:r>
        <w:rPr>
          <w:rFonts w:ascii="Arial" w:cs="Arial" w:eastAsia="Arial" w:hAnsi="Arial"/>
          <w:sz w:val="18"/>
          <w:szCs w:val="18"/>
          <w:b w:val="1"/>
          <w:bCs w:val="1"/>
          <w:i w:val="1"/>
          <w:iCs w:val="1"/>
          <w:color w:val="auto"/>
        </w:rPr>
        <w:t>2006 Plan</w:t>
      </w:r>
      <w:r>
        <w:rPr>
          <w:rFonts w:ascii="Arial" w:cs="Arial" w:eastAsia="Arial" w:hAnsi="Arial"/>
          <w:sz w:val="18"/>
          <w:szCs w:val="18"/>
          <w:color w:val="auto"/>
        </w:rPr>
        <w:t>”), (b) the exercise or settlement of awards to be granted under the Company’s 2017 Equity Incentive Plan (the “</w:t>
      </w:r>
      <w:r>
        <w:rPr>
          <w:rFonts w:ascii="Arial" w:cs="Arial" w:eastAsia="Arial" w:hAnsi="Arial"/>
          <w:sz w:val="18"/>
          <w:szCs w:val="18"/>
          <w:b w:val="1"/>
          <w:bCs w:val="1"/>
          <w:i w:val="1"/>
          <w:iCs w:val="1"/>
          <w:color w:val="auto"/>
        </w:rPr>
        <w:t>2017 Plan</w:t>
      </w:r>
      <w:r>
        <w:rPr>
          <w:rFonts w:ascii="Arial" w:cs="Arial" w:eastAsia="Arial" w:hAnsi="Arial"/>
          <w:sz w:val="18"/>
          <w:szCs w:val="18"/>
          <w:color w:val="auto"/>
        </w:rPr>
        <w:t>”) and (c) the exercise of purchase rights to be granted under the Company’s 2017 Employee Stock Purchase Plan (the “</w:t>
      </w:r>
      <w:r>
        <w:rPr>
          <w:rFonts w:ascii="Arial" w:cs="Arial" w:eastAsia="Arial" w:hAnsi="Arial"/>
          <w:sz w:val="18"/>
          <w:szCs w:val="18"/>
          <w:b w:val="1"/>
          <w:bCs w:val="1"/>
          <w:i w:val="1"/>
          <w:iCs w:val="1"/>
          <w:color w:val="auto"/>
        </w:rPr>
        <w:t>ESPP</w:t>
      </w:r>
      <w:r>
        <w:rPr>
          <w:rFonts w:ascii="Arial" w:cs="Arial" w:eastAsia="Arial" w:hAnsi="Arial"/>
          <w:sz w:val="18"/>
          <w:szCs w:val="18"/>
          <w:color w:val="auto"/>
        </w:rPr>
        <w:t>”). The plans referred to in clauses (a) through (c) above are collectively referred to in this letter as the “</w:t>
      </w:r>
      <w:r>
        <w:rPr>
          <w:rFonts w:ascii="Arial" w:cs="Arial" w:eastAsia="Arial" w:hAnsi="Arial"/>
          <w:sz w:val="18"/>
          <w:szCs w:val="18"/>
          <w:b w:val="1"/>
          <w:bCs w:val="1"/>
          <w:i w:val="1"/>
          <w:iCs w:val="1"/>
          <w:color w:val="auto"/>
        </w:rPr>
        <w:t>Plans</w:t>
      </w:r>
      <w:r>
        <w:rPr>
          <w:rFonts w:ascii="Arial" w:cs="Arial" w:eastAsia="Arial" w:hAnsi="Arial"/>
          <w:sz w:val="18"/>
          <w:szCs w:val="18"/>
          <w:color w:val="auto"/>
        </w:rPr>
        <w:t>” and each as a “</w:t>
      </w:r>
      <w:r>
        <w:rPr>
          <w:rFonts w:ascii="Arial" w:cs="Arial" w:eastAsia="Arial" w:hAnsi="Arial"/>
          <w:sz w:val="18"/>
          <w:szCs w:val="18"/>
          <w:b w:val="1"/>
          <w:bCs w:val="1"/>
          <w:i w:val="1"/>
          <w:iCs w:val="1"/>
          <w:color w:val="auto"/>
        </w:rPr>
        <w:t>Plan</w:t>
      </w:r>
      <w:r>
        <w:rPr>
          <w:rFonts w:ascii="Arial" w:cs="Arial" w:eastAsia="Arial" w:hAnsi="Arial"/>
          <w:sz w:val="18"/>
          <w:szCs w:val="18"/>
          <w:color w:val="auto"/>
        </w:rPr>
        <w:t>.”</w:t>
      </w:r>
    </w:p>
    <w:p>
      <w:pPr>
        <w:spacing w:after="0" w:line="19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rendering this opinion, we have examined such matters of fact as we have deemed necessary in order to render the opinion set forth herein, which included examination of the following:</w:t>
      </w:r>
    </w:p>
    <w:p>
      <w:pPr>
        <w:spacing w:after="0" w:line="76" w:lineRule="exact"/>
        <w:rPr>
          <w:sz w:val="20"/>
          <w:szCs w:val="20"/>
          <w:color w:val="auto"/>
        </w:rPr>
      </w:pPr>
    </w:p>
    <w:p>
      <w:pPr>
        <w:ind w:left="900" w:right="32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Restated Certificate of Incorporation filed with the Delaware Secretary of State on January 13, 2017, and certified by the Delaware Secretary of State on January 13, 2017 (the “</w:t>
      </w:r>
      <w:r>
        <w:rPr>
          <w:rFonts w:ascii="Arial" w:cs="Arial" w:eastAsia="Arial" w:hAnsi="Arial"/>
          <w:sz w:val="18"/>
          <w:szCs w:val="18"/>
          <w:b w:val="1"/>
          <w:bCs w:val="1"/>
          <w:i w:val="1"/>
          <w:iCs w:val="1"/>
          <w:color w:val="auto"/>
        </w:rPr>
        <w:t>Restated Certificate</w:t>
      </w:r>
      <w:r>
        <w:rPr>
          <w:rFonts w:ascii="Arial" w:cs="Arial" w:eastAsia="Arial" w:hAnsi="Arial"/>
          <w:sz w:val="18"/>
          <w:szCs w:val="18"/>
          <w:color w:val="auto"/>
        </w:rPr>
        <w:t>”), and the Restated Certificate of Incorporation that the Company intends to file and that will be effective upon the consummation of the Company’s initial public offering (the “</w:t>
      </w:r>
      <w:r>
        <w:rPr>
          <w:rFonts w:ascii="Arial" w:cs="Arial" w:eastAsia="Arial" w:hAnsi="Arial"/>
          <w:sz w:val="18"/>
          <w:szCs w:val="18"/>
          <w:b w:val="1"/>
          <w:bCs w:val="1"/>
          <w:i w:val="1"/>
          <w:iCs w:val="1"/>
          <w:color w:val="auto"/>
        </w:rPr>
        <w:t>Post-Effective Restated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900" w:right="160" w:hanging="446"/>
        <w:spacing w:after="0" w:line="286"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Company’s Bylaws, as certified to us as of the date hereof by an officer of the Company as being complete and in full force and effect as of the date hereof (the “</w:t>
      </w:r>
      <w:r>
        <w:rPr>
          <w:rFonts w:ascii="Arial" w:cs="Arial" w:eastAsia="Arial" w:hAnsi="Arial"/>
          <w:sz w:val="17"/>
          <w:szCs w:val="17"/>
          <w:b w:val="1"/>
          <w:bCs w:val="1"/>
          <w:i w:val="1"/>
          <w:iCs w:val="1"/>
          <w:color w:val="auto"/>
        </w:rPr>
        <w:t>Bylaws</w:t>
      </w:r>
      <w:r>
        <w:rPr>
          <w:rFonts w:ascii="Arial" w:cs="Arial" w:eastAsia="Arial" w:hAnsi="Arial"/>
          <w:sz w:val="17"/>
          <w:szCs w:val="17"/>
          <w:color w:val="auto"/>
        </w:rPr>
        <w:t>”), and the Amended and Restated Bylaws that the Company has adopted in connection with, and that will be effective upon the consummation of, the Company’s initial public offering (the “</w:t>
      </w:r>
      <w:r>
        <w:rPr>
          <w:rFonts w:ascii="Arial" w:cs="Arial" w:eastAsia="Arial" w:hAnsi="Arial"/>
          <w:sz w:val="17"/>
          <w:szCs w:val="17"/>
          <w:b w:val="1"/>
          <w:bCs w:val="1"/>
          <w:i w:val="1"/>
          <w:iCs w:val="1"/>
          <w:color w:val="auto"/>
        </w:rPr>
        <w:t>Post-Effective Bylaws</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Registration Statement, together with the Exhibits filed as a part thereof or incorporated therein by reference.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prospectuses prepared in connection with the Registration Statement (collectively, the “</w:t>
      </w:r>
      <w:r>
        <w:rPr>
          <w:rFonts w:ascii="Arial" w:cs="Arial" w:eastAsia="Arial" w:hAnsi="Arial"/>
          <w:sz w:val="17"/>
          <w:szCs w:val="17"/>
          <w:b w:val="1"/>
          <w:bCs w:val="1"/>
          <w:i w:val="1"/>
          <w:iCs w:val="1"/>
          <w:color w:val="auto"/>
        </w:rPr>
        <w:t>Prospectuses</w:t>
      </w:r>
      <w:r>
        <w:rPr>
          <w:rFonts w:ascii="Arial" w:cs="Arial" w:eastAsia="Arial" w:hAnsi="Arial"/>
          <w:sz w:val="17"/>
          <w:szCs w:val="17"/>
          <w:color w:val="auto"/>
        </w:rPr>
        <w:t>”; and each, a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Plans and related forms of agreements to be used in connection with the grant of options or awards, and the issuance of Shares, under the Plans (the “</w:t>
      </w:r>
      <w:r>
        <w:rPr>
          <w:rFonts w:ascii="Arial" w:cs="Arial" w:eastAsia="Arial" w:hAnsi="Arial"/>
          <w:sz w:val="18"/>
          <w:szCs w:val="18"/>
          <w:b w:val="1"/>
          <w:bCs w:val="1"/>
          <w:i w:val="1"/>
          <w:iCs w:val="1"/>
          <w:color w:val="auto"/>
        </w:rPr>
        <w:t>Plan Agreements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Minutes of meetings and actions by written consent of the Company’s Board of Directors and the Company’s stockholders provided to us by the Company relating to the adoption, approval,</w:t>
      </w:r>
    </w:p>
    <w:p>
      <w:pPr>
        <w:sectPr>
          <w:pgSz w:w="11900" w:h="16838" w:orient="portrait"/>
          <w:cols w:equalWidth="0" w:num="1">
            <w:col w:w="11420"/>
          </w:cols>
          <w:pgMar w:left="240" w:top="121" w:right="239" w:bottom="1440" w:gutter="0" w:footer="0" w:header="0"/>
        </w:sectPr>
      </w:pPr>
    </w:p>
    <w:bookmarkStart w:id="9" w:name="page10"/>
    <w:bookmarkEnd w:id="9"/>
    <w:p>
      <w:pPr>
        <w:ind w:left="920"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or ratification of (i) the Restated Certificate, (ii) the Post-Effective Restated Certificate, (iii) the Bylaws, (iv) the Post-Effective Bylaws, (v) the Plans and (vi) the filing of the Registration Statement, the reservation of the Shares for sale and issuance pursuant to the Plans.</w:t>
      </w:r>
    </w:p>
    <w:p>
      <w:pPr>
        <w:spacing w:after="0" w:line="29" w:lineRule="exact"/>
        <w:rPr>
          <w:sz w:val="20"/>
          <w:szCs w:val="20"/>
          <w:color w:val="auto"/>
        </w:rPr>
      </w:pPr>
    </w:p>
    <w:p>
      <w:pPr>
        <w:ind w:left="900" w:right="10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stock records for the Company that the Company has provided to us (consisting of a list of stockholders, a list of option and warrant holders respecting the Company’s capital and of any rights to purchase capital stock that was prepared by the Company and dated January 24, 2017, verifying the number of such issued and outstanding securities).</w:t>
      </w:r>
    </w:p>
    <w:p>
      <w:pPr>
        <w:spacing w:after="0" w:line="86"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Certificate of Good Standing issued by the Delaware Secretary of State dated January 25, 2017, stating that the Company is qualified to do business and in good standing under the laws of the State of Delaware (the “</w:t>
      </w:r>
      <w:r>
        <w:rPr>
          <w:rFonts w:ascii="Arial" w:cs="Arial" w:eastAsia="Arial" w:hAnsi="Arial"/>
          <w:sz w:val="18"/>
          <w:szCs w:val="18"/>
          <w:b w:val="1"/>
          <w:bCs w:val="1"/>
          <w:i w:val="1"/>
          <w:iCs w:val="1"/>
          <w:color w:val="auto"/>
        </w:rPr>
        <w:t>Certificate of Good Standing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Management Certificate addressed to us and dated of even date herewith executed by the Company containing certain factual representations (the “</w:t>
      </w:r>
      <w:r>
        <w:rPr>
          <w:rFonts w:ascii="Arial" w:cs="Arial" w:eastAsia="Arial" w:hAnsi="Arial"/>
          <w:sz w:val="18"/>
          <w:szCs w:val="18"/>
          <w:b w:val="1"/>
          <w:bCs w:val="1"/>
          <w:i w:val="1"/>
          <w:iCs w:val="1"/>
          <w:color w:val="auto"/>
        </w:rPr>
        <w:t>Management Certificate</w:t>
      </w:r>
      <w:r>
        <w:rPr>
          <w:rFonts w:ascii="Arial" w:cs="Arial" w:eastAsia="Arial" w:hAnsi="Arial"/>
          <w:sz w:val="18"/>
          <w:szCs w:val="18"/>
          <w:color w:val="auto"/>
        </w:rPr>
        <w:t>”).</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our examination of documents for purposes of this opinion, we have assumed, and express no opinion as to, the genuineness of all signatures on original documents, the authenticity and completeness of all documents submitted to us as originals, the conformity to originals and completeness of all documents submitted to us as copies, the legal capacity of all persons or entities executing the same, the absence of any termination, modification, waiver or amendment to any document referenced in clauses (5) and (6) above that has not been disclosed to us.</w:t>
      </w:r>
    </w:p>
    <w:p>
      <w:pPr>
        <w:spacing w:after="0" w:line="17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render this opinion only with respect to, and express no opinion herein concerning the application or effect of the laws of any jurisdiction other than, the existing Delaware General Corporation Law and reported judicial decisions relating thereto.</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Based upon the foregoing, it is our opinion that when the 4,222,669 Shares of Common Stock that may be issued and sold by the Company upon (a) the exercise of stock options granted under the 2006 Plan, (b) the exercise or settlement of awards to be granted under the 2017 Plan and (c) the exercise of purchase rights to be granted under the ESPP, have been issued, sold and delivered by the Company against the Company’s receipt of payment therefor (in an amount and type of consideration not less than the par value per share of Common Stock) in accordance with the applicable Plan Agreements to be entered into thereunder and in the manner and for the consideration stated in the Registration Statement and the relevant Prospectus, and have been duly registered on the books of the transfer agent and registrar for the Shares in the name or on behalf of the holders thereof, such Shares will be validly issued, fully paid and nonassessable.</w:t>
      </w:r>
    </w:p>
    <w:p>
      <w:pPr>
        <w:spacing w:after="0" w:line="189"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We consent to the use of this opinion as an exhibit to the Registration Statement and further consent to all references to us, if any, in the Registration Statement, the Prospectuses constituting a part thereof and any amendments thereto. We do not thereby admit that we are within the category of persons whose consent is required under Section 7 of the Securities Act or the rules and regulations of the Commission thereunder. In providing this letter, we are opining only as to the specific legal issues expressly set forth above, and no opinion shall be inferred as to any other matter or matters.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0" w:name="page11"/>
    <w:bookmarkEnd w:id="10"/>
    <w:p>
      <w:pPr>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opinion is intended solely for use in connection with issuance and sale of shares of Stock subject to the Registration Statement and is not to be relied upon for any other purpose. This opinion is rendered as of, and speaks only as of, the date first written above and based solely on our understanding of facts in existence as of such date after the aforementioned examination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the opinion expressed herein.</w:t>
      </w:r>
    </w:p>
    <w:p>
      <w:pPr>
        <w:spacing w:after="0" w:line="17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Fenwick &amp; West LLP</w:t>
      </w:r>
    </w:p>
    <w:p>
      <w:pPr>
        <w:spacing w:after="0" w:line="11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FENWICK &amp; WEST LLP</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with respect to the consolidated financial statements incorporated by reference herein.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25,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lvl w:ilvl="1">
      <w:lvlJc w:val="left"/>
      <w:lvlText w:val="(%2)"/>
      <w:numFmt w:val="lowerRoman"/>
      <w:start w:val="1"/>
    </w:lvl>
  </w:abstractNum>
  <w:abstractNum w:abstractNumId="5">
    <w:nsid w:val="515F007C"/>
    <w:multiLevelType w:val="hybridMultilevel"/>
    <w:lvl w:ilvl="0">
      <w:lvlJc w:val="left"/>
      <w:lvlText w:val="(%1)"/>
      <w:numFmt w:val="lowerRoman"/>
      <w:start w:val="2"/>
    </w:lvl>
  </w:abstractNum>
  <w:abstractNum w:abstractNumId="6">
    <w:nsid w:val="5BD062C2"/>
    <w:multiLevelType w:val="hybridMultilevel"/>
    <w:lvl w:ilvl="0">
      <w:lvlJc w:val="left"/>
      <w:lvlText w:val="(%1)"/>
      <w:numFmt w:val="lowerRoman"/>
      <w:start w:val="3"/>
    </w:lvl>
  </w:abstractNum>
  <w:abstractNum w:abstractNumId="7">
    <w:nsid w:val="12200854"/>
    <w:multiLevelType w:val="hybridMultilevel"/>
    <w:lvl w:ilvl="0">
      <w:lvlJc w:val="left"/>
      <w:lvlText w:val="%1"/>
      <w:numFmt w:val="upperLetter"/>
      <w:start w:val="1"/>
    </w:lvl>
    <w:lvl w:ilvl="1">
      <w:lvlJc w:val="left"/>
      <w:lvlText w:val="(%2)"/>
      <w:numFmt w:val="decimal"/>
      <w:start w:val="2"/>
    </w:lvl>
  </w:abstractNum>
  <w:abstractNum w:abstractNumId="8">
    <w:nsid w:val="4DB127F8"/>
    <w:multiLevelType w:val="hybridMultilevel"/>
    <w:lvl w:ilvl="0">
      <w:lvlJc w:val="left"/>
      <w:lvlText w:val="%1."/>
      <w:numFmt w:val="upperLetter"/>
      <w:start w:val="2"/>
    </w:lvl>
    <w:lvl w:ilvl="1">
      <w:lvlJc w:val="left"/>
      <w:lvlText w:val="%2"/>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2019-12-07T03:45:51Z</dcterms:created>
  <dcterms:modified xsi:type="dcterms:W3CDTF">2019-12-07T03:45:51Z</dcterms:modified>
</cp:coreProperties>
</file>