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6, 2025</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333-_____ </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40" w:before="0" w:after="120"/>
        <w:jc w:val="center"/>
        <w:rPr/>
      </w:pPr>
      <w:r>
        <w:rPr>
          <w:rFonts w:ascii="Times New Roman;serif" w:hAnsi="Times New Roman;serif"/>
          <w:b/>
          <w:i/>
          <w:color w:val="000000"/>
          <w:sz w:val="20"/>
        </w:rPr>
        <w:t>UNDER</w:t>
      </w:r>
      <w:r>
        <w:rPr>
          <w:color w:val="000000"/>
        </w:rPr>
        <w:t xml:space="preserve"> </w:t>
      </w:r>
      <w:r>
        <w:rPr>
          <w:rFonts w:ascii="Times New Roman;serif" w:hAnsi="Times New Roman;serif"/>
          <w:b/>
          <w:i/>
          <w:color w:val="000000"/>
          <w:sz w:val="20"/>
        </w:rPr>
        <w:t xml:space="preserve">THE </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SECURITIES ACT OF 1933</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ANAPTYSBIO, INC.</w:t>
      </w:r>
    </w:p>
    <w:p>
      <w:pPr>
        <w:pStyle w:val="TextBody"/>
        <w:bidi w:val="0"/>
        <w:spacing w:lineRule="auto" w:line="240" w:before="12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153" w:type="dxa"/>
        <w:jc w:val="left"/>
        <w:tblInd w:w="0" w:type="dxa"/>
        <w:tblLayout w:type="fixed"/>
        <w:tblCellMar>
          <w:top w:w="28" w:type="dxa"/>
          <w:left w:w="28" w:type="dxa"/>
          <w:bottom w:w="28" w:type="dxa"/>
          <w:right w:w="28" w:type="dxa"/>
        </w:tblCellMar>
      </w:tblPr>
      <w:tblGrid>
        <w:gridCol w:w="294"/>
        <w:gridCol w:w="258"/>
        <w:gridCol w:w="258"/>
        <w:gridCol w:w="258"/>
        <w:gridCol w:w="258"/>
        <w:gridCol w:w="258"/>
        <w:gridCol w:w="258"/>
        <w:gridCol w:w="258"/>
        <w:gridCol w:w="263"/>
        <w:gridCol w:w="109"/>
        <w:gridCol w:w="109"/>
        <w:gridCol w:w="109"/>
        <w:gridCol w:w="109"/>
        <w:gridCol w:w="109"/>
        <w:gridCol w:w="109"/>
        <w:gridCol w:w="109"/>
        <w:gridCol w:w="109"/>
        <w:gridCol w:w="109"/>
        <w:gridCol w:w="192"/>
        <w:gridCol w:w="192"/>
        <w:gridCol w:w="192"/>
        <w:gridCol w:w="192"/>
        <w:gridCol w:w="192"/>
        <w:gridCol w:w="192"/>
        <w:gridCol w:w="192"/>
        <w:gridCol w:w="192"/>
        <w:gridCol w:w="27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20-3828755</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10770 Wateridge Circle, Suite 210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Diego, CA 92121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(858) 362-6295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including zip code, and telephone number, including area code, of Registrant’s principal executive offices)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2017 Amended and Restated Equity Incentive Plan</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(Full title of the plans)</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Daniel Faga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10770 Wateridge Circle, Suite 210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Diego, CA 92121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(858) 362-6295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including zip code, and telephone number, including area code, of agent for service) </w:t>
      </w:r>
    </w:p>
    <w:p>
      <w:pPr>
        <w:pStyle w:val="TextBody"/>
        <w:bidi w:val="0"/>
        <w:spacing w:lineRule="auto" w:line="240" w:before="120" w:after="283"/>
        <w:jc w:val="center"/>
        <w:rPr>
          <w:rFonts w:ascii="Times New Roman;serif" w:hAnsi="Times New Roman;serif"/>
          <w:b/>
          <w:i/>
          <w:color w:val="000000"/>
          <w:sz w:val="20"/>
        </w:rPr>
      </w:pPr>
      <w:r>
        <w:rPr>
          <w:rFonts w:ascii="Times New Roman;serif" w:hAnsi="Times New Roman;serif"/>
          <w:b/>
          <w:i/>
          <w:color w:val="000000"/>
          <w:sz w:val="20"/>
        </w:rPr>
        <w:t xml:space="preserve">Please send copies of all communications to: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Effie Toshav, Esq.</w:t>
        <w:br/>
        <w:t>Ryan Mitteness, Esq.</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Fenwick &amp; West LLP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401 Union Street, Floor 5</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(206) 389-4510</w:t>
      </w:r>
    </w:p>
    <w:p>
      <w:pPr>
        <w:pStyle w:val="TextBody"/>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______________________</w:t>
      </w:r>
    </w:p>
    <w:p>
      <w:pPr>
        <w:pStyle w:val="TextBody"/>
        <w:bidi w:val="0"/>
        <w:spacing w:lineRule="auto" w:line="240" w:before="80" w:after="283"/>
        <w:jc w:val="both"/>
        <w:rPr>
          <w:rFonts w:ascii="Times New Roman;serif" w:hAnsi="Times New Roman;serif"/>
          <w:b/>
          <w:color w:val="000000"/>
          <w:sz w:val="18"/>
        </w:rPr>
      </w:pPr>
      <w:r>
        <w:rPr>
          <w:rFonts w:ascii="Times New Roman;serif" w:hAnsi="Times New Roman;serif"/>
          <w:b/>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638" w:type="dxa"/>
        <w:jc w:val="left"/>
        <w:tblInd w:w="0" w:type="dxa"/>
        <w:tblLayout w:type="fixed"/>
        <w:tblCellMar>
          <w:top w:w="28" w:type="dxa"/>
          <w:left w:w="28" w:type="dxa"/>
          <w:bottom w:w="28" w:type="dxa"/>
          <w:right w:w="28" w:type="dxa"/>
        </w:tblCellMar>
      </w:tblPr>
      <w:tblGrid>
        <w:gridCol w:w="207"/>
        <w:gridCol w:w="182"/>
        <w:gridCol w:w="182"/>
        <w:gridCol w:w="182"/>
        <w:gridCol w:w="182"/>
        <w:gridCol w:w="182"/>
        <w:gridCol w:w="182"/>
        <w:gridCol w:w="182"/>
        <w:gridCol w:w="1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25"/>
        <w:gridCol w:w="225"/>
        <w:gridCol w:w="225"/>
        <w:gridCol w:w="225"/>
        <w:gridCol w:w="225"/>
        <w:gridCol w:w="225"/>
        <w:gridCol w:w="225"/>
        <w:gridCol w:w="225"/>
        <w:gridCol w:w="225"/>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6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31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7(a)(2)(B) of the Securities Act. [ ]</w:t>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REGISTRATION OF ADDITIONAL SHARES </w:t>
      </w:r>
    </w:p>
    <w:p>
      <w:pPr>
        <w:pStyle w:val="TextBody"/>
        <w:bidi w:val="0"/>
        <w:spacing w:lineRule="auto" w:line="240"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PURSUANT TO GENERAL INSTRUCTION 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General Instruction E of Form S-8, AnaptysBio, Inc. (the “Registrant”) is filing this Registration Statement with the Securities and Exchange Commission (the “Commission”) to register 1,650,000 additional shares of the Registrant’s Common Stock under the Registrant’s Amended and Restated 2017 Equity Incentive Plan (the “Amended Plan”), pursuant to stockholder approval of the Amended Plan on June 17, 2025.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hereby incorporates by reference the contents of the Registrant’s registration statements on Form S-8 filed with the Commission on January 26, 2017 (Registration No. 333-215741), March 5, 2018 (Registration No. 333-223446), February 28, 2019 (Registration No. 333-229927), March 2, 2020 (Registration No. 333-236805), February 25, 2021 (Registration No. 333-253504), March 7, 2022 (Registration No. 333-263332), March 1, 2023 (Registration No. 333-270175), March 11, 2024 (Registration No. 333-277823) and August 5, 2024 (Registration No. 333-281246). In accordance with the instructional note to Part I of Form S-8 as promulgated by the Commission, the information specified by Part I of the Form S-8 has been omitted from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120" w:after="283"/>
        <w:ind w:left="0" w:right="0" w:firstLine="450"/>
        <w:jc w:val="left"/>
        <w:rPr/>
      </w:pPr>
      <w:r>
        <w:rPr>
          <w:rFonts w:ascii="Times New Roman;serif" w:hAnsi="Times New Roman;serif"/>
          <w:b w:val="false"/>
          <w:color w:val="000000"/>
          <w:sz w:val="20"/>
        </w:rPr>
        <w:t>The following documents filed by the Registrant with the Commission pursuant to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are incorporated herein by reference: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Registrant’s Annual Report on Form 10-K for the year ended December 31, 2024, filed with the Commission on February 27, 2025 pursuant to Section 13 of the Exchange Act;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(b)all other reports filed pursuant to Section 13(a) or 15(d) of the Exchange Act since the end of the fiscal year covered by the Registrant’s Annual Report on Form 10-K referred to in (a) above;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(c)the description of the Registrant’s common stock contained in the Registrant’s registration statement on Form 8-A (File No. 001-37985) filed on January 17, 2017, under Section 12(b) of the Exchange Act, including any amendment or report filed for the purpose of updating such description.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w:t>
      </w:r>
    </w:p>
    <w:tbl>
      <w:tblPr>
        <w:tblW w:w="104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66"/>
        <w:gridCol w:w="166"/>
        <w:gridCol w:w="166"/>
        <w:gridCol w:w="166"/>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996" w:type="dxa"/>
            <w:gridSpan w:val="9"/>
            <w:vMerge w:val="continue"/>
            <w:tcBorders/>
            <w:tcMar>
              <w:top w:w="0" w:type="dxa"/>
              <w:left w:w="0" w:type="dxa"/>
              <w:bottom w:w="0" w:type="dxa"/>
              <w:right w:w="0" w:type="dxa"/>
            </w:tcMar>
            <w:vAlign w:val="center"/>
          </w:tcPr>
          <w:p>
            <w:pPr>
              <w:pStyle w:val="Normal"/>
              <w:bidi w:val="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vMerge w:val="continue"/>
            <w:tcBorders/>
            <w:tcMar>
              <w:top w:w="0" w:type="dxa"/>
              <w:left w:w="0" w:type="dxa"/>
              <w:bottom w:w="0" w:type="dxa"/>
              <w:right w:w="0" w:type="dxa"/>
            </w:tcMar>
            <w:vAlign w:val="center"/>
          </w:tcPr>
          <w:p>
            <w:pPr>
              <w:pStyle w:val="Normal"/>
              <w:bidi w:val="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981"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001-37985</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001-37985</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Form of Registrant’s Common Stock certificate</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333-206849</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2017 Equity Incentive Plan</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001-37985</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anab-sx851opinionaugust2025.htm">
              <w:r>
                <w:rPr>
                  <w:rStyle w:val="InternetLink"/>
                  <w:rFonts w:ascii="Times New Roman;serif" w:hAnsi="Times New Roman;serif"/>
                  <w:b w:val="false"/>
                  <w:color w:val="0000FF"/>
                  <w:sz w:val="20"/>
                  <w:u w:val="single"/>
                </w:rPr>
                <w:t>Opinion of Fenwick &amp; West LLP</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anab-sx851opinionaugust2025.htm">
              <w:r>
                <w:rPr>
                  <w:rStyle w:val="InternetLink"/>
                  <w:rFonts w:ascii="Times New Roman;serif" w:hAnsi="Times New Roman;serif"/>
                  <w:b w:val="false"/>
                  <w:color w:val="0000FF"/>
                  <w:sz w:val="20"/>
                  <w:u w:val="single"/>
                </w:rPr>
                <w:t>Consent of Fenwick &amp; West LLP (contained in Exhibit 5.1)</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kpmgconsent2025exhibit232.htm">
              <w:r>
                <w:rPr>
                  <w:rStyle w:val="InternetLink"/>
                  <w:rFonts w:ascii="Times New Roman;serif" w:hAnsi="Times New Roman;serif"/>
                  <w:b w:val="false"/>
                  <w:color w:val="0000FF"/>
                  <w:sz w:val="20"/>
                  <w:u w:val="single"/>
                </w:rPr>
                <w:t>Consent of KPMG, independent registered public accounting firm</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e32e1b3c5204be98ba16fa54ff974ca_10">
              <w:r>
                <w:rPr>
                  <w:rStyle w:val="InternetLink"/>
                  <w:rFonts w:ascii="Times New Roman;serif" w:hAnsi="Times New Roman;serif"/>
                  <w:b w:val="false"/>
                  <w:color w:val="000080"/>
                  <w:sz w:val="20"/>
                  <w:u w:val="single"/>
                </w:rPr>
                <w:t>Power of Attorney</w:t>
              </w:r>
            </w:hyperlink>
            <w:r>
              <w:rPr>
                <w:rFonts w:ascii="Times New Roman;serif" w:hAnsi="Times New Roman;serif"/>
                <w:b w:val="false"/>
                <w:color w:val="0000FF"/>
                <w:sz w:val="20"/>
                <w:u w:val="single"/>
              </w:rPr>
              <w:t xml:space="preserve">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II-1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August, 2025.</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before="120" w:after="283"/>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Daniel Faga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Daniel Faga </w:t>
        <w:br/>
        <w:t>President and Chief Executive Officer</w: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that the undersigned officers and directors of AnaptysBio, Inc., a Delaware corporation, do hereby constitute and appoint Daniel Faga, Dennis Mulroy and Eric Loumeau,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on behalf of the Registrant in the capacities and on the dates indicated.</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927"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1299"/>
        <w:gridCol w:w="1299"/>
        <w:gridCol w:w="1316"/>
        <w:gridCol w:w="109"/>
        <w:gridCol w:w="109"/>
        <w:gridCol w:w="109"/>
        <w:gridCol w:w="405"/>
        <w:gridCol w:w="405"/>
        <w:gridCol w:w="58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Faga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Faga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Dennis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Dennis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Dennis Fenton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Dennis Fenton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Rita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Rita Jain,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Magda Marquet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Magda Marquet,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Hollings Renton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Hollings Renton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 Anthony 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2025</w:t>
            </w:r>
          </w:p>
        </w:tc>
      </w:tr>
      <w:tr>
        <w:trPr/>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 Anthony Ware,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4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Calculation of Filing Fee Tables </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Form S-8</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AnaptysBio, Inc.    </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p>
      <w:pPr>
        <w:pStyle w:val="TextBody"/>
        <w:bidi w:val="0"/>
        <w:spacing w:lineRule="auto" w:line="288" w:before="0" w:after="0"/>
        <w:ind w:left="0" w:right="0" w:firstLine="720"/>
        <w:jc w:val="center"/>
        <w:rPr>
          <w:color w:val="000000"/>
        </w:rPr>
      </w:pPr>
      <w:r>
        <w:rPr>
          <w:color w:val="000000"/>
        </w:rPr>
        <w:t> </w:t>
      </w:r>
      <w:r>
        <w:rPr>
          <w:rFonts w:ascii="Times New Roman;serif" w:hAnsi="Times New Roman;serif"/>
          <w:b w:val="false"/>
          <w:color w:val="000000"/>
          <w:sz w:val="20"/>
        </w:rPr>
        <w:t>Newly Registered Securities</w:t>
      </w:r>
    </w:p>
    <w:p>
      <w:pPr>
        <w:pStyle w:val="TextBody"/>
        <w:bidi w:val="0"/>
        <w:spacing w:lineRule="auto" w:line="288" w:before="0" w:after="0"/>
        <w:ind w:left="0" w:right="0" w:firstLine="72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2"/>
        <w:gridCol w:w="249"/>
        <w:gridCol w:w="250"/>
        <w:gridCol w:w="873"/>
        <w:gridCol w:w="787"/>
        <w:gridCol w:w="791"/>
        <w:gridCol w:w="378"/>
        <w:gridCol w:w="378"/>
        <w:gridCol w:w="380"/>
        <w:gridCol w:w="349"/>
        <w:gridCol w:w="337"/>
        <w:gridCol w:w="338"/>
        <w:gridCol w:w="433"/>
        <w:gridCol w:w="433"/>
        <w:gridCol w:w="435"/>
        <w:gridCol w:w="530"/>
        <w:gridCol w:w="396"/>
        <w:gridCol w:w="398"/>
        <w:gridCol w:w="319"/>
        <w:gridCol w:w="319"/>
        <w:gridCol w:w="323"/>
        <w:gridCol w:w="356"/>
        <w:gridCol w:w="356"/>
        <w:gridCol w:w="515"/>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245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Class Title</w:t>
            </w:r>
          </w:p>
        </w:tc>
        <w:tc>
          <w:tcPr>
            <w:tcW w:w="1136"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Calculation Rule</w:t>
            </w:r>
          </w:p>
        </w:tc>
        <w:tc>
          <w:tcPr>
            <w:tcW w:w="102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48" w:before="0" w:after="0"/>
              <w:jc w:val="center"/>
              <w:rPr/>
            </w:pPr>
            <w:r>
              <w:rPr>
                <w:rFonts w:ascii="Times New Roman;serif" w:hAnsi="Times New Roman;serif"/>
                <w:b w:val="false"/>
                <w:color w:val="000000"/>
                <w:sz w:val="18"/>
              </w:rPr>
              <w:t xml:space="preserve">Amount Registered </w:t>
            </w:r>
            <w:r>
              <w:rPr>
                <w:rFonts w:ascii="Times New Roman;serif" w:hAnsi="Times New Roman;serif"/>
                <w:b w:val="false"/>
                <w:color w:val="000000"/>
                <w:sz w:val="12"/>
              </w:rPr>
              <w:t>(1)</w:t>
            </w:r>
          </w:p>
        </w:tc>
        <w:tc>
          <w:tcPr>
            <w:tcW w:w="130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Proposed Maximum Offering Price Per Unit</w:t>
            </w:r>
          </w:p>
        </w:tc>
        <w:tc>
          <w:tcPr>
            <w:tcW w:w="132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Maximum Aggregate Offering Price</w:t>
            </w:r>
          </w:p>
        </w:tc>
        <w:tc>
          <w:tcPr>
            <w:tcW w:w="96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Rate</w:t>
            </w:r>
          </w:p>
        </w:tc>
        <w:tc>
          <w:tcPr>
            <w:tcW w:w="1227"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 of Registration Fee</w:t>
            </w:r>
          </w:p>
        </w:tc>
      </w:tr>
      <w:tr>
        <w:trPr/>
        <w:tc>
          <w:tcPr>
            <w:tcW w:w="78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c>
          <w:tcPr>
            <w:tcW w:w="2451"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 reserved for issuance pursuant to the Amended and Restated 2017 Equity Incentive Plan</w:t>
            </w:r>
          </w:p>
        </w:tc>
        <w:tc>
          <w:tcPr>
            <w:tcW w:w="1136"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Rule 457(c) and Rule 457(h)</w:t>
            </w:r>
          </w:p>
        </w:tc>
        <w:tc>
          <w:tcPr>
            <w:tcW w:w="1024"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13" w:after="20"/>
              <w:jc w:val="center"/>
              <w:rPr/>
            </w:pPr>
            <w:r>
              <w:rPr>
                <w:rFonts w:ascii="Times New Roman;serif" w:hAnsi="Times New Roman;serif"/>
                <w:b w:val="false"/>
                <w:color w:val="000000"/>
                <w:sz w:val="18"/>
              </w:rPr>
              <w:t>1,650,000</w:t>
            </w:r>
            <w:r>
              <w:rPr>
                <w:rFonts w:ascii="Times New Roman;serif" w:hAnsi="Times New Roman;serif"/>
                <w:b w:val="false"/>
                <w:color w:val="000000"/>
                <w:sz w:val="12"/>
              </w:rPr>
              <w:t>(2)</w:t>
            </w:r>
          </w:p>
        </w:tc>
        <w:tc>
          <w:tcPr>
            <w:tcW w:w="130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13" w:after="20"/>
              <w:jc w:val="left"/>
              <w:rPr/>
            </w:pPr>
            <w:r>
              <w:rPr>
                <w:rFonts w:ascii="Times New Roman;serif" w:hAnsi="Times New Roman;serif"/>
                <w:b w:val="false"/>
                <w:color w:val="000000"/>
                <w:sz w:val="18"/>
              </w:rPr>
              <w:t>$24.82</w:t>
            </w:r>
            <w:r>
              <w:rPr>
                <w:color w:val="000000"/>
              </w:rPr>
              <w:t xml:space="preserve"> </w:t>
            </w:r>
            <w:r>
              <w:rPr>
                <w:rFonts w:ascii="Times New Roman;serif" w:hAnsi="Times New Roman;serif"/>
                <w:b w:val="false"/>
                <w:color w:val="000000"/>
                <w:sz w:val="12"/>
              </w:rPr>
              <w:t>(3)</w:t>
            </w:r>
          </w:p>
        </w:tc>
        <w:tc>
          <w:tcPr>
            <w:tcW w:w="132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48" w:before="0" w:after="283"/>
              <w:jc w:val="center"/>
              <w:rPr>
                <w:rFonts w:ascii="Times New Roman;serif" w:hAnsi="Times New Roman;serif"/>
                <w:b w:val="false"/>
                <w:color w:val="000000"/>
                <w:sz w:val="18"/>
              </w:rPr>
            </w:pPr>
            <w:r>
              <w:rPr>
                <w:rFonts w:ascii="Times New Roman;serif" w:hAnsi="Times New Roman;serif"/>
                <w:b w:val="false"/>
                <w:color w:val="000000"/>
                <w:sz w:val="18"/>
              </w:rPr>
              <w:t>$40,953,000</w:t>
            </w:r>
          </w:p>
        </w:tc>
        <w:tc>
          <w:tcPr>
            <w:tcW w:w="96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0.00015310</w:t>
            </w:r>
          </w:p>
        </w:tc>
        <w:tc>
          <w:tcPr>
            <w:tcW w:w="1227"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348" w:before="0" w:after="283"/>
              <w:jc w:val="center"/>
              <w:rPr>
                <w:rFonts w:ascii="Times New Roman;serif" w:hAnsi="Times New Roman;serif"/>
                <w:b w:val="false"/>
                <w:color w:val="000000"/>
                <w:sz w:val="18"/>
              </w:rPr>
            </w:pPr>
            <w:r>
              <w:rPr>
                <w:rFonts w:ascii="Times New Roman;serif" w:hAnsi="Times New Roman;serif"/>
                <w:b w:val="false"/>
                <w:color w:val="000000"/>
                <w:sz w:val="18"/>
              </w:rPr>
              <w:t>$6,269.91</w:t>
            </w:r>
          </w:p>
        </w:tc>
      </w:tr>
      <w:tr>
        <w:trPr/>
        <w:tc>
          <w:tcPr>
            <w:tcW w:w="5392"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Offering Amounts</w:t>
            </w:r>
          </w:p>
        </w:tc>
        <w:tc>
          <w:tcPr>
            <w:tcW w:w="130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2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48" w:before="0" w:after="283"/>
              <w:jc w:val="center"/>
              <w:rPr>
                <w:rFonts w:ascii="Times New Roman;serif" w:hAnsi="Times New Roman;serif"/>
                <w:b w:val="false"/>
                <w:color w:val="000000"/>
                <w:sz w:val="18"/>
              </w:rPr>
            </w:pPr>
            <w:r>
              <w:rPr>
                <w:rFonts w:ascii="Times New Roman;serif" w:hAnsi="Times New Roman;serif"/>
                <w:b w:val="false"/>
                <w:color w:val="000000"/>
                <w:sz w:val="18"/>
              </w:rPr>
              <w:t>$40,953,000</w:t>
            </w:r>
          </w:p>
        </w:tc>
        <w:tc>
          <w:tcPr>
            <w:tcW w:w="96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348" w:before="0" w:after="283"/>
              <w:jc w:val="center"/>
              <w:rPr>
                <w:rFonts w:ascii="Times New Roman;serif" w:hAnsi="Times New Roman;serif"/>
                <w:b w:val="false"/>
                <w:color w:val="000000"/>
                <w:sz w:val="18"/>
              </w:rPr>
            </w:pPr>
            <w:r>
              <w:rPr>
                <w:rFonts w:ascii="Times New Roman;serif" w:hAnsi="Times New Roman;serif"/>
                <w:b w:val="false"/>
                <w:color w:val="000000"/>
                <w:sz w:val="18"/>
              </w:rPr>
              <w:t>$6,269.91</w:t>
            </w:r>
          </w:p>
        </w:tc>
      </w:tr>
      <w:tr>
        <w:trPr/>
        <w:tc>
          <w:tcPr>
            <w:tcW w:w="5392"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Fee Offsets</w:t>
            </w:r>
          </w:p>
        </w:tc>
        <w:tc>
          <w:tcPr>
            <w:tcW w:w="130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2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1"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5392"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Fee Due</w:t>
            </w:r>
          </w:p>
        </w:tc>
        <w:tc>
          <w:tcPr>
            <w:tcW w:w="1301"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1324"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61"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348" w:before="0" w:after="283"/>
              <w:jc w:val="center"/>
              <w:rPr>
                <w:rFonts w:ascii="Times New Roman;serif" w:hAnsi="Times New Roman;serif"/>
                <w:b w:val="false"/>
                <w:color w:val="000000"/>
                <w:sz w:val="18"/>
              </w:rPr>
            </w:pPr>
            <w:r>
              <w:rPr>
                <w:rFonts w:ascii="Times New Roman;serif" w:hAnsi="Times New Roman;serif"/>
                <w:b w:val="false"/>
                <w:color w:val="000000"/>
                <w:sz w:val="18"/>
              </w:rPr>
              <w:t>$6,269.91</w:t>
            </w:r>
          </w:p>
        </w:tc>
      </w:tr>
    </w:tbl>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Pursuant to Rule 416(a) under the Securities Act of 1933, as amended (the “Securities Act”), this Registration Statement shall also cover any additional shares of the Registrant’s Common Stock that becomes issuable under the Registrant’s Amended and Restated 2017 Equity Incentive Plan (the “2017 EIP”) by reason of any stock dividend, stock split, recapitalization or other similar transaction effected without the receipt of consideration that increases the number of the Registrant’s outstanding shares of Common Stock.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additional shares reserved for issuance under the 2017 EIP as of the date of this Registration Statement.</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solely for the purposes of this offering under Rules 457(c) and (h) of the Securities Act on the basis of the average of the high and low prices of the Registrant’s Common Stock as reported on the Nasdaq Global Select Market on July 31, 2025.</w:t>
      </w:r>
    </w:p>
    <w:p>
      <w:pPr>
        <w:pStyle w:val="TextBody"/>
        <w:bidi w:val="0"/>
        <w:spacing w:before="60" w:after="283"/>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471" w:type="dxa"/>
        <w:jc w:val="left"/>
        <w:tblInd w:w="0" w:type="dxa"/>
        <w:tblLayout w:type="fixed"/>
        <w:tblCellMar>
          <w:top w:w="28" w:type="dxa"/>
          <w:left w:w="28" w:type="dxa"/>
          <w:bottom w:w="28" w:type="dxa"/>
          <w:right w:w="28" w:type="dxa"/>
        </w:tblCellMar>
      </w:tblPr>
      <w:tblGrid>
        <w:gridCol w:w="1992"/>
        <w:gridCol w:w="1751"/>
        <w:gridCol w:w="1751"/>
        <w:gridCol w:w="1751"/>
        <w:gridCol w:w="1751"/>
        <w:gridCol w:w="2475"/>
      </w:tblGrid>
      <w:tr>
        <w:trPr/>
        <w:tc>
          <w:tcPr>
            <w:tcW w:w="199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r>
      <w:tr>
        <w:trPr/>
        <w:tc>
          <w:tcPr>
            <w:tcW w:w="11471"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191375" cy="8286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6"/>
                          <a:stretch>
                            <a:fillRect/>
                          </a:stretch>
                        </pic:blipFill>
                        <pic:spPr bwMode="auto">
                          <a:xfrm>
                            <a:off x="0" y="0"/>
                            <a:ext cx="7191375" cy="828675"/>
                          </a:xfrm>
                          <a:prstGeom prst="rect">
                            <a:avLst/>
                          </a:prstGeom>
                        </pic:spPr>
                      </pic:pic>
                    </a:graphicData>
                  </a:graphic>
                </wp:inline>
              </w:drawing>
            </w:r>
          </w:p>
        </w:tc>
      </w:tr>
      <w:tr>
        <w:trPr/>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2025</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AnaptysBio,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10770 Wateridge Circle, Suite 210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Diego, CA 92121</w:t>
      </w:r>
    </w:p>
    <w:p>
      <w:pPr>
        <w:pStyle w:val="TextBody"/>
        <w:bidi w:val="0"/>
        <w:spacing w:before="0" w:after="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Re: Registration Statement on Form S-8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counsel to AnaptysBio,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we have examined the Registration Statement on Form S-8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to be filed by the Company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or about August 6, 2025 in connection with the registration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of an aggregate of 1,650,000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the Company’s Common Stock, $0.001 par value per share, that consists of 1,650,000 Shares that are subject to issuance by the Company upon the exercise or settlement of awards to be granted under the Amended and Restated 2017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as approved by the stockholders of the Company on June 17, 2025.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documents filed with the Commission via the Electronic Data Gathering, Analysis and Retrieval System (“</w:t>
      </w:r>
      <w:r>
        <w:rPr>
          <w:rFonts w:ascii="Times New Roman;serif" w:hAnsi="Times New Roman;serif"/>
          <w:b/>
          <w:i/>
          <w:color w:val="000000"/>
          <w:sz w:val="24"/>
        </w:rPr>
        <w:t>EDGAR</w:t>
      </w:r>
      <w:r>
        <w:rPr>
          <w:color w:val="000000"/>
        </w:rPr>
        <w:t>”</w:t>
      </w:r>
      <w:r>
        <w:rPr>
          <w:rFonts w:ascii="Times New Roman;serif" w:hAnsi="Times New Roman;serif"/>
          <w:b w:val="false"/>
          <w:color w:val="000000"/>
          <w:sz w:val="24"/>
        </w:rPr>
        <w:t>), except for required EDGAR formatting changes, to physical copies submitted for our examination.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opinions in this letter are limited to the existing General Corporation Law of the State of Delaware now in effect. We express no opinion with respect to any other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and subject to, the foregoing, it is our opinion that the Shares, when issued and sold by the Company in accordance with the terms (including, without limitation, payment and authorization provisions) of the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FENWICK &amp; WEST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FENWICK &amp; WEST LLP</w:t>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120"/>
        <w:ind w:left="0" w:right="0" w:hanging="547"/>
        <w:jc w:val="both"/>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February 27, 2025, with respect to the consolidated financial statements of AnaptysBio, Inc., incorporated herein by reference.</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San Diego, California</w:t>
        <w:br/>
        <w:t>August 6, 2025</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053/000137005323000049/anaptysbioinc-derestated.htm" TargetMode="External"/><Relationship Id="rId3" Type="http://schemas.openxmlformats.org/officeDocument/2006/relationships/hyperlink" Target="https://www.sec.gov/Archives/edgar/data/1370053/000137005323000013/anaptysbio-secondamended.htm" TargetMode="External"/><Relationship Id="rId4" Type="http://schemas.openxmlformats.org/officeDocument/2006/relationships/hyperlink" Target="https://www.sec.gov/Archives/edgar/data/1370053/000119312515412604/d942137dex41.htm" TargetMode="External"/><Relationship Id="rId5" Type="http://schemas.openxmlformats.org/officeDocument/2006/relationships/hyperlink" Target="https://www.sec.gov/Archives/edgar/data/1370053/000137005325000055/anab-a_r2017eipasadopted.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2387</Words>
  <Characters>12764</Characters>
  <CharactersWithSpaces>14989</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