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333-206849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5080</wp:posOffset>
            </wp:positionV>
            <wp:extent cx="214376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305435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60" w:firstLine="456"/>
        <w:spacing w:after="0" w:line="246" w:lineRule="auto"/>
        <w:rPr>
          <w:sz w:val="20"/>
          <w:szCs w:val="20"/>
          <w:color w:val="auto"/>
        </w:rPr>
      </w:pPr>
      <w:r>
        <w:rPr>
          <w:rFonts w:ascii="Arial" w:cs="Arial" w:eastAsia="Arial" w:hAnsi="Arial"/>
          <w:sz w:val="18"/>
          <w:szCs w:val="18"/>
          <w:color w:val="auto"/>
        </w:rPr>
        <w:t>This is the initial public offering of shares of AnaptysBio, Inc. common stock. We are offering 5,000,000 shares of our common stock. The initial public offering price of our common stock is $15.00 per share.</w:t>
      </w:r>
    </w:p>
    <w:p>
      <w:pPr>
        <w:spacing w:after="0" w:line="197" w:lineRule="exact"/>
        <w:rPr>
          <w:sz w:val="24"/>
          <w:szCs w:val="24"/>
          <w:color w:val="auto"/>
        </w:rPr>
      </w:pPr>
    </w:p>
    <w:p>
      <w:pPr>
        <w:ind w:right="420" w:firstLine="456"/>
        <w:spacing w:after="0" w:line="246" w:lineRule="auto"/>
        <w:rPr>
          <w:sz w:val="20"/>
          <w:szCs w:val="20"/>
          <w:color w:val="auto"/>
        </w:rPr>
      </w:pPr>
      <w:r>
        <w:rPr>
          <w:rFonts w:ascii="Arial" w:cs="Arial" w:eastAsia="Arial" w:hAnsi="Arial"/>
          <w:sz w:val="18"/>
          <w:szCs w:val="18"/>
          <w:color w:val="auto"/>
        </w:rPr>
        <w:t>Prior to this offering, there has been no public market for our common stock. Our common stock has been approved for listing on the Nasdaq Global Select Market under the symbol “ANAB.”</w:t>
      </w:r>
    </w:p>
    <w:p>
      <w:pPr>
        <w:spacing w:after="0" w:line="197" w:lineRule="exact"/>
        <w:rPr>
          <w:sz w:val="24"/>
          <w:szCs w:val="24"/>
          <w:color w:val="auto"/>
        </w:rPr>
      </w:pPr>
    </w:p>
    <w:p>
      <w:pPr>
        <w:ind w:right="140" w:firstLine="456"/>
        <w:spacing w:after="0" w:line="246" w:lineRule="auto"/>
        <w:rPr>
          <w:sz w:val="20"/>
          <w:szCs w:val="20"/>
          <w:color w:val="auto"/>
        </w:rPr>
      </w:pPr>
      <w:r>
        <w:rPr>
          <w:rFonts w:ascii="Arial" w:cs="Arial" w:eastAsia="Arial" w:hAnsi="Arial"/>
          <w:sz w:val="18"/>
          <w:szCs w:val="18"/>
          <w:color w:val="auto"/>
        </w:rPr>
        <w:t>The underwriters have the option for a 30-day period to purchase up to an additional 750,000 shares from us to cover over-allotments of shares.</w:t>
      </w:r>
    </w:p>
    <w:p>
      <w:pPr>
        <w:spacing w:after="0" w:line="197" w:lineRule="exact"/>
        <w:rPr>
          <w:sz w:val="24"/>
          <w:szCs w:val="24"/>
          <w:color w:val="auto"/>
        </w:rPr>
      </w:pPr>
    </w:p>
    <w:p>
      <w:pPr>
        <w:ind w:right="240" w:firstLine="456"/>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175" w:lineRule="exact"/>
        <w:rPr>
          <w:sz w:val="24"/>
          <w:szCs w:val="24"/>
          <w:color w:val="auto"/>
        </w:rPr>
      </w:pPr>
    </w:p>
    <w:p>
      <w:pPr>
        <w:jc w:val="center"/>
        <w:ind w:right="-3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15 of this prospectus.</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Underwriting</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Proceeds to</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 to</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Discounts and</w:t>
            </w: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AnaptysBio,</w:t>
            </w:r>
          </w:p>
        </w:tc>
        <w:tc>
          <w:tcPr>
            <w:tcW w:w="0" w:type="dxa"/>
            <w:vAlign w:val="bottom"/>
          </w:tcPr>
          <w:p>
            <w:pPr>
              <w:spacing w:after="0"/>
              <w:rPr>
                <w:sz w:val="1"/>
                <w:szCs w:val="1"/>
                <w:color w:val="auto"/>
              </w:rPr>
            </w:pPr>
          </w:p>
        </w:tc>
      </w:tr>
      <w:tr>
        <w:trPr>
          <w:trHeight w:val="189"/>
        </w:trPr>
        <w:tc>
          <w:tcPr>
            <w:tcW w:w="5740" w:type="dxa"/>
            <w:vAlign w:val="bottom"/>
            <w:vMerge w:val="restart"/>
          </w:tcPr>
          <w:p>
            <w:pPr>
              <w:spacing w:after="0"/>
              <w:rPr>
                <w:sz w:val="20"/>
                <w:szCs w:val="20"/>
                <w:color w:val="auto"/>
              </w:rPr>
            </w:pPr>
            <w:r>
              <w:rPr>
                <w:rFonts w:ascii="Arial" w:cs="Arial" w:eastAsia="Arial" w:hAnsi="Arial"/>
                <w:sz w:val="18"/>
                <w:szCs w:val="18"/>
                <w:color w:val="auto"/>
              </w:rPr>
              <w:t>Per Share</w:t>
            </w:r>
          </w:p>
        </w:tc>
        <w:tc>
          <w:tcPr>
            <w:tcW w:w="2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Public</w:t>
            </w: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Commissions(1)</w:t>
            </w: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1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$15.00</w:t>
            </w:r>
          </w:p>
        </w:tc>
        <w:tc>
          <w:tcPr>
            <w:tcW w:w="340" w:type="dxa"/>
            <w:vAlign w:val="bottom"/>
          </w:tcPr>
          <w:p>
            <w:pPr>
              <w:spacing w:after="0"/>
              <w:rPr>
                <w:sz w:val="16"/>
                <w:szCs w:val="16"/>
                <w:color w:val="auto"/>
              </w:rPr>
            </w:pPr>
          </w:p>
        </w:tc>
        <w:tc>
          <w:tcPr>
            <w:tcW w:w="1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w:t>
            </w:r>
          </w:p>
        </w:tc>
        <w:tc>
          <w:tcPr>
            <w:tcW w:w="340" w:type="dxa"/>
            <w:vAlign w:val="bottom"/>
          </w:tcPr>
          <w:p>
            <w:pPr>
              <w:spacing w:after="0"/>
              <w:rPr>
                <w:sz w:val="16"/>
                <w:szCs w:val="16"/>
                <w:color w:val="auto"/>
              </w:rPr>
            </w:pPr>
          </w:p>
        </w:tc>
        <w:tc>
          <w:tcPr>
            <w:tcW w:w="1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$75,000,000</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$5,250,000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$69,750,000</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39" w:lineRule="exact"/>
        <w:rPr>
          <w:sz w:val="24"/>
          <w:szCs w:val="24"/>
          <w:color w:val="auto"/>
        </w:rPr>
      </w:pPr>
    </w:p>
    <w:p>
      <w:pPr>
        <w:ind w:right="160" w:firstLine="456"/>
        <w:spacing w:after="0" w:line="239" w:lineRule="auto"/>
        <w:rPr>
          <w:sz w:val="20"/>
          <w:szCs w:val="20"/>
          <w:color w:val="auto"/>
        </w:rPr>
      </w:pPr>
      <w:r>
        <w:rPr>
          <w:rFonts w:ascii="Arial" w:cs="Arial" w:eastAsia="Arial" w:hAnsi="Arial"/>
          <w:sz w:val="18"/>
          <w:szCs w:val="18"/>
          <w:color w:val="auto"/>
        </w:rPr>
        <w:t>Certain of our existing stockholders and their affiliated entities, including stockholders affiliated with certain of our directors, have agreed to purchase an aggregate of 1,946,666 shares of our common stock in this offering at the initial public offering price. The underwriters will receive the same underwriting discount on the shares purchased by these entities as they will on the other shares sold to the public in this offering.</w:t>
      </w:r>
    </w:p>
    <w:p>
      <w:pPr>
        <w:spacing w:after="0" w:line="180" w:lineRule="exact"/>
        <w:rPr>
          <w:sz w:val="24"/>
          <w:szCs w:val="24"/>
          <w:color w:val="auto"/>
        </w:rPr>
      </w:pPr>
    </w:p>
    <w:p>
      <w:pPr>
        <w:ind w:right="240" w:firstLine="456"/>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underwriters expect to deliver the shares of common stock to the purchasers on or about January 31, 2017.</w:t>
      </w:r>
    </w:p>
    <w:p>
      <w:pPr>
        <w:sectPr>
          <w:pgSz w:w="11900" w:h="16838" w:orient="portrait"/>
          <w:cols w:equalWidth="0" w:num="1">
            <w:col w:w="11420"/>
          </w:cols>
          <w:pgMar w:left="240" w:top="230" w:right="239" w:bottom="1440" w:gutter="0" w:footer="0" w:header="0"/>
        </w:sectPr>
      </w:pPr>
    </w:p>
    <w:p>
      <w:pPr>
        <w:spacing w:after="0" w:line="199"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Stifel</w:t>
      </w:r>
    </w:p>
    <w:p>
      <w:pPr>
        <w:spacing w:after="0" w:line="122" w:lineRule="exact"/>
        <w:rPr>
          <w:sz w:val="24"/>
          <w:szCs w:val="24"/>
          <w:color w:val="auto"/>
        </w:rPr>
      </w:pPr>
    </w:p>
    <w:p>
      <w:pPr>
        <w:sectPr>
          <w:pgSz w:w="11900" w:h="16838" w:orient="portrait"/>
          <w:cols w:equalWidth="0" w:num="2">
            <w:col w:w="9880" w:space="720"/>
            <w:col w:w="820"/>
          </w:cols>
          <w:pgMar w:left="240" w:top="230" w:right="239" w:bottom="1440" w:gutter="0" w:footer="0" w:header="0"/>
          <w:type w:val="continuous"/>
        </w:sectPr>
      </w:pPr>
    </w:p>
    <w:p>
      <w:pPr>
        <w:spacing w:after="0"/>
        <w:rPr>
          <w:sz w:val="20"/>
          <w:szCs w:val="20"/>
          <w:color w:val="auto"/>
        </w:rPr>
      </w:pPr>
      <w:r>
        <w:rPr>
          <w:rFonts w:ascii="Arial" w:cs="Arial" w:eastAsia="Arial" w:hAnsi="Arial"/>
          <w:sz w:val="25"/>
          <w:szCs w:val="25"/>
          <w:b w:val="1"/>
          <w:bCs w:val="1"/>
          <w:color w:val="auto"/>
        </w:rPr>
        <w:t>JMP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5"/>
          <w:szCs w:val="25"/>
          <w:b w:val="1"/>
          <w:bCs w:val="1"/>
          <w:color w:val="auto"/>
        </w:rPr>
        <w:t>Wedbush PacGrow</w:t>
      </w:r>
    </w:p>
    <w:p>
      <w:pPr>
        <w:spacing w:after="0" w:line="200" w:lineRule="exact"/>
        <w:rPr>
          <w:sz w:val="24"/>
          <w:szCs w:val="24"/>
          <w:color w:val="auto"/>
        </w:rPr>
      </w:pPr>
    </w:p>
    <w:p>
      <w:pPr>
        <w:sectPr>
          <w:pgSz w:w="11900" w:h="16838" w:orient="portrait"/>
          <w:cols w:equalWidth="0" w:num="2">
            <w:col w:w="8300" w:space="720"/>
            <w:col w:w="2400"/>
          </w:cols>
          <w:pgMar w:left="240" w:top="230" w:right="239" w:bottom="1440" w:gutter="0" w:footer="0" w:header="0"/>
          <w:type w:val="continuous"/>
        </w:sectPr>
      </w:pP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date of this prospectus is January 25, 2017.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274320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2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720" w:type="dxa"/>
            <w:vAlign w:val="bottom"/>
            <w:gridSpan w:val="2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20" w:type="dxa"/>
            <w:vAlign w:val="bottom"/>
            <w:gridSpan w:val="26"/>
            <w:vMerge w:val="continue"/>
          </w:tcPr>
          <w:p>
            <w:pPr>
              <w:spacing w:after="0"/>
              <w:rPr>
                <w:sz w:val="14"/>
                <w:szCs w:val="14"/>
                <w:color w:val="auto"/>
              </w:rPr>
            </w:pPr>
          </w:p>
        </w:tc>
        <w:tc>
          <w:tcPr>
            <w:tcW w:w="5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T</w:t>
              </w:r>
              <w:r>
                <w:rPr>
                  <w:rFonts w:ascii="Arial" w:cs="Arial" w:eastAsia="Arial" w:hAnsi="Arial"/>
                  <w:sz w:val="15"/>
                  <w:szCs w:val="15"/>
                  <w:color w:val="0000EE"/>
                  <w:w w:val="94"/>
                </w:rPr>
                <w:t>HE</w:t>
              </w:r>
              <w:r>
                <w:rPr>
                  <w:rFonts w:ascii="Arial" w:cs="Arial" w:eastAsia="Arial" w:hAnsi="Arial"/>
                  <w:sz w:val="18"/>
                  <w:szCs w:val="18"/>
                  <w:color w:val="0000EE"/>
                  <w:w w:val="94"/>
                </w:rPr>
                <w:t xml:space="preserve"> O</w:t>
              </w:r>
              <w:r>
                <w:rPr>
                  <w:rFonts w:ascii="Arial" w:cs="Arial" w:eastAsia="Arial" w:hAnsi="Arial"/>
                  <w:sz w:val="15"/>
                  <w:szCs w:val="15"/>
                  <w:color w:val="0000EE"/>
                  <w:w w:val="94"/>
                </w:rPr>
                <w:t>FFERING</w:t>
              </w:r>
            </w:hyperlink>
          </w:p>
        </w:tc>
        <w:tc>
          <w:tcPr>
            <w:tcW w:w="660" w:type="dxa"/>
            <w:vAlign w:val="bottom"/>
            <w:tcBorders>
              <w:top w:val="single" w:sz="8" w:color="0000EE"/>
            </w:tcBorders>
            <w:gridSpan w:val="6"/>
          </w:tcPr>
          <w:p>
            <w:pPr>
              <w:spacing w:after="0"/>
              <w:rPr>
                <w:sz w:val="17"/>
                <w:szCs w:val="17"/>
                <w:color w:val="auto"/>
              </w:rPr>
            </w:pPr>
          </w:p>
        </w:tc>
        <w:tc>
          <w:tcPr>
            <w:tcW w:w="8940" w:type="dxa"/>
            <w:vAlign w:val="bottom"/>
            <w:gridSpan w:val="15"/>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 xml:space="preserve"> -L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M</w:t>
              </w:r>
              <w:r>
                <w:rPr>
                  <w:rFonts w:ascii="Arial" w:cs="Arial" w:eastAsia="Arial" w:hAnsi="Arial"/>
                  <w:sz w:val="15"/>
                  <w:szCs w:val="15"/>
                  <w:color w:val="0000EE"/>
                  <w:w w:val="98"/>
                </w:rPr>
                <w:t>ARKET AND</w:t>
              </w:r>
              <w:r>
                <w:rPr>
                  <w:rFonts w:ascii="Arial" w:cs="Arial" w:eastAsia="Arial" w:hAnsi="Arial"/>
                  <w:sz w:val="18"/>
                  <w:szCs w:val="18"/>
                  <w:color w:val="0000EE"/>
                  <w:w w:val="98"/>
                </w:rPr>
                <w:t xml:space="preserve"> I</w:t>
              </w:r>
              <w:r>
                <w:rPr>
                  <w:rFonts w:ascii="Arial" w:cs="Arial" w:eastAsia="Arial" w:hAnsi="Arial"/>
                  <w:sz w:val="15"/>
                  <w:szCs w:val="15"/>
                  <w:color w:val="0000EE"/>
                  <w:w w:val="98"/>
                </w:rPr>
                <w:t>NDUSTRY</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w:t>
              </w:r>
            </w:hyperlink>
          </w:p>
        </w:tc>
        <w:tc>
          <w:tcPr>
            <w:tcW w:w="2340" w:type="dxa"/>
            <w:vAlign w:val="bottom"/>
            <w:tcBorders>
              <w:top w:val="single" w:sz="8" w:color="0000EE"/>
            </w:tcBorders>
            <w:gridSpan w:val="5"/>
          </w:tcPr>
          <w:p>
            <w:pPr>
              <w:spacing w:after="0"/>
              <w:rPr>
                <w:sz w:val="17"/>
                <w:szCs w:val="17"/>
                <w:color w:val="auto"/>
              </w:rPr>
            </w:pPr>
          </w:p>
        </w:tc>
        <w:tc>
          <w:tcPr>
            <w:tcW w:w="6080" w:type="dxa"/>
            <w:vAlign w:val="bottom"/>
            <w:gridSpan w:val="6"/>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340" w:type="dxa"/>
            <w:vAlign w:val="bottom"/>
            <w:gridSpan w:val="16"/>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9360" w:type="dxa"/>
            <w:vAlign w:val="bottom"/>
            <w:gridSpan w:val="17"/>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480" w:type="dxa"/>
            <w:vAlign w:val="bottom"/>
            <w:tcBorders>
              <w:top w:val="single" w:sz="8" w:color="0000EE"/>
            </w:tcBorders>
            <w:gridSpan w:val="4"/>
          </w:tcPr>
          <w:p>
            <w:pPr>
              <w:spacing w:after="0"/>
              <w:rPr>
                <w:sz w:val="17"/>
                <w:szCs w:val="17"/>
                <w:color w:val="auto"/>
              </w:rPr>
            </w:pPr>
          </w:p>
        </w:tc>
        <w:tc>
          <w:tcPr>
            <w:tcW w:w="9480" w:type="dxa"/>
            <w:vAlign w:val="bottom"/>
            <w:gridSpan w:val="19"/>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w:t>
              </w:r>
              <w:r>
                <w:rPr>
                  <w:rFonts w:ascii="Arial" w:cs="Arial" w:eastAsia="Arial" w:hAnsi="Arial"/>
                  <w:sz w:val="15"/>
                  <w:szCs w:val="15"/>
                  <w:color w:val="0000EE"/>
                </w:rPr>
                <w:t>ELECTED</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w:t>
              </w:r>
              <w:r>
                <w:rPr>
                  <w:rFonts w:ascii="Arial" w:cs="Arial" w:eastAsia="Arial" w:hAnsi="Arial"/>
                  <w:sz w:val="15"/>
                  <w:szCs w:val="15"/>
                  <w:color w:val="0000EE"/>
                </w:rPr>
                <w:t>ANAGEMENT</w:t>
              </w:r>
              <w:r>
                <w:rPr>
                  <w:rFonts w:ascii="Arial" w:cs="Arial" w:eastAsia="Arial" w:hAnsi="Arial"/>
                  <w:sz w:val="18"/>
                  <w:szCs w:val="18"/>
                  <w:color w:val="0000EE"/>
                </w:rPr>
                <w:t>’</w:t>
              </w:r>
              <w:r>
                <w:rPr>
                  <w:rFonts w:ascii="Arial" w:cs="Arial" w:eastAsia="Arial" w:hAnsi="Arial"/>
                  <w:sz w:val="15"/>
                  <w:szCs w:val="15"/>
                  <w:color w:val="0000EE"/>
                </w:rPr>
                <w:t>S</w:t>
              </w:r>
              <w:r>
                <w:rPr>
                  <w:rFonts w:ascii="Arial" w:cs="Arial" w:eastAsia="Arial" w:hAnsi="Arial"/>
                  <w:sz w:val="18"/>
                  <w:szCs w:val="18"/>
                  <w:color w:val="0000EE"/>
                </w:rPr>
                <w:t xml:space="preserve"> D</w:t>
              </w:r>
              <w:r>
                <w:rPr>
                  <w:rFonts w:ascii="Arial" w:cs="Arial" w:eastAsia="Arial" w:hAnsi="Arial"/>
                  <w:sz w:val="15"/>
                  <w:szCs w:val="15"/>
                  <w:color w:val="0000EE"/>
                </w:rPr>
                <w:t>ISCUSSION AND</w:t>
              </w:r>
              <w:r>
                <w:rPr>
                  <w:rFonts w:ascii="Arial" w:cs="Arial" w:eastAsia="Arial" w:hAnsi="Arial"/>
                  <w:sz w:val="18"/>
                  <w:szCs w:val="18"/>
                  <w:color w:val="0000EE"/>
                </w:rPr>
                <w:t xml:space="preserve"> A</w:t>
              </w:r>
              <w:r>
                <w:rPr>
                  <w:rFonts w:ascii="Arial" w:cs="Arial" w:eastAsia="Arial" w:hAnsi="Arial"/>
                  <w:sz w:val="15"/>
                  <w:szCs w:val="15"/>
                  <w:color w:val="0000EE"/>
                </w:rPr>
                <w:t>NALYSIS OF</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C</w:t>
              </w:r>
              <w:r>
                <w:rPr>
                  <w:rFonts w:ascii="Arial" w:cs="Arial" w:eastAsia="Arial" w:hAnsi="Arial"/>
                  <w:sz w:val="15"/>
                  <w:szCs w:val="15"/>
                  <w:color w:val="0000EE"/>
                </w:rPr>
                <w:t>ONDITION AND</w:t>
              </w:r>
              <w:r>
                <w:rPr>
                  <w:rFonts w:ascii="Arial" w:cs="Arial" w:eastAsia="Arial" w:hAnsi="Arial"/>
                  <w:sz w:val="18"/>
                  <w:szCs w:val="18"/>
                  <w:color w:val="0000EE"/>
                </w:rPr>
                <w:t xml:space="preserve"> R</w:t>
              </w:r>
              <w:r>
                <w:rPr>
                  <w:rFonts w:ascii="Arial" w:cs="Arial" w:eastAsia="Arial" w:hAnsi="Arial"/>
                  <w:sz w:val="15"/>
                  <w:szCs w:val="15"/>
                  <w:color w:val="0000EE"/>
                </w:rPr>
                <w:t>ESULTS OF</w:t>
              </w:r>
              <w:r>
                <w:rPr>
                  <w:rFonts w:ascii="Arial" w:cs="Arial" w:eastAsia="Arial" w:hAnsi="Arial"/>
                  <w:sz w:val="18"/>
                  <w:szCs w:val="18"/>
                  <w:color w:val="0000EE"/>
                </w:rPr>
                <w:t xml:space="preserve"> O</w:t>
              </w:r>
              <w:r>
                <w:rPr>
                  <w:rFonts w:ascii="Arial" w:cs="Arial" w:eastAsia="Arial" w:hAnsi="Arial"/>
                  <w:sz w:val="15"/>
                  <w:szCs w:val="15"/>
                  <w:color w:val="0000EE"/>
                </w:rPr>
                <w:t>PERATIONS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B</w:t>
              </w:r>
              <w:r>
                <w:rPr>
                  <w:rFonts w:ascii="Arial" w:cs="Arial" w:eastAsia="Arial" w:hAnsi="Arial"/>
                  <w:sz w:val="15"/>
                  <w:szCs w:val="15"/>
                  <w:color w:val="0000EE"/>
                  <w:w w:val="92"/>
                </w:rPr>
                <w:t>USINESS</w:t>
              </w:r>
            </w:hyperlink>
          </w:p>
        </w:tc>
        <w:tc>
          <w:tcPr>
            <w:tcW w:w="6920" w:type="dxa"/>
            <w:vAlign w:val="bottom"/>
            <w:tcBorders>
              <w:top w:val="single" w:sz="8" w:color="0000EE"/>
            </w:tcBorders>
            <w:gridSpan w:val="23"/>
          </w:tcPr>
          <w:p>
            <w:pPr>
              <w:spacing w:after="0"/>
              <w:rPr>
                <w:sz w:val="17"/>
                <w:szCs w:val="17"/>
                <w:color w:val="auto"/>
              </w:rPr>
            </w:pPr>
          </w:p>
        </w:tc>
        <w:tc>
          <w:tcPr>
            <w:tcW w:w="30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29">
              <w:r>
                <w:rPr>
                  <w:rFonts w:ascii="Arial" w:cs="Arial" w:eastAsia="Arial" w:hAnsi="Arial"/>
                  <w:sz w:val="18"/>
                  <w:szCs w:val="18"/>
                  <w:color w:val="0000EE"/>
                  <w:w w:val="99"/>
                </w:rPr>
                <w:t>M</w:t>
              </w:r>
              <w:r>
                <w:rPr>
                  <w:rFonts w:ascii="Arial" w:cs="Arial" w:eastAsia="Arial" w:hAnsi="Arial"/>
                  <w:sz w:val="15"/>
                  <w:szCs w:val="15"/>
                  <w:color w:val="0000EE"/>
                  <w:w w:val="99"/>
                </w:rPr>
                <w:t>ANAGEMENT</w:t>
              </w:r>
            </w:hyperlink>
          </w:p>
        </w:tc>
        <w:tc>
          <w:tcPr>
            <w:tcW w:w="9600" w:type="dxa"/>
            <w:vAlign w:val="bottom"/>
            <w:gridSpan w:val="21"/>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37">
              <w:r>
                <w:rPr>
                  <w:rFonts w:ascii="Arial" w:cs="Arial" w:eastAsia="Arial" w:hAnsi="Arial"/>
                  <w:sz w:val="18"/>
                  <w:szCs w:val="18"/>
                  <w:color w:val="0000EE"/>
                  <w:w w:val="96"/>
                </w:rPr>
                <w:t>E</w:t>
              </w:r>
              <w:r>
                <w:rPr>
                  <w:rFonts w:ascii="Arial" w:cs="Arial" w:eastAsia="Arial" w:hAnsi="Arial"/>
                  <w:sz w:val="15"/>
                  <w:szCs w:val="15"/>
                  <w:color w:val="0000EE"/>
                  <w:w w:val="96"/>
                </w:rPr>
                <w:t>XECUTIVE</w:t>
              </w:r>
              <w:r>
                <w:rPr>
                  <w:rFonts w:ascii="Arial" w:cs="Arial" w:eastAsia="Arial" w:hAnsi="Arial"/>
                  <w:sz w:val="18"/>
                  <w:szCs w:val="18"/>
                  <w:color w:val="0000EE"/>
                  <w:w w:val="96"/>
                </w:rPr>
                <w:t xml:space="preserve"> C</w:t>
              </w:r>
              <w:r>
                <w:rPr>
                  <w:rFonts w:ascii="Arial" w:cs="Arial" w:eastAsia="Arial" w:hAnsi="Arial"/>
                  <w:sz w:val="15"/>
                  <w:szCs w:val="15"/>
                  <w:color w:val="0000EE"/>
                  <w:w w:val="96"/>
                </w:rPr>
                <w:t>OMPENSATION</w:t>
              </w:r>
            </w:hyperlink>
          </w:p>
        </w:tc>
        <w:tc>
          <w:tcPr>
            <w:tcW w:w="8620" w:type="dxa"/>
            <w:vAlign w:val="bottom"/>
            <w:gridSpan w:val="1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w:t>
              </w:r>
              <w:r>
                <w:rPr>
                  <w:rFonts w:ascii="Arial" w:cs="Arial" w:eastAsia="Arial" w:hAnsi="Arial"/>
                  <w:sz w:val="15"/>
                  <w:szCs w:val="15"/>
                  <w:color w:val="0000EE"/>
                </w:rPr>
                <w:t>ERTAIN</w:t>
              </w:r>
              <w:r>
                <w:rPr>
                  <w:rFonts w:ascii="Arial" w:cs="Arial" w:eastAsia="Arial" w:hAnsi="Arial"/>
                  <w:sz w:val="18"/>
                  <w:szCs w:val="18"/>
                  <w:color w:val="0000EE"/>
                </w:rPr>
                <w:t xml:space="preserve"> R</w:t>
              </w:r>
              <w:r>
                <w:rPr>
                  <w:rFonts w:ascii="Arial" w:cs="Arial" w:eastAsia="Arial" w:hAnsi="Arial"/>
                  <w:sz w:val="15"/>
                  <w:szCs w:val="15"/>
                  <w:color w:val="0000EE"/>
                </w:rPr>
                <w:t>ELATIONSHIPS AND</w:t>
              </w:r>
              <w:r>
                <w:rPr>
                  <w:rFonts w:ascii="Arial" w:cs="Arial" w:eastAsia="Arial" w:hAnsi="Arial"/>
                  <w:sz w:val="18"/>
                  <w:szCs w:val="18"/>
                  <w:color w:val="0000EE"/>
                </w:rPr>
                <w:t xml:space="preserve"> R</w:t>
              </w:r>
              <w:r>
                <w:rPr>
                  <w:rFonts w:ascii="Arial" w:cs="Arial" w:eastAsia="Arial" w:hAnsi="Arial"/>
                  <w:sz w:val="15"/>
                  <w:szCs w:val="15"/>
                  <w:color w:val="0000EE"/>
                </w:rPr>
                <w:t>ELATED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T</w:t>
              </w:r>
              <w:r>
                <w:rPr>
                  <w:rFonts w:ascii="Arial" w:cs="Arial" w:eastAsia="Arial" w:hAnsi="Arial"/>
                  <w:sz w:val="15"/>
                  <w:szCs w:val="15"/>
                  <w:color w:val="0000EE"/>
                </w:rPr>
                <w:t>RANSACTIONS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6020" w:type="dxa"/>
            <w:vAlign w:val="bottom"/>
            <w:gridSpan w:val="5"/>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54">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8240" w:type="dxa"/>
            <w:vAlign w:val="bottom"/>
            <w:gridSpan w:val="10"/>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S</w:t>
              </w:r>
              <w:r>
                <w:rPr>
                  <w:rFonts w:ascii="Arial" w:cs="Arial" w:eastAsia="Arial" w:hAnsi="Arial"/>
                  <w:sz w:val="15"/>
                  <w:szCs w:val="15"/>
                  <w:color w:val="0000EE"/>
                </w:rPr>
                <w:t>HARES</w:t>
              </w:r>
              <w:r>
                <w:rPr>
                  <w:rFonts w:ascii="Arial" w:cs="Arial" w:eastAsia="Arial" w:hAnsi="Arial"/>
                  <w:sz w:val="18"/>
                  <w:szCs w:val="18"/>
                  <w:color w:val="0000EE"/>
                </w:rPr>
                <w:t xml:space="preserve"> E</w:t>
              </w:r>
              <w:r>
                <w:rPr>
                  <w:rFonts w:ascii="Arial" w:cs="Arial" w:eastAsia="Arial" w:hAnsi="Arial"/>
                  <w:sz w:val="15"/>
                  <w:szCs w:val="15"/>
                  <w:color w:val="0000EE"/>
                </w:rPr>
                <w:t>LIGIBLE FOR</w:t>
              </w:r>
              <w:r>
                <w:rPr>
                  <w:rFonts w:ascii="Arial" w:cs="Arial" w:eastAsia="Arial" w:hAnsi="Arial"/>
                  <w:sz w:val="18"/>
                  <w:szCs w:val="18"/>
                  <w:color w:val="0000EE"/>
                </w:rPr>
                <w:t xml:space="preserve"> F</w:t>
              </w:r>
              <w:r>
                <w:rPr>
                  <w:rFonts w:ascii="Arial" w:cs="Arial" w:eastAsia="Arial" w:hAnsi="Arial"/>
                  <w:sz w:val="15"/>
                  <w:szCs w:val="15"/>
                  <w:color w:val="0000EE"/>
                </w:rPr>
                <w:t>UTURE</w:t>
              </w:r>
              <w:r>
                <w:rPr>
                  <w:rFonts w:ascii="Arial" w:cs="Arial" w:eastAsia="Arial" w:hAnsi="Arial"/>
                  <w:sz w:val="18"/>
                  <w:szCs w:val="18"/>
                  <w:color w:val="0000EE"/>
                </w:rPr>
                <w:t xml:space="preserve"> S</w:t>
              </w:r>
              <w:r>
                <w:rPr>
                  <w:rFonts w:ascii="Arial" w:cs="Arial" w:eastAsia="Arial" w:hAnsi="Arial"/>
                  <w:sz w:val="15"/>
                  <w:szCs w:val="15"/>
                  <w:color w:val="0000EE"/>
                </w:rPr>
                <w:t>ALE</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ONSIDERATIONS FOR</w:t>
              </w:r>
              <w:r>
                <w:rPr>
                  <w:rFonts w:ascii="Arial" w:cs="Arial" w:eastAsia="Arial" w:hAnsi="Arial"/>
                  <w:sz w:val="18"/>
                  <w:szCs w:val="18"/>
                  <w:color w:val="0000EE"/>
                </w:rPr>
                <w:t xml:space="preserve"> 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61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460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177">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9440" w:type="dxa"/>
            <w:vAlign w:val="bottom"/>
            <w:gridSpan w:val="18"/>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8660" w:type="dxa"/>
            <w:vAlign w:val="bottom"/>
            <w:gridSpan w:val="1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I</w:t>
              </w:r>
              <w:r>
                <w:rPr>
                  <w:rFonts w:ascii="Arial" w:cs="Arial" w:eastAsia="Arial" w:hAnsi="Arial"/>
                  <w:sz w:val="15"/>
                  <w:szCs w:val="15"/>
                  <w:color w:val="0000EE"/>
                </w:rPr>
                <w:t>NDEX TO</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560" w:type="dxa"/>
            <w:vAlign w:val="bottom"/>
            <w:gridSpan w:val="2"/>
          </w:tcPr>
          <w:p>
            <w:pPr>
              <w:ind w:left="28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129"/>
        </w:trPr>
        <w:tc>
          <w:tcPr>
            <w:tcW w:w="6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3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Through and including February 19, 2017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20" w:firstLine="443"/>
        <w:spacing w:after="0" w:line="29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160" w:firstLine="443"/>
        <w:spacing w:after="0" w:line="297" w:lineRule="auto"/>
        <w:rPr>
          <w:sz w:val="20"/>
          <w:szCs w:val="20"/>
          <w:color w:val="auto"/>
        </w:rPr>
      </w:pPr>
      <w:r>
        <w:rPr>
          <w:rFonts w:ascii="Arial" w:cs="Arial" w:eastAsia="Arial" w:hAnsi="Arial"/>
          <w:sz w:val="16"/>
          <w:szCs w:val="16"/>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58" w:lineRule="exact"/>
        <w:rPr>
          <w:sz w:val="20"/>
          <w:szCs w:val="20"/>
          <w:color w:val="auto"/>
        </w:rPr>
      </w:pPr>
    </w:p>
    <w:p>
      <w:pPr>
        <w:ind w:left="200" w:firstLine="443"/>
        <w:spacing w:after="0" w:line="267"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have completed a Phase 1 trial of 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plan to disclose detailed data from this Phase 1 trial at two medical conferences during the first quarter of 2017. We have cleared an Investigational New Drug application, or IND, with the U.S. Food and Drug Administration, or FDA, and a Clinical Trial Authorisation, or CTA, with the U.K. Medicines and Healthcare Products Regulatory Agency, or MHRA, to initiate Phase 2a trials of ANB020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ANB019 inhibits the interleukin-36, or IL-36R, receptor for the treatment of rare inflammatory diseases including generalized pustular psoriasis, or GPP, and palmo-plantar pustular psoriasis, or PPP. In November 2016, we submitted a CTN for ANB019 and, if cleared, we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90" w:lineRule="exact"/>
        <w:rPr>
          <w:sz w:val="20"/>
          <w:szCs w:val="20"/>
          <w:color w:val="auto"/>
        </w:rPr>
      </w:pPr>
    </w:p>
    <w:p>
      <w:pPr>
        <w:ind w:left="200" w:right="360" w:firstLine="443"/>
        <w:spacing w:after="0" w:line="286" w:lineRule="auto"/>
        <w:rPr>
          <w:sz w:val="20"/>
          <w:szCs w:val="20"/>
          <w:color w:val="auto"/>
        </w:rPr>
      </w:pPr>
      <w:r>
        <w:rPr>
          <w:rFonts w:ascii="Arial" w:cs="Arial" w:eastAsia="Arial" w:hAnsi="Arial"/>
          <w:sz w:val="17"/>
          <w:szCs w:val="17"/>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8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298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 xml:space="preserve">Under our TESARO collaboration, a Phase 1 clinical trial was initiated during the first quarter of 2016 to study an AnaptysBio-generated anti-PD-1 antagonist antibody (TSR-042) in patients under an IND cleared by the U.S. FDA. We anticipate initiation of a registration program for TSR-042 by TESARO during the first half of 2017. A second Phase 1 trial was initiated during the third quarter of 2016 to study an AnaptysBio-generated anti-TIM-3 antagonist antibody (TSR-022) in patients under a separate IND cleared by the FDA. We anticipate initiation of a combination trial of TSR-022 with an anti-PD-1 antibody by TESARO during the first half of 2017. Under our Celgene collaboration,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using good laboratory practices, or GLPs, for an AnaptysBio-generated antibody was completed during the second quarter of 2016, and a U.S. IND was cleared by the FDA and a Phase 1 trial was initiated in December 2016. Including the aforementioned programs, we expect that our collaborators will advance four AnaptysBio-generated antibodies to the clinic by the end of the first half of 2017. Through December 31, 2016, we have received $65.4 million in non-dilutive funding from our collaborators.</w:t>
      </w:r>
    </w:p>
    <w:p>
      <w:pPr>
        <w:spacing w:after="0" w:line="182"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Our company is led by a strong management team with deep experience in antibody discovery and development, collaborations, operations and corporate finance. Through December 31, 2016, we have raised approximately $104.1 million from investors, including Biotechnology Value Fund, Cormorant Asset Management, Frazier Healthcare, HBM Partners, Longwood Capital Partners and Novo A/S.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840" w:right="580" w:hanging="211"/>
        <w:spacing w:after="0" w:line="282"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ANB020 </w:t>
      </w:r>
      <w:r>
        <w:rPr>
          <w:rFonts w:ascii="Arial" w:cs="Arial" w:eastAsia="Arial" w:hAnsi="Arial"/>
          <w:sz w:val="18"/>
          <w:szCs w:val="18"/>
          <w:color w:val="auto"/>
        </w:rPr>
        <w:t>is a potentially first-in-class antibody that inhibits the activity of IL-33, a pro-inflammatory cytokine that multiple studies have</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is a central mediator of atopic diseases, including atopic</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1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115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line="284" w:lineRule="auto"/>
        <w:rPr>
          <w:sz w:val="20"/>
          <w:szCs w:val="20"/>
          <w:color w:val="auto"/>
        </w:rPr>
      </w:pPr>
      <w:r>
        <w:rPr>
          <w:rFonts w:ascii="Arial" w:cs="Arial" w:eastAsia="Arial" w:hAnsi="Arial"/>
          <w:sz w:val="16"/>
          <w:szCs w:val="16"/>
          <w:color w:val="auto"/>
        </w:rPr>
        <w:t xml:space="preserve">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a cleared U.S. IND and a U.K. CTA to initiate Phase 2a trials of ANB020 for the treatment of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Based on our analysis of publicly available data sources and interviews with physicians and key opinion leaders in the field of atopic dermatitis, we estimate approximately 1.4 million adults in the United States are affected by atopic dermatitis, of which approximately 280,000 are diagnosed with a moderate-to-severe form of this disease, of which 98,000 are believed to be suitable for treatment with systemic biological therapies.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3.6 million have severe, persistent occurrence of this respiratory disease in the United States.</w:t>
      </w:r>
    </w:p>
    <w:p>
      <w:pPr>
        <w:spacing w:after="0" w:line="82" w:lineRule="exact"/>
        <w:rPr>
          <w:sz w:val="20"/>
          <w:szCs w:val="20"/>
          <w:color w:val="auto"/>
        </w:rPr>
      </w:pPr>
    </w:p>
    <w:p>
      <w:pPr>
        <w:ind w:left="840" w:right="80" w:hanging="211"/>
        <w:spacing w:after="0" w:line="287"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IL-36R, which we are initially developing as a potential first-in-class therapy for GPP and</w:t>
      </w:r>
      <w:r>
        <w:rPr>
          <w:rFonts w:ascii="Arial" w:cs="Arial" w:eastAsia="Arial" w:hAnsi="Arial"/>
          <w:sz w:val="16"/>
          <w:szCs w:val="16"/>
          <w:b w:val="1"/>
          <w:bCs w:val="1"/>
          <w:color w:val="auto"/>
        </w:rPr>
        <w:t xml:space="preserve"> </w:t>
      </w:r>
      <w:r>
        <w:rPr>
          <w:rFonts w:ascii="Arial" w:cs="Arial" w:eastAsia="Arial" w:hAnsi="Arial"/>
          <w:sz w:val="16"/>
          <w:szCs w:val="16"/>
          <w:color w:val="auto"/>
        </w:rPr>
        <w:t>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 signaling pathway.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We have submitted an Australian CTN for ANB019 and, if cleared, we plan to initiate a Phase 1 clinical trial in Australia in the first half of 2017, and anticipate announcing top-line data from this trial during the second half of 2017. We subsequently plan to seek regulatory clearance to initiate Phase 2 studies of ANB019 in GPP and PPP patients during 2018 and plan to seek FDA Orphan Drug Designation for the treatment of GPP and PPP. The FDA may grant Orphan Drug Designation to a drug intended to treat a disease or condition, that generally affects fewer than 200,000 individuals in the United States.</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09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609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40" w:hanging="211"/>
        <w:spacing w:after="0" w:line="277"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Checkpoint receptor agonist </w:t>
      </w:r>
      <w:r>
        <w:rPr>
          <w:rFonts w:ascii="Arial" w:cs="Arial" w:eastAsia="Arial" w:hAnsi="Arial"/>
          <w:sz w:val="17"/>
          <w:szCs w:val="17"/>
          <w:color w:val="auto"/>
        </w:rPr>
        <w:t>antibodies are being developed by AnaptysBio to multiple different immune checkpoint receptors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Advantages of Our SHM Platform</w:t>
      </w:r>
    </w:p>
    <w:p>
      <w:pPr>
        <w:spacing w:after="0" w:line="229"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90" w:lineRule="exact"/>
        <w:rPr>
          <w:sz w:val="20"/>
          <w:szCs w:val="20"/>
          <w:color w:val="auto"/>
        </w:rPr>
      </w:pPr>
    </w:p>
    <w:p>
      <w:pPr>
        <w:ind w:left="840" w:right="360" w:hanging="211"/>
        <w:spacing w:after="0" w:line="26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840" w:right="740" w:hanging="211"/>
        <w:spacing w:after="0" w:line="347"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840" w:right="100" w:hanging="211"/>
        <w:spacing w:after="0" w:line="26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840" w:right="180" w:hanging="211"/>
        <w:spacing w:after="0" w:line="314"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Speed. </w:t>
      </w:r>
      <w:r>
        <w:rPr>
          <w:rFonts w:ascii="Arial" w:cs="Arial" w:eastAsia="Arial" w:hAnsi="Arial"/>
          <w:sz w:val="16"/>
          <w:szCs w:val="16"/>
          <w:color w:val="auto"/>
        </w:rPr>
        <w:t>Our platform technology has enabled us to generate therapeutic-grade antibodies and subsequently advance preclinical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47" w:lineRule="exact"/>
        <w:rPr>
          <w:rFonts w:ascii="Arial" w:cs="Arial" w:eastAsia="Arial" w:hAnsi="Arial"/>
          <w:sz w:val="16"/>
          <w:szCs w:val="16"/>
          <w:color w:val="auto"/>
        </w:rPr>
      </w:pPr>
    </w:p>
    <w:p>
      <w:pPr>
        <w:ind w:left="840" w:right="20" w:hanging="211"/>
        <w:spacing w:after="0" w:line="282"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antibody expression, formulation and stability during the antibody generation process.</w:t>
      </w:r>
    </w:p>
    <w:p>
      <w:pPr>
        <w:spacing w:after="0" w:line="67" w:lineRule="exact"/>
        <w:rPr>
          <w:rFonts w:ascii="Arial" w:cs="Arial" w:eastAsia="Arial" w:hAnsi="Arial"/>
          <w:sz w:val="18"/>
          <w:szCs w:val="18"/>
          <w:color w:val="auto"/>
        </w:rPr>
      </w:pPr>
    </w:p>
    <w:p>
      <w:pPr>
        <w:ind w:left="840" w:right="120" w:hanging="211"/>
        <w:spacing w:after="0" w:line="282"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Our novel approach for the generation of bispecific antibodies leverages SHM to combine two therapeutic mechanisms</w:t>
      </w:r>
      <w:r>
        <w:rPr>
          <w:rFonts w:ascii="Arial" w:cs="Arial" w:eastAsia="Arial" w:hAnsi="Arial"/>
          <w:sz w:val="18"/>
          <w:szCs w:val="18"/>
          <w:b w:val="1"/>
          <w:bCs w:val="1"/>
          <w:color w:val="auto"/>
        </w:rPr>
        <w:t xml:space="preserve"> </w:t>
      </w:r>
      <w:r>
        <w:rPr>
          <w:rFonts w:ascii="Arial" w:cs="Arial" w:eastAsia="Arial" w:hAnsi="Arial"/>
          <w:sz w:val="18"/>
          <w:szCs w:val="18"/>
          <w:color w:val="auto"/>
        </w:rPr>
        <w:t>into a single natural antibody molecule.</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03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403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Collaborations</w:t>
      </w:r>
    </w:p>
    <w:p>
      <w:pPr>
        <w:spacing w:after="0" w:line="229" w:lineRule="exact"/>
        <w:rPr>
          <w:sz w:val="20"/>
          <w:szCs w:val="20"/>
          <w:color w:val="auto"/>
        </w:rPr>
      </w:pPr>
    </w:p>
    <w:p>
      <w:pPr>
        <w:jc w:val="both"/>
        <w:ind w:left="200" w:right="460" w:firstLine="443"/>
        <w:spacing w:after="0" w:line="286"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$65.4 million in payments through December 31, 2016. Multiple antibodies, generated by us prior to or during a strategic collaboration, are currently being advanced through development by our collaborators. Our collaborations with TESARO and Celgene are described below:</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840" w:right="360" w:hanging="211"/>
        <w:spacing w:after="0" w:line="308"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Anti-PD-1 Monospecific Antagonist Antibody (TSR-042)</w:t>
      </w:r>
      <w:r>
        <w:rPr>
          <w:rFonts w:ascii="Arial" w:cs="Arial" w:eastAsia="Arial" w:hAnsi="Arial"/>
          <w:sz w:val="17"/>
          <w:szCs w:val="17"/>
          <w:color w:val="auto"/>
        </w:rPr>
        <w:t>: Phase 1 clinical trial dosing initiated in the first quarter of 2016 subsequent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a U.S. FDA IND, finalize registration strategy and initiate a registration program in the first half of 2017;</w:t>
      </w:r>
    </w:p>
    <w:p>
      <w:pPr>
        <w:spacing w:after="0" w:line="51" w:lineRule="exact"/>
        <w:rPr>
          <w:rFonts w:ascii="Arial" w:cs="Arial" w:eastAsia="Arial" w:hAnsi="Arial"/>
          <w:sz w:val="17"/>
          <w:szCs w:val="17"/>
          <w:color w:val="auto"/>
        </w:rPr>
      </w:pPr>
    </w:p>
    <w:p>
      <w:pPr>
        <w:ind w:left="840" w:right="24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 (TSR-022)</w:t>
      </w:r>
      <w:r>
        <w:rPr>
          <w:rFonts w:ascii="Arial" w:cs="Arial" w:eastAsia="Arial" w:hAnsi="Arial"/>
          <w:sz w:val="18"/>
          <w:szCs w:val="18"/>
          <w:color w:val="auto"/>
        </w:rPr>
        <w:t>: Phase 1 clinical trial dosing initiated in the third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initiation of an anti-PD-1 combination trial in the first half of 2017;</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 (TSR-033)</w:t>
      </w:r>
      <w:r>
        <w:rPr>
          <w:rFonts w:ascii="Arial" w:cs="Arial" w:eastAsia="Arial" w:hAnsi="Arial"/>
          <w:sz w:val="18"/>
          <w:szCs w:val="18"/>
          <w:color w:val="auto"/>
        </w:rPr>
        <w:t>: currently in preclinical development, expect the initiation of a Phase 1 trial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of 2017;</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and has completed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under GLP, cleared a U.S. IND with the FDA and initiated a Phase 1 trial for one of these two antibodies.</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15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815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chart describes key milestones we have achieved since July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16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9164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describes milestones anticipated during 2017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840" w:hanging="211"/>
        <w:spacing w:after="0" w:line="261"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wholly-owned lead product candidates to clinical milestones. </w:t>
      </w:r>
      <w:r>
        <w:rPr>
          <w:rFonts w:ascii="Arial" w:cs="Arial" w:eastAsia="Arial" w:hAnsi="Arial"/>
          <w:sz w:val="18"/>
          <w:szCs w:val="18"/>
          <w:color w:val="auto"/>
        </w:rPr>
        <w:t>We are working to demonstrate the safety and efficacy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wholly-owned pipeline programs, and have completed a Phase 1 trial of ANB020 in healthy volunteers in Australia, which we believe has demonstrated favorable safety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pharmacodynamic properties. We have a cleared U.S. IND and U.K. CTA to initiate Phase 2a trials in patients with severe adult peanut allergy and moderate-to-severe adult atopic dermatitis,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line="269" w:lineRule="auto"/>
        <w:rPr>
          <w:sz w:val="20"/>
          <w:szCs w:val="20"/>
          <w:color w:val="auto"/>
        </w:rPr>
      </w:pPr>
      <w:r>
        <w:rPr>
          <w:rFonts w:ascii="Arial" w:cs="Arial" w:eastAsia="Arial" w:hAnsi="Arial"/>
          <w:sz w:val="17"/>
          <w:szCs w:val="17"/>
          <w:color w:val="auto"/>
        </w:rPr>
        <w:t>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We have also submitted an Australian CTN and, if cleared, we plan to initiate a Phase 1 healthy volunteer trial for ANB019 in the first half of 2017, and anticipate announcing top-line data from this trial during the second half of 2017. We subsequently plan to seek regulatory clearance to initiate Phase 2 studies of ANB019 in GPP and PPP patients during 2018. For both ANB020 and ANB019, we are conducting, or plan to conduct, our initial clinical trials in Australia, and we plan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84" w:lineRule="exact"/>
        <w:rPr>
          <w:sz w:val="20"/>
          <w:szCs w:val="20"/>
          <w:color w:val="auto"/>
        </w:rPr>
      </w:pPr>
    </w:p>
    <w:p>
      <w:pPr>
        <w:ind w:left="840" w:right="40" w:hanging="211"/>
        <w:spacing w:after="0" w:line="261"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85" w:lineRule="exact"/>
        <w:rPr>
          <w:rFonts w:ascii="Arial" w:cs="Arial" w:eastAsia="Arial" w:hAnsi="Arial"/>
          <w:sz w:val="18"/>
          <w:szCs w:val="18"/>
          <w:color w:val="auto"/>
        </w:rPr>
      </w:pPr>
    </w:p>
    <w:p>
      <w:pPr>
        <w:ind w:left="840" w:right="160" w:hanging="211"/>
        <w:spacing w:after="0" w:line="277"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840" w:right="20" w:hanging="211"/>
        <w:spacing w:after="0" w:line="281"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w:t>
      </w:r>
      <w:r>
        <w:rPr>
          <w:rFonts w:ascii="Arial" w:cs="Arial" w:eastAsia="Arial" w:hAnsi="Arial"/>
          <w:sz w:val="17"/>
          <w:szCs w:val="17"/>
          <w:b w:val="1"/>
          <w:bCs w:val="1"/>
          <w:color w:val="auto"/>
        </w:rPr>
        <w:t xml:space="preserve"> </w:t>
      </w:r>
      <w:r>
        <w:rPr>
          <w:rFonts w:ascii="Arial" w:cs="Arial" w:eastAsia="Arial" w:hAnsi="Arial"/>
          <w:sz w:val="17"/>
          <w:szCs w:val="17"/>
          <w:color w:val="auto"/>
        </w:rPr>
        <w:t>key preclinical and clinical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While we have not finalized our full financial results for the year ended December 31, 2016, we expect to report that we had $51.2 million of cash and cash equivalents as of December 31, 2016. This amount is preliminary, has not been audited and is subject to change upon completion of our ongoing audit. Additional information and disclosures would be required for a more complete understanding of our financial position and results of operations as of December 31, 2016.</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229"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ind w:left="840" w:right="16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development of or commercialize our product candidates or experience significant delays in doing so, our business will be materially harmed.</w:t>
      </w:r>
    </w:p>
    <w:p>
      <w:pPr>
        <w:spacing w:after="0" w:line="154" w:lineRule="exact"/>
        <w:rPr>
          <w:sz w:val="20"/>
          <w:szCs w:val="20"/>
          <w:color w:val="auto"/>
        </w:rPr>
      </w:pPr>
    </w:p>
    <w:p>
      <w:pPr>
        <w:ind w:left="840" w:hanging="211"/>
        <w:spacing w:after="0" w:line="286"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recently initiated dosing of ANB020 in humans and have never dosed any of our other wholly-owned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0" w:lineRule="exact"/>
        <w:rPr>
          <w:rFonts w:ascii="Arial" w:cs="Arial" w:eastAsia="Arial" w:hAnsi="Arial"/>
          <w:sz w:val="17"/>
          <w:szCs w:val="17"/>
          <w:color w:val="auto"/>
        </w:rPr>
      </w:pPr>
    </w:p>
    <w:p>
      <w:pPr>
        <w:ind w:left="840" w:right="160" w:hanging="211"/>
        <w:spacing w:after="0" w:line="342"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840" w:right="50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 to build a pipeline of product candidates and develop marketable products.</w:t>
      </w:r>
    </w:p>
    <w:p>
      <w:pPr>
        <w:spacing w:after="0" w:line="75" w:lineRule="exact"/>
        <w:rPr>
          <w:rFonts w:ascii="Arial" w:cs="Arial" w:eastAsia="Arial" w:hAnsi="Arial"/>
          <w:sz w:val="18"/>
          <w:szCs w:val="18"/>
          <w:color w:val="auto"/>
        </w:rPr>
      </w:pPr>
    </w:p>
    <w:p>
      <w:pPr>
        <w:ind w:left="840" w:right="42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75" w:lineRule="exact"/>
        <w:rPr>
          <w:rFonts w:ascii="Arial" w:cs="Arial" w:eastAsia="Arial" w:hAnsi="Arial"/>
          <w:sz w:val="18"/>
          <w:szCs w:val="18"/>
          <w:color w:val="auto"/>
        </w:rPr>
      </w:pPr>
    </w:p>
    <w:p>
      <w:pPr>
        <w:ind w:left="840" w:right="22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840" w:right="160" w:hanging="211"/>
        <w:spacing w:after="0" w:line="26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86" w:lineRule="exact"/>
        <w:rPr>
          <w:rFonts w:ascii="Arial" w:cs="Arial" w:eastAsia="Arial" w:hAnsi="Arial"/>
          <w:sz w:val="18"/>
          <w:szCs w:val="18"/>
          <w:color w:val="auto"/>
        </w:rPr>
      </w:pPr>
    </w:p>
    <w:p>
      <w:pPr>
        <w:ind w:left="840" w:right="60" w:hanging="211"/>
        <w:spacing w:after="0" w:line="26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840" w:right="560" w:hanging="211"/>
        <w:spacing w:after="0" w:line="308"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840" w:hanging="211"/>
        <w:spacing w:after="0" w:line="308"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1" w:lineRule="exact"/>
        <w:rPr>
          <w:rFonts w:ascii="Arial" w:cs="Arial" w:eastAsia="Arial" w:hAnsi="Arial"/>
          <w:sz w:val="17"/>
          <w:szCs w:val="17"/>
          <w:color w:val="auto"/>
        </w:rPr>
      </w:pPr>
    </w:p>
    <w:p>
      <w:pPr>
        <w:ind w:left="840" w:right="340" w:hanging="211"/>
        <w:spacing w:after="0" w:line="286"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executive officers, directors, current 5% or greater stockholders and entities affiliated with any of them, together will beneficially own approximately 63.5% of our common stock after this offering based on the number of shares outstanding as of September 30, 2016; the concentration of our capital stock ownership will likely limit your ability to influence corporate matters.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71" w:lineRule="exact"/>
        <w:rPr>
          <w:sz w:val="20"/>
          <w:szCs w:val="20"/>
          <w:color w:val="auto"/>
        </w:rPr>
      </w:pPr>
    </w:p>
    <w:p>
      <w:pPr>
        <w:ind w:left="200" w:right="100" w:firstLine="443"/>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74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3974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200" w:right="360" w:firstLine="443"/>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840" w:right="12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840" w:right="24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both"/>
        <w:ind w:left="200" w:right="100" w:firstLine="443"/>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109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offered by us</w:t>
      </w:r>
    </w:p>
    <w:p>
      <w:pPr>
        <w:spacing w:after="0" w:line="266"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Option to purchase additional shares to be offered by us</w:t>
      </w:r>
    </w:p>
    <w:p>
      <w:pPr>
        <w:spacing w:after="0" w:line="200" w:lineRule="exact"/>
        <w:rPr>
          <w:sz w:val="20"/>
          <w:szCs w:val="20"/>
          <w:color w:val="auto"/>
        </w:rPr>
      </w:pPr>
    </w:p>
    <w:p>
      <w:pPr>
        <w:spacing w:after="0" w:line="291" w:lineRule="exact"/>
        <w:rPr>
          <w:sz w:val="20"/>
          <w:szCs w:val="20"/>
          <w:color w:val="auto"/>
        </w:rPr>
      </w:pPr>
    </w:p>
    <w:p>
      <w:pPr>
        <w:ind w:left="280" w:right="20" w:hanging="81"/>
        <w:spacing w:after="0" w:line="277" w:lineRule="auto"/>
        <w:rPr>
          <w:sz w:val="20"/>
          <w:szCs w:val="20"/>
          <w:color w:val="auto"/>
        </w:rPr>
      </w:pPr>
      <w:r>
        <w:rPr>
          <w:rFonts w:ascii="Arial" w:cs="Arial" w:eastAsia="Arial" w:hAnsi="Arial"/>
          <w:sz w:val="18"/>
          <w:szCs w:val="18"/>
          <w:color w:val="auto"/>
        </w:rPr>
        <w:t>Shares of common stock to be outstanding immediately after this offering</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5,000,000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750,000 shares.</w:t>
      </w:r>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19,159,333 shares (19,909,333 shares if the underwriters exercise their option to purchase additional shares in full).</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the closing of this offering, each outstanding share of our convertible preferred stock will automatically convert into one share of common stock. Each share of our common stock is entitled to one vote on all matters submitted to a vote of stockholders, including the election of directors. See “Description of Capital Stock.”</w:t>
      </w:r>
    </w:p>
    <w:p>
      <w:pPr>
        <w:spacing w:after="0" w:line="200" w:lineRule="exact"/>
        <w:rPr>
          <w:sz w:val="20"/>
          <w:szCs w:val="20"/>
          <w:color w:val="auto"/>
        </w:rPr>
      </w:pPr>
    </w:p>
    <w:p>
      <w:pPr>
        <w:sectPr>
          <w:pgSz w:w="11900" w:h="16838" w:orient="portrait"/>
          <w:cols w:equalWidth="0" w:num="2">
            <w:col w:w="4220" w:space="180"/>
            <w:col w:w="6860"/>
          </w:cols>
          <w:pgMar w:left="240" w:top="459" w:right="399" w:bottom="1440" w:gutter="0" w:footer="0" w:header="0"/>
          <w:type w:val="continuous"/>
        </w:sectPr>
      </w:pPr>
    </w:p>
    <w:p>
      <w:pPr>
        <w:spacing w:after="0" w:line="14"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from this offering will be approximately $65.8 million (or</w:t>
      </w:r>
    </w:p>
    <w:p>
      <w:pPr>
        <w:spacing w:after="0" w:line="23" w:lineRule="exact"/>
        <w:rPr>
          <w:sz w:val="20"/>
          <w:szCs w:val="20"/>
          <w:color w:val="auto"/>
        </w:rPr>
      </w:pPr>
    </w:p>
    <w:p>
      <w:pPr>
        <w:ind w:left="4400" w:right="280"/>
        <w:spacing w:after="0" w:line="302" w:lineRule="auto"/>
        <w:rPr>
          <w:sz w:val="20"/>
          <w:szCs w:val="20"/>
          <w:color w:val="auto"/>
        </w:rPr>
      </w:pPr>
      <w:r>
        <w:rPr>
          <w:rFonts w:ascii="Arial" w:cs="Arial" w:eastAsia="Arial" w:hAnsi="Arial"/>
          <w:sz w:val="16"/>
          <w:szCs w:val="16"/>
          <w:color w:val="auto"/>
        </w:rPr>
        <w:t>approximately $76.2 million if the underwriters exercise their option to purchase additional shares in full), based upon the initial offering price of $15.00 per share, after deducting underwriting discounts and commissions and estimated offering expenses payable by us.</w:t>
      </w:r>
    </w:p>
    <w:p>
      <w:pPr>
        <w:spacing w:after="0" w:line="182" w:lineRule="exact"/>
        <w:rPr>
          <w:sz w:val="20"/>
          <w:szCs w:val="20"/>
          <w:color w:val="auto"/>
        </w:rPr>
      </w:pPr>
    </w:p>
    <w:p>
      <w:pPr>
        <w:ind w:left="4400" w:right="80"/>
        <w:spacing w:after="0" w:line="279" w:lineRule="auto"/>
        <w:rPr>
          <w:sz w:val="20"/>
          <w:szCs w:val="20"/>
          <w:color w:val="auto"/>
        </w:rPr>
      </w:pPr>
      <w:r>
        <w:rPr>
          <w:rFonts w:ascii="Arial" w:cs="Arial" w:eastAsia="Arial" w:hAnsi="Arial"/>
          <w:sz w:val="17"/>
          <w:szCs w:val="17"/>
          <w:color w:val="auto"/>
        </w:rPr>
        <w:t>We intend to use the net proceeds that we receive in this offering for product discovery and development and general corporate purposes. We may use a portion of the proceeds to acquire other complementary businesses or technologies. See “Use of Proceeds” for a more complete description of the intended use of proceeds from this offering.</w:t>
      </w:r>
    </w:p>
    <w:p>
      <w:pPr>
        <w:spacing w:after="0" w:line="19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“Risk Factors” section of this prospectus for a discussion of factors to</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consider carefully before deciding to invest in shares of our common stock.</w:t>
      </w:r>
    </w:p>
    <w:p>
      <w:pPr>
        <w:spacing w:after="0" w:line="23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“ANAB.”</w:t>
      </w:r>
    </w:p>
    <w:p>
      <w:pPr>
        <w:spacing w:after="0" w:line="239"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14,159,333 shares of our common stock outstanding as of September 30, 2016, and excludes:</w:t>
      </w:r>
    </w:p>
    <w:p>
      <w:pPr>
        <w:spacing w:after="0" w:line="76" w:lineRule="exact"/>
        <w:rPr>
          <w:sz w:val="20"/>
          <w:szCs w:val="20"/>
          <w:color w:val="auto"/>
        </w:rPr>
      </w:pPr>
    </w:p>
    <w:p>
      <w:pPr>
        <w:ind w:left="840" w:right="580" w:hanging="211"/>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1,856,750 shares of common stock issuable upon the exercise of options outstanding as of September 30, 2016, with a weighted-average exercise price of $4.13 per share;</w:t>
      </w:r>
    </w:p>
    <w:p>
      <w:pPr>
        <w:spacing w:after="0" w:line="75" w:lineRule="exact"/>
        <w:rPr>
          <w:rFonts w:ascii="Arial" w:cs="Arial" w:eastAsia="Arial" w:hAnsi="Arial"/>
          <w:sz w:val="18"/>
          <w:szCs w:val="18"/>
          <w:color w:val="auto"/>
        </w:rPr>
      </w:pPr>
    </w:p>
    <w:p>
      <w:pPr>
        <w:ind w:left="840" w:right="400" w:hanging="211"/>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221,953 shares of common stock issuable upon the exercise of options granted after September 30, 2016, with a weighted-average exercise price of $11.31 per share;</w:t>
      </w:r>
    </w:p>
    <w:p>
      <w:pPr>
        <w:spacing w:after="0" w:line="75" w:lineRule="exact"/>
        <w:rPr>
          <w:rFonts w:ascii="Arial" w:cs="Arial" w:eastAsia="Arial" w:hAnsi="Arial"/>
          <w:sz w:val="18"/>
          <w:szCs w:val="18"/>
          <w:color w:val="auto"/>
        </w:rPr>
      </w:pPr>
    </w:p>
    <w:p>
      <w:pPr>
        <w:ind w:left="840" w:right="180" w:hanging="211"/>
        <w:spacing w:after="0" w:line="264"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2,378,570 shares of common stock reserved for future issuance under our stock-based compensation plans, consisting of (a) 513,407 shares of common stock reserved for future issuance under our 2006 Equity Incentive Plan as of September 30, 2016, (b) 1,647,163 shares of common stock reserved for</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08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4008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future issuance under our 2017 Equity Incentive Plan, which became effective on the date immediately prior to the date of this prospectus and</w:t>
      </w:r>
    </w:p>
    <w:p>
      <w:pPr>
        <w:spacing w:after="0" w:line="46" w:lineRule="exact"/>
        <w:rPr>
          <w:sz w:val="20"/>
          <w:szCs w:val="20"/>
          <w:color w:val="auto"/>
        </w:rPr>
      </w:pPr>
    </w:p>
    <w:p>
      <w:pPr>
        <w:ind w:left="860" w:hanging="1"/>
        <w:spacing w:after="0" w:line="281" w:lineRule="auto"/>
        <w:tabs>
          <w:tab w:leader="none" w:pos="1105" w:val="left"/>
        </w:tabs>
        <w:numPr>
          <w:ilvl w:val="1"/>
          <w:numId w:val="13"/>
        </w:numPr>
        <w:rPr>
          <w:rFonts w:ascii="Arial" w:cs="Arial" w:eastAsia="Arial" w:hAnsi="Arial"/>
          <w:sz w:val="16"/>
          <w:szCs w:val="16"/>
          <w:color w:val="auto"/>
        </w:rPr>
      </w:pPr>
      <w:r>
        <w:rPr>
          <w:rFonts w:ascii="Arial" w:cs="Arial" w:eastAsia="Arial" w:hAnsi="Arial"/>
          <w:sz w:val="16"/>
          <w:szCs w:val="16"/>
          <w:color w:val="auto"/>
        </w:rPr>
        <w:t>218,000 shares of common stock reserved for future issuance under our 2017 Employee Stock Purchase Plan, which became effective on the date of this prospectus. Upon closing of this offering, any remaining shares available for issuance under our 2006 Equity Incentive Plan will be added to the shares reserved under our 2017 Equity Incentive Plan and we will cease granting awards under our 2006 Equity Incentive Plan.</w:t>
      </w:r>
    </w:p>
    <w:p>
      <w:pPr>
        <w:spacing w:after="0" w:line="2" w:lineRule="exact"/>
        <w:rPr>
          <w:rFonts w:ascii="Arial" w:cs="Arial" w:eastAsia="Arial" w:hAnsi="Arial"/>
          <w:sz w:val="16"/>
          <w:szCs w:val="16"/>
          <w:color w:val="auto"/>
        </w:rPr>
      </w:pPr>
    </w:p>
    <w:p>
      <w:pPr>
        <w:ind w:left="860" w:right="180"/>
        <w:spacing w:after="0" w:line="290" w:lineRule="auto"/>
        <w:rPr>
          <w:rFonts w:ascii="Arial" w:cs="Arial" w:eastAsia="Arial" w:hAnsi="Arial"/>
          <w:sz w:val="16"/>
          <w:szCs w:val="16"/>
          <w:color w:val="auto"/>
        </w:rPr>
      </w:pPr>
      <w:r>
        <w:rPr>
          <w:rFonts w:ascii="Arial" w:cs="Arial" w:eastAsia="Arial" w:hAnsi="Arial"/>
          <w:sz w:val="17"/>
          <w:szCs w:val="17"/>
          <w:color w:val="auto"/>
        </w:rPr>
        <w:t>Our 2017 Equity Incentive Plan and 2017 Employee Stock Purchase Plan also provide for automatic annual increases in the number of shares reserved under the plans each year, as more fully described in “Executive Compensation—Employee Benefit and Stock Plans;”</w:t>
      </w:r>
    </w:p>
    <w:p>
      <w:pPr>
        <w:spacing w:after="0" w:line="67" w:lineRule="exact"/>
        <w:rPr>
          <w:rFonts w:ascii="Arial" w:cs="Arial" w:eastAsia="Arial" w:hAnsi="Arial"/>
          <w:sz w:val="16"/>
          <w:szCs w:val="16"/>
          <w:color w:val="auto"/>
        </w:rPr>
      </w:pPr>
    </w:p>
    <w:p>
      <w:pPr>
        <w:ind w:left="840" w:right="100" w:hanging="211"/>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117,483 shares of our common stock issuable upon exercise of warrants for shares of common stock that were outstanding as of September 30, 2016, with an exercise price of $4.55 per share, that do not expire upon the closing of this offering;</w:t>
      </w:r>
    </w:p>
    <w:p>
      <w:pPr>
        <w:spacing w:after="0" w:line="75" w:lineRule="exact"/>
        <w:rPr>
          <w:rFonts w:ascii="Arial" w:cs="Arial" w:eastAsia="Arial" w:hAnsi="Arial"/>
          <w:sz w:val="18"/>
          <w:szCs w:val="18"/>
          <w:color w:val="auto"/>
        </w:rPr>
      </w:pPr>
    </w:p>
    <w:p>
      <w:pPr>
        <w:ind w:left="840" w:right="40" w:hanging="211"/>
        <w:spacing w:after="0" w:line="342"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294,779 shares of common stock issuable upon the exercise of warrants to purchase shares of our Series C convertible preferred stock that were outstanding as of September 30, 2016, with an exercise price of $4.55 per share, that do not expire upon the closing of this offering; and</w:t>
      </w:r>
    </w:p>
    <w:p>
      <w:pPr>
        <w:spacing w:after="0" w:line="29" w:lineRule="exact"/>
        <w:rPr>
          <w:rFonts w:ascii="Arial" w:cs="Arial" w:eastAsia="Arial" w:hAnsi="Arial"/>
          <w:sz w:val="16"/>
          <w:szCs w:val="16"/>
          <w:color w:val="auto"/>
        </w:rPr>
      </w:pPr>
    </w:p>
    <w:p>
      <w:pPr>
        <w:ind w:left="840" w:right="340" w:hanging="211"/>
        <w:spacing w:after="0" w:line="308" w:lineRule="auto"/>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82,416 shares of common stock issuable upon the exercise of warrants to purchase shares of our Series C convertible preferred stock issued after September 30, 2016, with an exercise price of $4.55 per share, that do not expire upon the closing of this offering.</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840" w:right="120" w:hanging="211"/>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September 30, 2016 into an aggregate of 11,520,698 shares of common stock immediately prior to the closing of this offering;</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7-for-1 reverse stock split of our common stock and convertible preferred stock, which was effected on January 13, 2017;</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in connection with the closing of this offering;</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September 30, 2016;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25" w:lineRule="exact"/>
        <w:rPr>
          <w:sz w:val="20"/>
          <w:szCs w:val="20"/>
          <w:color w:val="auto"/>
        </w:rPr>
      </w:pPr>
    </w:p>
    <w:p>
      <w:pPr>
        <w:ind w:left="200" w:right="480" w:firstLine="443"/>
        <w:spacing w:after="0" w:line="277" w:lineRule="auto"/>
        <w:rPr>
          <w:sz w:val="20"/>
          <w:szCs w:val="20"/>
          <w:color w:val="auto"/>
        </w:rPr>
      </w:pPr>
      <w:r>
        <w:rPr>
          <w:rFonts w:ascii="Arial" w:cs="Arial" w:eastAsia="Arial" w:hAnsi="Arial"/>
          <w:sz w:val="18"/>
          <w:szCs w:val="18"/>
          <w:color w:val="auto"/>
        </w:rPr>
        <w:t>Certain of our existing stockholders and their affiliated entities, including stockholders affiliated with certain of our directors, have agreed to purchase an aggregate of 1,946,666 shares of our common stock in this offering at the initial public offering price.</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64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864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The summary statements of operations data presented below for the years ended December 31, 2014 and 2015 are derived from our audited financial statements included elsewhere in this prospectus. The selected consolidated statements of operations data for the nine months ended September 30, 2015 and 2016 and the summary consolidated balance sheet data as of September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spacing w:after="0"/>
              <w:rPr>
                <w:sz w:val="20"/>
                <w:szCs w:val="20"/>
                <w:color w:val="auto"/>
              </w:rPr>
            </w:pPr>
            <w:r>
              <w:rPr>
                <w:rFonts w:ascii="Arial" w:cs="Arial" w:eastAsia="Arial" w:hAnsi="Arial"/>
                <w:sz w:val="16"/>
                <w:szCs w:val="16"/>
                <w:color w:val="auto"/>
              </w:rPr>
              <w:t>Collaboration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5,483</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w w:val="85"/>
              </w:rPr>
              <w:t>15,838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17,571</w:t>
            </w: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13,517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13,930</w:t>
            </w:r>
          </w:p>
        </w:tc>
        <w:tc>
          <w:tcPr>
            <w:tcW w:w="0" w:type="dxa"/>
            <w:vAlign w:val="bottom"/>
          </w:tcPr>
          <w:p>
            <w:pPr>
              <w:spacing w:after="0"/>
              <w:rPr>
                <w:sz w:val="1"/>
                <w:szCs w:val="1"/>
                <w:color w:val="auto"/>
              </w:rPr>
            </w:pPr>
          </w:p>
        </w:tc>
      </w:tr>
      <w:tr>
        <w:trPr>
          <w:trHeight w:val="206"/>
        </w:trPr>
        <w:tc>
          <w:tcPr>
            <w:tcW w:w="71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8,820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8,614</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17,304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10,732</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10,403</w:t>
            </w:r>
          </w:p>
        </w:tc>
        <w:tc>
          <w:tcPr>
            <w:tcW w:w="0" w:type="dxa"/>
            <w:vAlign w:val="bottom"/>
          </w:tcPr>
          <w:p>
            <w:pPr>
              <w:spacing w:after="0"/>
              <w:rPr>
                <w:sz w:val="1"/>
                <w:szCs w:val="1"/>
                <w:color w:val="auto"/>
              </w:rPr>
            </w:pPr>
          </w:p>
        </w:tc>
      </w:tr>
      <w:tr>
        <w:trPr>
          <w:trHeight w:val="220"/>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2,354</w:t>
            </w: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3,589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2,515</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98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10,770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w w:val="85"/>
              </w:rPr>
              <w:t>10,968</w:t>
            </w: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20,893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13,247</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13,781</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300"/>
              <w:spacing w:after="0"/>
              <w:rPr>
                <w:sz w:val="20"/>
                <w:szCs w:val="20"/>
                <w:color w:val="auto"/>
              </w:rPr>
            </w:pPr>
            <w:r>
              <w:rPr>
                <w:rFonts w:ascii="Arial" w:cs="Arial" w:eastAsia="Arial" w:hAnsi="Arial"/>
                <w:sz w:val="16"/>
                <w:szCs w:val="16"/>
                <w:color w:val="auto"/>
              </w:rPr>
              <w:t>Income (loss) from operations</w:t>
            </w: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4"/>
              </w:rPr>
              <w:t>(5,287)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4,870</w:t>
            </w:r>
          </w:p>
        </w:tc>
        <w:tc>
          <w:tcPr>
            <w:tcW w:w="8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(3,322)</w:t>
            </w: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6"/>
        </w:trPr>
        <w:tc>
          <w:tcPr>
            <w:tcW w:w="710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7"/>
                <w:szCs w:val="17"/>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(886)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(1,281)</w:t>
            </w: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(344)</w:t>
            </w: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3"/>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Change in fair value of liability for preferred stock warrants</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(1,277)</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(1,528)</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300"/>
              <w:spacing w:after="0"/>
              <w:rPr>
                <w:sz w:val="20"/>
                <w:szCs w:val="20"/>
                <w:color w:val="auto"/>
              </w:rPr>
            </w:pPr>
            <w:r>
              <w:rPr>
                <w:rFonts w:ascii="Arial" w:cs="Arial" w:eastAsia="Arial" w:hAnsi="Arial"/>
                <w:sz w:val="16"/>
                <w:szCs w:val="16"/>
                <w:color w:val="auto"/>
              </w:rPr>
              <w:t>Total other income (expense), net</w:t>
            </w: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(258)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(1,338)</w:t>
            </w:r>
          </w:p>
        </w:tc>
        <w:tc>
          <w:tcPr>
            <w:tcW w:w="8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(1,944)</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(2,113)</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300"/>
              <w:spacing w:after="0"/>
              <w:rPr>
                <w:sz w:val="20"/>
                <w:szCs w:val="20"/>
                <w:color w:val="auto"/>
              </w:rPr>
            </w:pPr>
            <w:r>
              <w:rPr>
                <w:rFonts w:ascii="Arial" w:cs="Arial" w:eastAsia="Arial" w:hAnsi="Arial"/>
                <w:sz w:val="16"/>
                <w:szCs w:val="16"/>
                <w:color w:val="auto"/>
              </w:rPr>
              <w:t>Income (loss) before income taxes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4"/>
              </w:rPr>
              <w:t>(5,545)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3,532</w:t>
            </w:r>
          </w:p>
        </w:tc>
        <w:tc>
          <w:tcPr>
            <w:tcW w:w="80" w:type="dxa"/>
            <w:vAlign w:val="bottom"/>
          </w:tcPr>
          <w:p>
            <w:pPr>
              <w:spacing w:after="0"/>
              <w:rPr>
                <w:sz w:val="19"/>
                <w:szCs w:val="19"/>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(5,266)</w:t>
            </w:r>
          </w:p>
        </w:tc>
        <w:tc>
          <w:tcPr>
            <w:tcW w:w="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(1,843)</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6"/>
        </w:trPr>
        <w:tc>
          <w:tcPr>
            <w:tcW w:w="7100" w:type="dxa"/>
            <w:vAlign w:val="bottom"/>
            <w:gridSpan w:val="2"/>
          </w:tcPr>
          <w:p>
            <w:pPr>
              <w:ind w:left="980"/>
              <w:spacing w:after="0"/>
              <w:rPr>
                <w:sz w:val="20"/>
                <w:szCs w:val="20"/>
                <w:color w:val="auto"/>
              </w:rPr>
            </w:pPr>
            <w:r>
              <w:rPr>
                <w:rFonts w:ascii="Arial" w:cs="Arial" w:eastAsia="Arial" w:hAnsi="Arial"/>
                <w:sz w:val="16"/>
                <w:szCs w:val="16"/>
                <w:color w:val="auto"/>
              </w:rPr>
              <w:t>Provision for income taxes</w:t>
            </w: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640"/>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4"/>
              </w:rPr>
              <w:t>(5,545)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3,532</w:t>
            </w: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(5,405)</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(1,893)</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6"/>
        </w:trPr>
        <w:tc>
          <w:tcPr>
            <w:tcW w:w="7100" w:type="dxa"/>
            <w:vAlign w:val="bottom"/>
            <w:gridSpan w:val="2"/>
          </w:tcPr>
          <w:p>
            <w:pPr>
              <w:spacing w:after="0"/>
              <w:rPr>
                <w:sz w:val="20"/>
                <w:szCs w:val="20"/>
                <w:color w:val="auto"/>
              </w:rPr>
            </w:pPr>
            <w:r>
              <w:rPr>
                <w:rFonts w:ascii="Arial" w:cs="Arial" w:eastAsia="Arial" w:hAnsi="Arial"/>
                <w:sz w:val="16"/>
                <w:szCs w:val="16"/>
                <w:color w:val="auto"/>
              </w:rPr>
              <w:t>Net income attributed to participating securities</w:t>
            </w: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(3,300)</w:t>
            </w:r>
          </w:p>
        </w:tc>
        <w:tc>
          <w:tcPr>
            <w:tcW w:w="80" w:type="dxa"/>
            <w:vAlign w:val="bottom"/>
          </w:tcPr>
          <w:p>
            <w:pPr>
              <w:spacing w:after="0"/>
              <w:rPr>
                <w:sz w:val="17"/>
                <w:szCs w:val="17"/>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Net income (loss) attributed to common stockholders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4"/>
              </w:rPr>
              <w:t>(5,545)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w w:val="94"/>
              </w:rPr>
              <w:t>(5,405)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(1,893)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Net income (loss) per common share:(1)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(4.98)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(2.12)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Weighted-average number of shares outstanding:(1)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2,481</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2,551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2,528</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320"/>
              <w:spacing w:after="0"/>
              <w:rPr>
                <w:sz w:val="20"/>
                <w:szCs w:val="20"/>
                <w:color w:val="auto"/>
              </w:rPr>
            </w:pPr>
            <w:r>
              <w:rPr>
                <w:rFonts w:ascii="Arial" w:cs="Arial" w:eastAsia="Arial" w:hAnsi="Arial"/>
                <w:sz w:val="16"/>
                <w:szCs w:val="16"/>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2,481</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2,551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2,528</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Pro forma net income (loss) per common share (unaudited):(1)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Basic and diluted</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Pro forma weighted-average number of shares outstanding (unaudited):(1)</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11,132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14,154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32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11,132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14,988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8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20" w:hanging="323"/>
        <w:spacing w:after="0" w:line="369"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2 to our audited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85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288544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Arial" w:cs="Arial" w:eastAsia="Arial" w:hAnsi="Arial"/>
                <w:sz w:val="14"/>
                <w:szCs w:val="14"/>
                <w:b w:val="1"/>
                <w:bCs w:val="1"/>
                <w:color w:val="auto"/>
                <w:w w:val="91"/>
              </w:rPr>
              <w:t>As of</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 2016</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4"/>
              </w:rPr>
              <w:t>(unaudited)</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Actual</w:t>
            </w:r>
          </w:p>
        </w:tc>
        <w:tc>
          <w:tcPr>
            <w:tcW w:w="15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Pro Forma(1)</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Adjusted(2)</w:t>
            </w:r>
          </w:p>
        </w:tc>
        <w:tc>
          <w:tcPr>
            <w:tcW w:w="0" w:type="dxa"/>
            <w:vAlign w:val="bottom"/>
          </w:tcPr>
          <w:p>
            <w:pPr>
              <w:spacing w:after="0"/>
              <w:rPr>
                <w:sz w:val="1"/>
                <w:szCs w:val="1"/>
                <w:color w:val="auto"/>
              </w:rPr>
            </w:pPr>
          </w:p>
        </w:tc>
      </w:tr>
      <w:tr>
        <w:trPr>
          <w:trHeight w:val="182"/>
        </w:trPr>
        <w:tc>
          <w:tcPr>
            <w:tcW w:w="7620" w:type="dxa"/>
            <w:vAlign w:val="bottom"/>
          </w:tcPr>
          <w:p>
            <w:pPr>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9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w w:val="91"/>
              </w:rPr>
              <w:t>$ 47,134</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94"/>
              <w:spacing w:after="0"/>
              <w:rPr>
                <w:sz w:val="20"/>
                <w:szCs w:val="20"/>
                <w:color w:val="auto"/>
              </w:rPr>
            </w:pPr>
            <w:r>
              <w:rPr>
                <w:rFonts w:ascii="Arial" w:cs="Arial" w:eastAsia="Arial" w:hAnsi="Arial"/>
                <w:sz w:val="18"/>
                <w:szCs w:val="18"/>
                <w:color w:val="auto"/>
              </w:rPr>
              <w:t>47,134</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115,385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Total assets</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55,837</w:t>
            </w:r>
          </w:p>
        </w:tc>
        <w:tc>
          <w:tcPr>
            <w:tcW w:w="380" w:type="dxa"/>
            <w:vAlign w:val="bottom"/>
          </w:tcPr>
          <w:p>
            <w:pPr>
              <w:spacing w:after="0"/>
              <w:rPr>
                <w:sz w:val="18"/>
                <w:szCs w:val="18"/>
                <w:color w:val="auto"/>
              </w:rPr>
            </w:pPr>
          </w:p>
        </w:tc>
        <w:tc>
          <w:tcPr>
            <w:tcW w:w="1120" w:type="dxa"/>
            <w:vAlign w:val="bottom"/>
          </w:tcPr>
          <w:p>
            <w:pPr>
              <w:jc w:val="right"/>
              <w:ind w:right="294"/>
              <w:spacing w:after="0"/>
              <w:rPr>
                <w:sz w:val="20"/>
                <w:szCs w:val="20"/>
                <w:color w:val="auto"/>
              </w:rPr>
            </w:pPr>
            <w:r>
              <w:rPr>
                <w:rFonts w:ascii="Arial" w:cs="Arial" w:eastAsia="Arial" w:hAnsi="Arial"/>
                <w:sz w:val="18"/>
                <w:szCs w:val="18"/>
                <w:color w:val="auto"/>
              </w:rPr>
              <w:t>55,837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124,088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3,393</w:t>
            </w:r>
          </w:p>
        </w:tc>
        <w:tc>
          <w:tcPr>
            <w:tcW w:w="380" w:type="dxa"/>
            <w:vAlign w:val="bottom"/>
          </w:tcPr>
          <w:p>
            <w:pPr>
              <w:spacing w:after="0"/>
              <w:rPr>
                <w:sz w:val="18"/>
                <w:szCs w:val="18"/>
                <w:color w:val="auto"/>
              </w:rPr>
            </w:pPr>
          </w:p>
        </w:tc>
        <w:tc>
          <w:tcPr>
            <w:tcW w:w="1120" w:type="dxa"/>
            <w:vAlign w:val="bottom"/>
          </w:tcPr>
          <w:p>
            <w:pPr>
              <w:jc w:val="right"/>
              <w:ind w:right="294"/>
              <w:spacing w:after="0"/>
              <w:rPr>
                <w:sz w:val="20"/>
                <w:szCs w:val="20"/>
                <w:color w:val="auto"/>
              </w:rPr>
            </w:pPr>
            <w:r>
              <w:rPr>
                <w:rFonts w:ascii="Arial" w:cs="Arial" w:eastAsia="Arial" w:hAnsi="Arial"/>
                <w:sz w:val="18"/>
                <w:szCs w:val="18"/>
                <w:color w:val="auto"/>
              </w:rPr>
              <w:t>3,393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1,214</w:t>
            </w:r>
          </w:p>
        </w:tc>
        <w:tc>
          <w:tcPr>
            <w:tcW w:w="380" w:type="dxa"/>
            <w:vAlign w:val="bottom"/>
          </w:tcPr>
          <w:p>
            <w:pPr>
              <w:spacing w:after="0"/>
              <w:rPr>
                <w:sz w:val="18"/>
                <w:szCs w:val="18"/>
                <w:color w:val="auto"/>
              </w:rPr>
            </w:pPr>
          </w:p>
        </w:tc>
        <w:tc>
          <w:tcPr>
            <w:tcW w:w="112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77,516</w:t>
            </w:r>
          </w:p>
        </w:tc>
        <w:tc>
          <w:tcPr>
            <w:tcW w:w="380" w:type="dxa"/>
            <w:vAlign w:val="bottom"/>
          </w:tcPr>
          <w:p>
            <w:pPr>
              <w:spacing w:after="0"/>
              <w:rPr>
                <w:sz w:val="18"/>
                <w:szCs w:val="18"/>
                <w:color w:val="auto"/>
              </w:rPr>
            </w:pPr>
          </w:p>
        </w:tc>
        <w:tc>
          <w:tcPr>
            <w:tcW w:w="112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(33,973)</w:t>
            </w:r>
          </w:p>
        </w:tc>
        <w:tc>
          <w:tcPr>
            <w:tcW w:w="380" w:type="dxa"/>
            <w:vAlign w:val="bottom"/>
          </w:tcPr>
          <w:p>
            <w:pPr>
              <w:spacing w:after="0"/>
              <w:rPr>
                <w:sz w:val="20"/>
                <w:szCs w:val="20"/>
                <w:color w:val="auto"/>
              </w:rPr>
            </w:pPr>
          </w:p>
        </w:tc>
        <w:tc>
          <w:tcPr>
            <w:tcW w:w="1120" w:type="dxa"/>
            <w:vAlign w:val="bottom"/>
          </w:tcPr>
          <w:p>
            <w:pPr>
              <w:jc w:val="right"/>
              <w:ind w:right="294"/>
              <w:spacing w:after="0"/>
              <w:rPr>
                <w:sz w:val="20"/>
                <w:szCs w:val="20"/>
                <w:color w:val="auto"/>
              </w:rPr>
            </w:pPr>
            <w:r>
              <w:rPr>
                <w:rFonts w:ascii="Arial" w:cs="Arial" w:eastAsia="Arial" w:hAnsi="Arial"/>
                <w:sz w:val="18"/>
                <w:szCs w:val="18"/>
                <w:color w:val="auto"/>
              </w:rPr>
              <w:t>44,757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110,507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hanging="423"/>
        <w:spacing w:after="0" w:line="25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 forma consolidated balance sheet data give effect to: (i) the automatic conversion of all outstanding shares of our convertible preferred stock as of September 30, 2016 into 11,520,698 shares of common stock immediately prior to the closing of this offering and (ii) the conversion of the preferred stock warrants into common stock warrants and the related reclassification of the preferred stock warrant liability to additional paid-in capital.</w:t>
      </w:r>
    </w:p>
    <w:p>
      <w:pPr>
        <w:spacing w:after="0" w:line="2" w:lineRule="exact"/>
        <w:rPr>
          <w:rFonts w:ascii="Arial" w:cs="Arial" w:eastAsia="Arial" w:hAnsi="Arial"/>
          <w:sz w:val="18"/>
          <w:szCs w:val="18"/>
          <w:color w:val="auto"/>
        </w:rPr>
      </w:pPr>
    </w:p>
    <w:p>
      <w:pPr>
        <w:ind w:left="620" w:right="80" w:hanging="423"/>
        <w:spacing w:after="0" w:line="25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 forma as adjusted balance sheet data give effect to the pro forma adjustments and the sale of 5,000,000 shares of common stock by us in this offering, based on the initial public offering price of $15.00 per share, after deducting underwriting discounts and commissions and estimated offering expenses payable by us. The pro forma as adjusted cash and cash equivalent amount also reflects the prepayment of approximately $2.5 million of the estimated offering expenses prior to September 30, 2016.</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7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We have recently initiated dosing of ANB020 in humans and have never dosed any of our other wholly-owned product candidates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recently initiated our Phase 1 clinical trial for ANB020 and have not yet initiated any clinical trials or dosed any of our other wholly-owned product candidates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 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In our Phase 1 clinical trial of ANB020, the most common adverse events were upper respiratory tract infection and headache, and the most severe was a reduction of white blood cell counts. No adverse events were determined to be drug related. Subjects in our ongoing and planned clinical trials may in the future suffer significant adverse events or other side effects not observed in our preclinical studies or in our ongoing Phase 1 clinical trial.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ANB020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obtaining clearance for our CTA for a Phase 2a clinical trial of ANB020 in moderate-to-severe adult atopic dermatitis in the United Kingdom and submitting a CTN for ANB019 in Australia,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 In addition, with regard to ANB020, although we intend for our investigators for our Phase 2a study to enroll only patients with severe adult peanut allergy, the protocol does not preclude enrollment of patients with non-severe adult peanut allergy. It is possible that our investigator could enroll patients with non-severe peanut allergy, which could provide us with less information than anticipated with regard to ANB020’s effect on severe peanut allergy.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ten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16" w:lineRule="exact"/>
        <w:rPr>
          <w:sz w:val="20"/>
          <w:szCs w:val="20"/>
          <w:color w:val="auto"/>
        </w:rPr>
      </w:pPr>
    </w:p>
    <w:p>
      <w:pPr>
        <w:ind w:left="660" w:right="480" w:hanging="206"/>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30" w:lineRule="exact"/>
        <w:rPr>
          <w:rFonts w:ascii="Arial" w:cs="Arial" w:eastAsia="Arial" w:hAnsi="Arial"/>
          <w:sz w:val="18"/>
          <w:szCs w:val="18"/>
          <w:color w:val="auto"/>
        </w:rPr>
      </w:pPr>
    </w:p>
    <w:p>
      <w:pPr>
        <w:ind w:left="660" w:right="280" w:hanging="206"/>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31"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4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may not be successful in our efforts to use and expand our technology platform to build a pipeline of product candidates and develop marketable products.</w:t>
      </w:r>
    </w:p>
    <w:p>
      <w:pPr>
        <w:spacing w:after="0" w:line="58"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6"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in the United States, none of our employees have experience with clinical trials in Australia or the United Kingdom and, as a company, we have no experience conducting clinical trials in any jurisdiction and have not had previous experience commercializing product candidates, including submitting an IND or a BLA to the FDA. We have only recently initiated our Phase 1 trial in Australia, and have not obtained marketing authorization from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1"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7" w:lineRule="exact"/>
        <w:rPr>
          <w:sz w:val="20"/>
          <w:szCs w:val="20"/>
          <w:color w:val="auto"/>
        </w:rPr>
      </w:pPr>
    </w:p>
    <w:p>
      <w:pPr>
        <w:ind w:left="660" w:right="14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75"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660" w:right="32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75"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biotechnology industry is highly competitive and subject to rapid and significant technological change. Products we may develop in the future are also likely to face competition from other drugs and therapies, some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 ST2-binding antibody which Roche has in-licensed from Amgen (previously known as AMG 282) and plans to advance into Phase 2 clinical trials, and CNTO 7160, which is another ST2-binding antibody that GSK in-licensed from Janssen.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(Regeneron, Sanofi), which has recently been filed for approval by the FDA, crisaborole (Anacor, Pfizer), which has recently been filed for approval by the FDA, and VTP-38543 (Vitae), which is currently in a Phase 2 trial.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which binds IL-1 beta and BI-655130 (Boehringer Ingelheim).</w:t>
      </w:r>
    </w:p>
    <w:p>
      <w:pPr>
        <w:spacing w:after="0" w:line="16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To date, only a handful of biosimilar products have been approved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healthcare payors and others in the medical community necessary for commercial success.</w:t>
      </w:r>
    </w:p>
    <w:p>
      <w:pPr>
        <w:spacing w:after="0" w:line="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7"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7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76" w:lineRule="exact"/>
        <w:rPr>
          <w:sz w:val="20"/>
          <w:szCs w:val="20"/>
          <w:color w:val="auto"/>
        </w:rPr>
      </w:pPr>
    </w:p>
    <w:p>
      <w:pPr>
        <w:ind w:left="660" w:right="120" w:hanging="20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cGMPs, the FDA may deny BLA approval until the deficiencies are corrected or we replace the manufacturer in our BLA with a manufacturer that is in compliance.</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and during the nine months ended September 30, 2016. Our collaboration revenue was $15.8 million and our net income was $3.5 million for the year ended December 31, 2014 and our collaboration revenue was $17.6 million and our net loss was $5.4 million for the year ended December 31, 2015. For the nine months ended September 30, 2016, our collaboration revenue was $13.9 million and our net income was $0.3 million. As of September 30, 2016, we had an accumulated deficit of $50.3 million.</w:t>
      </w:r>
    </w:p>
    <w:p>
      <w:pPr>
        <w:spacing w:after="0" w:line="154"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2"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42" w:lineRule="exact"/>
        <w:rPr>
          <w:rFonts w:ascii="Arial" w:cs="Arial" w:eastAsia="Arial" w:hAnsi="Arial"/>
          <w:sz w:val="17"/>
          <w:szCs w:val="17"/>
          <w:color w:val="auto"/>
        </w:rPr>
      </w:pPr>
    </w:p>
    <w:p>
      <w:pPr>
        <w:ind w:left="660" w:right="10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7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2"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significantly delay, scale back or discontinue the development or commercialization of any product candidates or cease operations altogether;</w:t>
      </w:r>
    </w:p>
    <w:p>
      <w:pPr>
        <w:spacing w:after="0" w:line="142" w:lineRule="exact"/>
        <w:rPr>
          <w:rFonts w:ascii="Arial" w:cs="Arial" w:eastAsia="Arial" w:hAnsi="Arial"/>
          <w:sz w:val="17"/>
          <w:szCs w:val="17"/>
          <w:color w:val="auto"/>
        </w:rPr>
      </w:pPr>
    </w:p>
    <w:p>
      <w:pPr>
        <w:ind w:left="660" w:right="280" w:hanging="20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75"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660" w:right="8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42" w:lineRule="exact"/>
        <w:rPr>
          <w:rFonts w:ascii="Arial" w:cs="Arial" w:eastAsia="Arial" w:hAnsi="Arial"/>
          <w:sz w:val="17"/>
          <w:szCs w:val="17"/>
          <w:color w:val="auto"/>
        </w:rPr>
      </w:pPr>
    </w:p>
    <w:p>
      <w:pPr>
        <w:ind w:left="660" w:right="6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connection with licensing, preparing, filing, prosecution, defense and enforcement of any patents or other intellectual property rights;</w:t>
      </w:r>
    </w:p>
    <w:p>
      <w:pPr>
        <w:spacing w:after="0" w:line="131"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30"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right="524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have worked together for only a relatively short period of time and it may be difficult to evaluate their effectiveness, on an individual or collective basis, and ability to address future challenges to our business.</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8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7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45.0%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1"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7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operations are vulnerable to interruption by fire, earthquake, power loss, telecommunications failure, terrorist activity and other events beyond our control, which could harm our business.</w:t>
      </w:r>
    </w:p>
    <w:p>
      <w:pPr>
        <w:spacing w:after="0" w:line="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These collaborations have provided us with $65.4 million in non-dilutive funding through December 31, 2016.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66"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future could delay development programs, create uncertainty as to ownership of intellectual property rights, distract management from other business activities and generate substantial expense.</w:t>
      </w:r>
    </w:p>
    <w:p>
      <w:pPr>
        <w:spacing w:after="0" w:line="2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660" w:right="48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32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7"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have conducted,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7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We have conducted our initial clinical trial for ANB020 in Australia and plan to conduct our initial clinical trial for ANB019 in Australia. We believe that clinical data generated in Australia will be accepted by the FDA and its foreign equivalents outside of Australia, and therefore may enable us to commence Phase 2 and possibly registration clinical trials in the United States or the United Kingdom following submission of an IND or CTA,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without the need for us to repeat our Phase 1 trials in the United States or the United Kingdom. While we have received clearance from the FDA and MHRA to begin Phase 2 clinical trials for ANB020, there can be no assurance the FDA, MHRA or other foreign equivalents will accept data from the clinical trials we plan to conduct in Australia for ANB019.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31"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76" w:lineRule="exact"/>
        <w:rPr>
          <w:sz w:val="20"/>
          <w:szCs w:val="20"/>
          <w:color w:val="auto"/>
        </w:rPr>
      </w:pPr>
    </w:p>
    <w:p>
      <w:pPr>
        <w:ind w:right="1100"/>
        <w:spacing w:after="0" w:line="347" w:lineRule="auto"/>
        <w:rPr>
          <w:sz w:val="20"/>
          <w:szCs w:val="20"/>
          <w:color w:val="auto"/>
        </w:rPr>
      </w:pPr>
      <w:r>
        <w:rPr>
          <w:rFonts w:ascii="Arial" w:cs="Arial" w:eastAsia="Arial" w:hAnsi="Arial"/>
          <w:sz w:val="16"/>
          <w:szCs w:val="16"/>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1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Affordability Reconciliation Act, or collectively the ACA,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6" w:lineRule="exact"/>
        <w:rPr>
          <w:rFonts w:ascii="Arial" w:cs="Arial" w:eastAsia="Arial" w:hAnsi="Arial"/>
          <w:sz w:val="18"/>
          <w:szCs w:val="18"/>
          <w:color w:val="auto"/>
        </w:rPr>
      </w:pPr>
    </w:p>
    <w:p>
      <w:pPr>
        <w:ind w:left="660" w:right="68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660" w:right="32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42" w:lineRule="exact"/>
        <w:rPr>
          <w:rFonts w:ascii="Arial" w:cs="Arial" w:eastAsia="Arial" w:hAnsi="Arial"/>
          <w:sz w:val="17"/>
          <w:szCs w:val="17"/>
          <w:color w:val="auto"/>
        </w:rPr>
      </w:pPr>
    </w:p>
    <w:p>
      <w:pPr>
        <w:ind w:left="660" w:right="6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More recently, President Donald Trump has made statements that suggest he plans to seek repeal of all or portions of the ACA, and has stated that he will ask Congress to replace the current legislation with new legislation. There is uncertainty with respect to the impact President Trump’s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9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660" w:right="14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660" w:right="20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660" w:right="320" w:hanging="206"/>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jc w:val="both"/>
        <w:ind w:left="660" w:right="220" w:hanging="20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660" w:right="20" w:hanging="206"/>
        <w:spacing w:after="0" w:line="27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77" w:lineRule="exact"/>
        <w:rPr>
          <w:rFonts w:ascii="Arial" w:cs="Arial" w:eastAsia="Arial" w:hAnsi="Arial"/>
          <w:sz w:val="17"/>
          <w:szCs w:val="17"/>
          <w:color w:val="auto"/>
        </w:rPr>
      </w:pPr>
    </w:p>
    <w:p>
      <w:pPr>
        <w:ind w:left="660" w:right="240" w:hanging="206"/>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24"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 or desirable patent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9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Recent patent reform legislation could increase the uncertainties and costs surrounding the prosecution of our and our licensors’ or collaborators’ patent applications and the enforcement or defense of our or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58"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83"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31"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intellectual property of the licensor that is not subject to the licensing agreement;</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660" w:right="800" w:hanging="20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have determined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may be volatile, and you could lose all or part of your investment.</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7"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have broad discretion in the use of the net proceeds from this offering and may not use them effectively.</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Our principal stockholders and management own a significant percentage of our stock and will be able to exert significant control over matters subject to stockholder approval.</w:t>
      </w:r>
    </w:p>
    <w:p>
      <w:pPr>
        <w:spacing w:after="0" w:line="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 approximately 84.0% of our voting stock and, upon the closing of this offering, that same group will beneficially own approximately 63.5% of our outstanding voting stock (based on the number of shares of common stock outstanding as of September 30, 2016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Certain of our existing stockholders and their affiliated entities, including stockholders affiliated with certain of our directors, have agreed to purchase an aggregate of 1,946,666 shares of our common stock in this offering at the initial public offering price. The previously discussed ownership percentage upon the closing of this offering does not reflect the potential purchase of any shares in this offering by such shareholders.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 $9.26 per share, based upon the initial public offering price of $15.00 per share. Further, investors purchasing common stock in this offering will contribute approximately 45.3% of the total amount invested by stockholders since our inception, but will own only approximately 26.1% of the shares of common stock outstanding after giving effect to this offering.</w:t>
      </w:r>
    </w:p>
    <w:p>
      <w:pPr>
        <w:spacing w:after="0" w:line="1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September 30, 2016, options to purchase 1,856,750 shares of our common stock at a weighted-average exercise price of $4.13 per share, warrants exercisable for 117,483 shares of our common stock at an exercise price of $4.55 per share and warrants exercisable for Series C convertible preferred stock convertible into 294,779 shares of our common stock at an exercise price of $4.55 per share were outstanding.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27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common stock less attractive to investors.</w:t>
      </w:r>
    </w:p>
    <w:p>
      <w:pPr>
        <w:spacing w:after="0" w:line="5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will incur increased costs as a result of operating as a public company, and our management will devote substantial time to new compliance initiatives.</w:t>
      </w:r>
    </w:p>
    <w:p>
      <w:pPr>
        <w:spacing w:after="0" w:line="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connection with the preparation of our 2015 consolidated financial statements, we and our independent registered public accounting firm identified a material weakness in our internal control over financial reporting with respect to the design of our controls over the calculation of our accrued research and contract manufacturing expenses, including the verification of the level and timing of completion of our CRO and CMO activities. Under standards established by the Public Company Accounting Oversight Board, a deficiency in internal control over financial reporting exists when the design or operation of a control does not allow management or personnel, in the normal course of performing their assigned functions, to prevent or detect misstatements on a timely basis.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During the first quarter of 2016, we implemented additional controls to remediate the material weakness, including additional controls to verify the level and timing of completion of our CRO and CMO activities and controls over the completeness and accuracy of spreadsheets used to calculate the accrued research and contract manufacturing expenses. We cannot assure you that these measures will significantly improve or remediate the material weakness described above. We, and our independent registered public accounting firm, were not required to perform an evaluation of our internal control over financial reporting as of December 31, 2015 in accordance with the provisions of the Sarbanes-Oxley Act. Accordingly, we cannot assure you that we have identified all material weaknesses or that there will not be additional material weaknesses or deficiencies that our independent registered public accounting firm or we will identify. If we are unable to successfully remediate the existing material weakness in our internal control over financial reporting, or if we identify any additional issues, we may be unable to produce accurate and timely financial statements, our stock price may be adversely affected and we may be unable to maintain compliance with the Nasdaq Stock Market listing requirements.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 substantial number of shares of our common stock in the public market could cause our stock price to fall.</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19,159,333 shares of common stock based on the number of shares outstanding as of September 30, 2016, assuming: (i) no exercise of the underwriters’ option to purchase additional shares and (ii) the conversion of all outstanding shares of our convertible preferred stock into 11,520,698 shares of common stock immediately prior to the closing of this offering. This includes the shares that we sell in this offering, which may be resold in the public market immediately without restriction, unless purchased by our affiliates. Of the remaining shares, 14,159,333 shares of our common stock are currently restricted as a result of securities laws or lock-up agreements but will be able to be sold after this offering as described in the “Shares Eligible for Future Sale” section of this prospectus. Moreover, after this offering, holders of an aggregate of 14,571,595 shares of our common stock and shares underlying certain warrants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27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1"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660" w:right="28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w:t>
      </w:r>
    </w:p>
    <w:p>
      <w:pPr>
        <w:spacing w:after="0" w:line="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$0.2 million in both federal and state research tax credits. In October 2016, we extended the analysis period of the study through December 31, 2015, noting no ownership changes during fiscal 2015. Our use of federal NOL carryforwards could be limited further by the provisions of Section 382 of the Code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likelihood that the clinical data generated in Australia will be subsequently accepted by the FDA and its foreign equivalents outside of Australia;</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660" w:right="100" w:hanging="206"/>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660" w:right="6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foreign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660" w:right="52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estimate that the net proceeds from our sale of 5,000,000 shares of common stock in this offering at the initial public offering price of $15.00 per share, after deducting underwriting discounts and commissions and estimated offering expenses payable by us, will be approximately $65.8 million, or $76.2 million if the underwriters exercise their option to purchase additional shares in full.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pacing w:after="0" w:line="142" w:lineRule="exact"/>
        <w:rPr>
          <w:sz w:val="20"/>
          <w:szCs w:val="20"/>
          <w:color w:val="auto"/>
        </w:rPr>
      </w:pPr>
    </w:p>
    <w:p>
      <w:pPr>
        <w:ind w:left="660" w:right="600" w:hanging="20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$25.0 million to fund development of ANB020 and ANB019 through initial clinical trials intended to demonstrate efficacy in multiple indications;</w:t>
      </w:r>
    </w:p>
    <w:p>
      <w:pPr>
        <w:spacing w:after="0" w:line="75"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$15.0 million to fund continued development of other wholly-owned product candidates, including our checkpoint receptor agonist antibodies, and discovery of new product candidates to further expand our proprietary pipeline;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2016 on:</w:t>
      </w:r>
    </w:p>
    <w:p>
      <w:pPr>
        <w:spacing w:after="0" w:line="131"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660" w:right="60" w:hanging="206"/>
        <w:spacing w:after="0" w:line="27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pro forma basis, giving effect to (i) the automatic conversion of all outstanding shares of our convertible preferred stock as of September 30, 2016 into 11,520,698 shares of common stock immediately prior to the closing of this offering, (ii) the conversion of the preferred stock warrants into common stock warrants and the related reclassification of the preferred stock warrant liability to additional paid-in capital and (iii) the effectiveness of our restated certificate of incorporation in connection with the closing of this offering; and</w:t>
      </w:r>
    </w:p>
    <w:p>
      <w:pPr>
        <w:spacing w:after="0" w:line="76" w:lineRule="exact"/>
        <w:rPr>
          <w:rFonts w:ascii="Arial" w:cs="Arial" w:eastAsia="Arial" w:hAnsi="Arial"/>
          <w:sz w:val="17"/>
          <w:szCs w:val="17"/>
          <w:color w:val="auto"/>
        </w:rPr>
      </w:pPr>
    </w:p>
    <w:p>
      <w:pPr>
        <w:ind w:left="660" w:right="280" w:hanging="206"/>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 forma as adjusted basis, giving effect to the pro forma adjustments and the sale of 5,000,000 shares of common stock by us in this offering, based on the initial public offering price of $15.00 per share, after deducting underwriting discounts and commissions and estimated offering expenses payable by us.</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27"/>
              <w:spacing w:after="0"/>
              <w:rPr>
                <w:sz w:val="20"/>
                <w:szCs w:val="20"/>
                <w:color w:val="auto"/>
              </w:rPr>
            </w:pPr>
            <w:r>
              <w:rPr>
                <w:rFonts w:ascii="Arial" w:cs="Arial" w:eastAsia="Arial" w:hAnsi="Arial"/>
                <w:sz w:val="14"/>
                <w:szCs w:val="14"/>
                <w:b w:val="1"/>
                <w:bCs w:val="1"/>
                <w:color w:val="auto"/>
                <w:w w:val="91"/>
              </w:rPr>
              <w:t>As of September 30, 2016</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Actual</w:t>
            </w:r>
          </w:p>
        </w:tc>
        <w:tc>
          <w:tcPr>
            <w:tcW w:w="40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47,134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47,134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115,385</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w w:val="81"/>
              </w:rPr>
              <w:t>(1)</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6"/>
                <w:szCs w:val="16"/>
                <w:color w:val="auto"/>
              </w:rPr>
              <w:t>Notes payable, net of current portion</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00" w:type="dxa"/>
            <w:vAlign w:val="bottom"/>
            <w:vMerge w:val="continue"/>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3,393</w:t>
            </w:r>
          </w:p>
        </w:tc>
        <w:tc>
          <w:tcPr>
            <w:tcW w:w="1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3,393</w:t>
            </w:r>
          </w:p>
        </w:tc>
        <w:tc>
          <w:tcPr>
            <w:tcW w:w="320" w:type="dxa"/>
            <w:vAlign w:val="bottom"/>
          </w:tcPr>
          <w:p>
            <w:pPr>
              <w:spacing w:after="0"/>
              <w:rPr>
                <w:sz w:val="16"/>
                <w:szCs w:val="16"/>
                <w:color w:val="auto"/>
              </w:rPr>
            </w:pP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91"/>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Preferred stock warrant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Series B convertible preferred stock, $0.001 par value; 3,963,263 shares authorized, 3,963,263 shares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rPr>
                <w:sz w:val="20"/>
                <w:szCs w:val="20"/>
                <w:color w:val="auto"/>
              </w:rPr>
            </w:pPr>
            <w:r>
              <w:rPr>
                <w:rFonts w:ascii="Arial" w:cs="Arial" w:eastAsia="Arial" w:hAnsi="Arial"/>
                <w:sz w:val="16"/>
                <w:szCs w:val="16"/>
                <w:color w:val="auto"/>
              </w:rPr>
              <w:t>outstanding, actual; no shares designated,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28,220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Series C convertible preferred stock, $0.001 par value; 1,887,250 shares authorized, 1,592,461 shares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rPr>
                <w:sz w:val="20"/>
                <w:szCs w:val="20"/>
                <w:color w:val="auto"/>
              </w:rPr>
            </w:pPr>
            <w:r>
              <w:rPr>
                <w:rFonts w:ascii="Arial" w:cs="Arial" w:eastAsia="Arial" w:hAnsi="Arial"/>
                <w:sz w:val="16"/>
                <w:szCs w:val="16"/>
                <w:color w:val="auto"/>
              </w:rPr>
              <w:t>outstanding, actual; no shares designated,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6,452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Series C-1 convertible preferred stock, $0.001 par value; 474,001 shares authorized, 474,001 shares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rPr>
                <w:sz w:val="20"/>
                <w:szCs w:val="20"/>
                <w:color w:val="auto"/>
              </w:rPr>
            </w:pPr>
            <w:r>
              <w:rPr>
                <w:rFonts w:ascii="Arial" w:cs="Arial" w:eastAsia="Arial" w:hAnsi="Arial"/>
                <w:sz w:val="16"/>
                <w:szCs w:val="16"/>
                <w:color w:val="auto"/>
              </w:rPr>
              <w:t>outstanding, actual; no shares designated,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Series D convertible preferred stock, $0.001 par value; 5,490,973 shares authorized, 5,490,973 shares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80"/>
              <w:spacing w:after="0"/>
              <w:rPr>
                <w:sz w:val="20"/>
                <w:szCs w:val="20"/>
                <w:color w:val="auto"/>
              </w:rPr>
            </w:pPr>
            <w:r>
              <w:rPr>
                <w:rFonts w:ascii="Arial" w:cs="Arial" w:eastAsia="Arial" w:hAnsi="Arial"/>
                <w:sz w:val="16"/>
                <w:szCs w:val="16"/>
                <w:color w:val="auto"/>
              </w:rPr>
              <w:t>outstanding, actual; no shares designated,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40,688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340"/>
              <w:spacing w:after="0"/>
              <w:rPr>
                <w:sz w:val="20"/>
                <w:szCs w:val="20"/>
                <w:color w:val="auto"/>
              </w:rPr>
            </w:pPr>
            <w:r>
              <w:rPr>
                <w:rFonts w:ascii="Arial" w:cs="Arial" w:eastAsia="Arial" w:hAnsi="Arial"/>
                <w:sz w:val="16"/>
                <w:szCs w:val="16"/>
                <w:color w:val="auto"/>
              </w:rPr>
              <w:t>Preferred Stock, $0.001 par value; no shares authorized, issued or outstanding, actual; 10,000,000 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500"/>
              <w:spacing w:after="0"/>
              <w:rPr>
                <w:sz w:val="20"/>
                <w:szCs w:val="20"/>
                <w:color w:val="auto"/>
              </w:rPr>
            </w:pPr>
            <w:r>
              <w:rPr>
                <w:rFonts w:ascii="Arial" w:cs="Arial" w:eastAsia="Arial" w:hAnsi="Arial"/>
                <w:sz w:val="16"/>
                <w:szCs w:val="16"/>
                <w:color w:val="auto"/>
              </w:rPr>
              <w:t>authorized, no shares issued or outstanding, pro forma and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Pr>
          <w:p>
            <w:pPr>
              <w:ind w:left="340"/>
              <w:spacing w:after="0"/>
              <w:rPr>
                <w:sz w:val="20"/>
                <w:szCs w:val="20"/>
                <w:color w:val="auto"/>
              </w:rPr>
            </w:pPr>
            <w:r>
              <w:rPr>
                <w:rFonts w:ascii="Arial" w:cs="Arial" w:eastAsia="Arial" w:hAnsi="Arial"/>
                <w:sz w:val="16"/>
                <w:szCs w:val="16"/>
                <w:color w:val="auto"/>
                <w:w w:val="96"/>
              </w:rPr>
              <w:t>Common stock, $0.001 par value; 17,214,285 shares authorized, 2,638,635 shares issued and outstanding, actual;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500"/>
              <w:spacing w:after="0"/>
              <w:rPr>
                <w:sz w:val="20"/>
                <w:szCs w:val="20"/>
                <w:color w:val="auto"/>
              </w:rPr>
            </w:pPr>
            <w:r>
              <w:rPr>
                <w:rFonts w:ascii="Arial" w:cs="Arial" w:eastAsia="Arial" w:hAnsi="Arial"/>
                <w:sz w:val="16"/>
                <w:szCs w:val="16"/>
                <w:color w:val="auto"/>
              </w:rPr>
              <w:t>500,000,000 shares authorized, 14,159,333 shares issued and outstanding, pro forma; 500,000,000 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500"/>
              <w:spacing w:after="0"/>
              <w:rPr>
                <w:sz w:val="20"/>
                <w:szCs w:val="20"/>
                <w:color w:val="auto"/>
              </w:rPr>
            </w:pPr>
            <w:r>
              <w:rPr>
                <w:rFonts w:ascii="Arial" w:cs="Arial" w:eastAsia="Arial" w:hAnsi="Arial"/>
                <w:sz w:val="16"/>
                <w:szCs w:val="16"/>
                <w:color w:val="auto"/>
              </w:rPr>
              <w:t>authorized, 19,159,333 shares issued and outstanding, pro forma as adjusted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9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8200" w:type="dxa"/>
            <w:vAlign w:val="bottom"/>
          </w:tcPr>
          <w:p>
            <w:pPr>
              <w:ind w:left="340"/>
              <w:spacing w:after="0"/>
              <w:rPr>
                <w:sz w:val="20"/>
                <w:szCs w:val="20"/>
                <w:color w:val="auto"/>
              </w:rPr>
            </w:pPr>
            <w:r>
              <w:rPr>
                <w:rFonts w:ascii="Arial" w:cs="Arial" w:eastAsia="Arial" w:hAnsi="Arial"/>
                <w:sz w:val="16"/>
                <w:szCs w:val="16"/>
                <w:color w:val="auto"/>
              </w:rPr>
              <w:t>Additional paid in 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16,369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95,088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91"/>
              <w:spacing w:after="0"/>
              <w:rPr>
                <w:sz w:val="20"/>
                <w:szCs w:val="20"/>
                <w:color w:val="auto"/>
              </w:rPr>
            </w:pPr>
            <w:r>
              <w:rPr>
                <w:rFonts w:ascii="Arial" w:cs="Arial" w:eastAsia="Arial" w:hAnsi="Arial"/>
                <w:sz w:val="16"/>
                <w:szCs w:val="16"/>
                <w:color w:val="auto"/>
              </w:rPr>
              <w:t>160,833</w:t>
            </w:r>
          </w:p>
        </w:tc>
        <w:tc>
          <w:tcPr>
            <w:tcW w:w="0" w:type="dxa"/>
            <w:vAlign w:val="bottom"/>
          </w:tcPr>
          <w:p>
            <w:pPr>
              <w:spacing w:after="0"/>
              <w:rPr>
                <w:sz w:val="1"/>
                <w:szCs w:val="1"/>
                <w:color w:val="auto"/>
              </w:rPr>
            </w:pPr>
          </w:p>
        </w:tc>
      </w:tr>
      <w:tr>
        <w:trPr>
          <w:trHeight w:val="206"/>
        </w:trPr>
        <w:tc>
          <w:tcPr>
            <w:tcW w:w="8200" w:type="dxa"/>
            <w:vAlign w:val="bottom"/>
          </w:tcPr>
          <w:p>
            <w:pPr>
              <w:ind w:left="340"/>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(50,345)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(50,345)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31"/>
              <w:spacing w:after="0"/>
              <w:rPr>
                <w:sz w:val="20"/>
                <w:szCs w:val="20"/>
                <w:color w:val="auto"/>
              </w:rPr>
            </w:pPr>
            <w:r>
              <w:rPr>
                <w:rFonts w:ascii="Arial" w:cs="Arial" w:eastAsia="Arial" w:hAnsi="Arial"/>
                <w:sz w:val="16"/>
                <w:szCs w:val="16"/>
                <w:color w:val="auto"/>
              </w:rPr>
              <w:t>(50,345)</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660"/>
              <w:spacing w:after="0"/>
              <w:rPr>
                <w:sz w:val="20"/>
                <w:szCs w:val="20"/>
                <w:color w:val="auto"/>
              </w:rPr>
            </w:pPr>
            <w:r>
              <w:rPr>
                <w:rFonts w:ascii="Arial" w:cs="Arial" w:eastAsia="Arial" w:hAnsi="Arial"/>
                <w:sz w:val="16"/>
                <w:szCs w:val="16"/>
                <w:color w:val="auto"/>
              </w:rPr>
              <w:t>Total stockholders’ equity (deficit)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(33,973)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44,757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91"/>
              <w:spacing w:after="0"/>
              <w:rPr>
                <w:sz w:val="20"/>
                <w:szCs w:val="20"/>
                <w:color w:val="auto"/>
              </w:rPr>
            </w:pPr>
            <w:r>
              <w:rPr>
                <w:rFonts w:ascii="Arial" w:cs="Arial" w:eastAsia="Arial" w:hAnsi="Arial"/>
                <w:sz w:val="16"/>
                <w:szCs w:val="16"/>
                <w:color w:val="auto"/>
              </w:rPr>
              <w:t>110,507</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980"/>
              <w:spacing w:after="0"/>
              <w:rPr>
                <w:sz w:val="20"/>
                <w:szCs w:val="20"/>
                <w:color w:val="auto"/>
              </w:rPr>
            </w:pPr>
            <w:r>
              <w:rPr>
                <w:rFonts w:ascii="Arial" w:cs="Arial" w:eastAsia="Arial" w:hAnsi="Arial"/>
                <w:sz w:val="16"/>
                <w:szCs w:val="16"/>
                <w:color w:val="auto"/>
              </w:rPr>
              <w:t>Total capitalization</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200" w:type="dxa"/>
            <w:vAlign w:val="bottom"/>
            <w:vMerge w:val="continue"/>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48,150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48,150</w:t>
            </w:r>
          </w:p>
        </w:tc>
        <w:tc>
          <w:tcPr>
            <w:tcW w:w="3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91"/>
              <w:spacing w:after="0"/>
              <w:rPr>
                <w:sz w:val="20"/>
                <w:szCs w:val="20"/>
                <w:color w:val="auto"/>
              </w:rPr>
            </w:pPr>
            <w:r>
              <w:rPr>
                <w:rFonts w:ascii="Arial" w:cs="Arial" w:eastAsia="Arial" w:hAnsi="Arial"/>
                <w:sz w:val="16"/>
                <w:szCs w:val="16"/>
                <w:color w:val="auto"/>
              </w:rPr>
              <w:t>113,900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865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40" w:right="520" w:hanging="332"/>
        <w:spacing w:after="0" w:line="293"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pro forma as adjusted cash and cash equivalents amount also reflects the prepayment of approximately $2.5 million of the estimated offering expenses prior to September 30, 2016.</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14,159,333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excludes:</w:t>
      </w:r>
    </w:p>
    <w:p>
      <w:pPr>
        <w:spacing w:after="0" w:line="116" w:lineRule="exact"/>
        <w:rPr>
          <w:sz w:val="20"/>
          <w:szCs w:val="20"/>
          <w:color w:val="auto"/>
        </w:rPr>
      </w:pPr>
    </w:p>
    <w:p>
      <w:pPr>
        <w:ind w:left="660" w:right="28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1,856,750 shares of common stock issuable upon the exercise of options outstanding as of September 30, 2016, with a weighted-average exercise price of $4.13 per share;</w:t>
      </w:r>
    </w:p>
    <w:p>
      <w:pPr>
        <w:spacing w:after="0" w:line="75"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221,953 shares of common stock issuable upon the exercise of options granted after September 30, 2016, with a weighted-average exercise price of $11.31 per share;</w:t>
      </w:r>
    </w:p>
    <w:p>
      <w:pPr>
        <w:spacing w:after="0" w:line="75" w:lineRule="exact"/>
        <w:rPr>
          <w:rFonts w:ascii="Arial" w:cs="Arial" w:eastAsia="Arial" w:hAnsi="Arial"/>
          <w:sz w:val="18"/>
          <w:szCs w:val="18"/>
          <w:color w:val="auto"/>
        </w:rPr>
      </w:pPr>
    </w:p>
    <w:p>
      <w:pPr>
        <w:ind w:left="660" w:right="120" w:hanging="206"/>
        <w:spacing w:after="0" w:line="290"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2,378,570 shares of common stock reserved for future issuance under our stock-based compensation plans, consisting of (a) 513,407 shares of common stock reserved for future issuance under our 2006 Equity Incentive Plan as of September 30, 2016, (b) 1,647,163 shares of common stock reserved for future issuance under our 2017 Equity Incentive Plan, which became effective on the date immediately prior to the date of this prospectus and (c) 218,000 shares of common stock reserved for future issuance under our 2017 Employee Stock Purchase Plan, which became effective on the date of this prospectus. Upon the closing of this offering, any remaining shares available for issuance under our 2006 Equity Incentive Plan will be added to the shares reserved under our 2017 Equity Incentive Plan and we will cease granting awards under our 2006 Equity Incentive Plan. Our 2017 Equity Incentive Plan and 2017 Employee Stock Purchase Plan also provide for automatic annual increases in the number of shares reserved under the plans each year, as more fully described in “Executive Compensation—Employee Benefit and Stock Plans”;</w:t>
      </w:r>
    </w:p>
    <w:p>
      <w:pPr>
        <w:spacing w:after="0" w:line="71"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117,483 shares of our common stock issuable upon exercise of warrants for shares of common stock that were outstanding as of September 30, 2016, with an exercise price of $4.55 per share, that do not expire upon the closing of this offering; and</w:t>
      </w:r>
    </w:p>
    <w:p>
      <w:pPr>
        <w:spacing w:after="0" w:line="75" w:lineRule="exact"/>
        <w:rPr>
          <w:rFonts w:ascii="Arial" w:cs="Arial" w:eastAsia="Arial" w:hAnsi="Arial"/>
          <w:sz w:val="18"/>
          <w:szCs w:val="18"/>
          <w:color w:val="auto"/>
        </w:rPr>
      </w:pPr>
    </w:p>
    <w:p>
      <w:pPr>
        <w:ind w:left="660" w:right="680" w:hanging="206"/>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294,779 shares of common stock issuable upon the exercise of warrants to purchase shares of Series C convertible preferred stock that were outstanding as of September 30, 2016, with an exercise price of $4.55 per share, that do not expire upon the closing of this offering; and</w:t>
      </w:r>
    </w:p>
    <w:p>
      <w:pPr>
        <w:spacing w:after="0" w:line="29" w:lineRule="exact"/>
        <w:rPr>
          <w:rFonts w:ascii="Arial" w:cs="Arial" w:eastAsia="Arial" w:hAnsi="Arial"/>
          <w:sz w:val="16"/>
          <w:szCs w:val="16"/>
          <w:color w:val="auto"/>
        </w:rPr>
      </w:pPr>
    </w:p>
    <w:p>
      <w:pPr>
        <w:ind w:left="660" w:right="320" w:hanging="206"/>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82,416 shares of common stock issuable upon the exercise of warrants to purchase shares of our Series C convertible preferred stock issued after September 30, 2016, with an exercise price of $4.55 per share, that do not expire upon the closing of this offering.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September 30, 2016, our pro forma net tangible book value was approximately $41.8 million, or $2.95 per share of common stock. Our pro forma net tangible book value per share represents the amount of our total tangible assets reduced by the amount of our total liabilities and divided by the total number of shares of our common stock outstanding as of September 30, 2016, assuming (i) the automatic conversion of all outstanding shares of our convertible preferred stock as of September 30, 2016 into 11,520,698 shares of common stock as of immediately prior to the closing of this offering and</w:t>
      </w:r>
    </w:p>
    <w:p>
      <w:pPr>
        <w:spacing w:after="0" w:line="2" w:lineRule="exact"/>
        <w:rPr>
          <w:sz w:val="20"/>
          <w:szCs w:val="20"/>
          <w:color w:val="auto"/>
        </w:rPr>
      </w:pPr>
    </w:p>
    <w:p>
      <w:pPr>
        <w:ind w:right="520" w:firstLine="8"/>
        <w:spacing w:after="0" w:line="261" w:lineRule="auto"/>
        <w:tabs>
          <w:tab w:leader="none" w:pos="2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of the preferred stock warrants into common stock warrants and the related reclassification of the preferred stock warrant liability to additional paid-in capital.</w:t>
      </w:r>
    </w:p>
    <w:p>
      <w:pPr>
        <w:spacing w:after="0" w:line="18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After giving effect to our sale in this offering of 5,000,000 shares of our common stock at the initial public offering price of $15.00 per share, and after deducting underwriting discounts and commissions and estimated offering expenses payable by us, our pro forma net tangible book value as of September 30, 2016 would have been approximately $110.0 million, or $5.74 per share of our common stock. This represents an immediate increase in pro forma net tangible book value of $2.79 per share to our existing stockholders and an immediate dilution of $9.26 per share to investors purchasing shares in this offering,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Initial public offering price per share</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20" w:type="dxa"/>
            <w:vAlign w:val="bottom"/>
          </w:tcPr>
          <w:p>
            <w:pPr>
              <w:spacing w:after="0"/>
              <w:rPr>
                <w:sz w:val="18"/>
                <w:szCs w:val="18"/>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September 30, 2016</w:t>
            </w:r>
          </w:p>
        </w:tc>
        <w:tc>
          <w:tcPr>
            <w:tcW w:w="2620" w:type="dxa"/>
            <w:vAlign w:val="bottom"/>
            <w:gridSpan w:val="3"/>
          </w:tcPr>
          <w:p>
            <w:pPr>
              <w:jc w:val="right"/>
              <w:ind w:right="3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0" w:type="dxa"/>
            <w:vAlign w:val="bottom"/>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2620" w:type="dxa"/>
            <w:vAlign w:val="bottom"/>
            <w:gridSpan w:val="3"/>
          </w:tcPr>
          <w:p>
            <w:pPr>
              <w:jc w:val="right"/>
              <w:ind w:right="33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7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5.74</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Dilution per share to investors in this offering</w:t>
            </w:r>
          </w:p>
        </w:tc>
        <w:tc>
          <w:tcPr>
            <w:tcW w:w="262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20" w:type="dxa"/>
            <w:vAlign w:val="bottom"/>
            <w:tcBorders>
              <w:bottom w:val="single" w:sz="8" w:color="auto"/>
            </w:tcBorders>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right="20" w:firstLine="456"/>
        <w:spacing w:after="0" w:line="263" w:lineRule="auto"/>
        <w:rPr>
          <w:sz w:val="20"/>
          <w:szCs w:val="20"/>
          <w:color w:val="auto"/>
        </w:rPr>
      </w:pPr>
      <w:r>
        <w:rPr>
          <w:rFonts w:ascii="Arial" w:cs="Arial" w:eastAsia="Arial" w:hAnsi="Arial"/>
          <w:sz w:val="18"/>
          <w:szCs w:val="18"/>
          <w:color w:val="auto"/>
        </w:rPr>
        <w:t>If the underwriters exercise their option in full to purchase additional shares, the pro forma net tangible book value per share of our common stock after giving effect to this offering would be $6.05 per share, and the dilution in net tangible book value per share to investors in this offering would be $8.95 per share.</w:t>
      </w:r>
    </w:p>
    <w:p>
      <w:pPr>
        <w:spacing w:after="0" w:line="183"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following table summarizes, on a pro forma as adjusted basis as of September 30, 2016 after giving effect to (i) the automatic conversion of all outstanding shares of our convertible preferred stock into 11,520,698 shares of common stock as of immediately prior to the closing of this offering and</w:t>
      </w:r>
    </w:p>
    <w:p>
      <w:pPr>
        <w:jc w:val="both"/>
        <w:ind w:right="160" w:firstLine="8"/>
        <w:spacing w:after="0" w:line="277"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issuance of 5,000,000 shares of common stock in this offering at the initial public offering price of $15.00 per share,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Shares Purchased</w:t>
            </w:r>
          </w:p>
        </w:tc>
        <w:tc>
          <w:tcPr>
            <w:tcW w:w="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restart"/>
          </w:tcPr>
          <w:p>
            <w:pPr>
              <w:jc w:val="right"/>
              <w:ind w:right="254"/>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77"/>
        </w:trPr>
        <w:tc>
          <w:tcPr>
            <w:tcW w:w="6120" w:type="dxa"/>
            <w:vAlign w:val="bottom"/>
          </w:tcPr>
          <w:p>
            <w:pPr>
              <w:spacing w:after="0"/>
              <w:rPr>
                <w:sz w:val="6"/>
                <w:szCs w:val="6"/>
                <w:color w:val="auto"/>
              </w:rPr>
            </w:pPr>
          </w:p>
        </w:tc>
        <w:tc>
          <w:tcPr>
            <w:tcW w:w="1760" w:type="dxa"/>
            <w:vAlign w:val="bottom"/>
            <w:tcBorders>
              <w:bottom w:val="single" w:sz="8" w:color="auto"/>
            </w:tcBorders>
            <w:gridSpan w:val="4"/>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6120" w:type="dxa"/>
            <w:vAlign w:val="bottom"/>
          </w:tcPr>
          <w:p>
            <w:pPr>
              <w:spacing w:after="0"/>
              <w:rPr>
                <w:sz w:val="4"/>
                <w:szCs w:val="4"/>
                <w:color w:val="auto"/>
              </w:rPr>
            </w:pPr>
          </w:p>
        </w:tc>
        <w:tc>
          <w:tcPr>
            <w:tcW w:w="8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w:t>
            </w:r>
          </w:p>
        </w:tc>
        <w:tc>
          <w:tcPr>
            <w:tcW w:w="400" w:type="dxa"/>
            <w:vAlign w:val="bottom"/>
            <w:gridSpan w:val="2"/>
            <w:vMerge w:val="restart"/>
          </w:tcPr>
          <w:p>
            <w:pPr>
              <w:spacing w:after="0"/>
              <w:rPr>
                <w:sz w:val="4"/>
                <w:szCs w:val="4"/>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Percent</w:t>
            </w:r>
          </w:p>
        </w:tc>
        <w:tc>
          <w:tcPr>
            <w:tcW w:w="4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420" w:type="dxa"/>
            <w:vAlign w:val="bottom"/>
            <w:vMerge w:val="restart"/>
          </w:tcPr>
          <w:p>
            <w:pPr>
              <w:spacing w:after="0"/>
              <w:rPr>
                <w:sz w:val="4"/>
                <w:szCs w:val="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3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spacing w:after="0"/>
              <w:rPr>
                <w:sz w:val="20"/>
                <w:szCs w:val="20"/>
                <w:color w:val="auto"/>
              </w:rPr>
            </w:pPr>
            <w:r>
              <w:rPr>
                <w:rFonts w:ascii="Arial" w:cs="Arial" w:eastAsia="Arial" w:hAnsi="Arial"/>
                <w:sz w:val="18"/>
                <w:szCs w:val="18"/>
                <w:color w:val="auto"/>
              </w:rPr>
              <w:t>Existing stockholders</w:t>
            </w:r>
          </w:p>
        </w:tc>
        <w:tc>
          <w:tcPr>
            <w:tcW w:w="880" w:type="dxa"/>
            <w:vAlign w:val="bottom"/>
            <w:tcBorders>
              <w:bottom w:val="single" w:sz="8" w:color="auto"/>
            </w:tcBorders>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2"/>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20" w:type="dxa"/>
            <w:vAlign w:val="bottom"/>
            <w:vMerge w:val="continue"/>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5"/>
              </w:rPr>
              <w:t>14,159,333</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73.9%</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w w:val="97"/>
              </w:rPr>
              <w:t>90,434,670</w:t>
            </w:r>
          </w:p>
        </w:tc>
        <w:tc>
          <w:tcPr>
            <w:tcW w:w="420" w:type="dxa"/>
            <w:vAlign w:val="bottom"/>
          </w:tcPr>
          <w:p>
            <w:pPr>
              <w:spacing w:after="0"/>
              <w:rPr>
                <w:sz w:val="16"/>
                <w:szCs w:val="16"/>
                <w:color w:val="auto"/>
              </w:rPr>
            </w:pPr>
          </w:p>
        </w:tc>
        <w:tc>
          <w:tcPr>
            <w:tcW w:w="80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54.7%</w:t>
            </w:r>
          </w:p>
        </w:tc>
        <w:tc>
          <w:tcPr>
            <w:tcW w:w="1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New public investors</w:t>
            </w: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75,000,000</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45.3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19,159,333</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165,434,670</w:t>
            </w:r>
          </w:p>
        </w:tc>
        <w:tc>
          <w:tcPr>
            <w:tcW w:w="420" w:type="dxa"/>
            <w:vAlign w:val="bottom"/>
            <w:vMerge w:val="continue"/>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20" w:firstLine="456"/>
        <w:spacing w:after="0" w:line="276" w:lineRule="auto"/>
        <w:rPr>
          <w:sz w:val="20"/>
          <w:szCs w:val="20"/>
          <w:color w:val="auto"/>
        </w:rPr>
      </w:pPr>
      <w:r>
        <w:rPr>
          <w:rFonts w:ascii="Arial" w:cs="Arial" w:eastAsia="Arial" w:hAnsi="Arial"/>
          <w:sz w:val="18"/>
          <w:szCs w:val="18"/>
          <w:color w:val="auto"/>
        </w:rPr>
        <w:t>Certain of our existing stockholders and their affiliated entities, including stockholders affiliated with certain of our directors, have agreed to purchase an aggregate of 1,946,666 shares of our common stock in this offering at the initial public offering price.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are exercised, investors will experience further dilution.</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If the underwriters exercise their option to purchase additional shares in full, our existing stockholders would own 71.1% and our new investors would own 28.9% of the total number of shares of our common stock outstanding upon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14,159,333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excludes:</w:t>
      </w:r>
    </w:p>
    <w:p>
      <w:pPr>
        <w:spacing w:after="0" w:line="89" w:lineRule="exact"/>
        <w:rPr>
          <w:sz w:val="20"/>
          <w:szCs w:val="20"/>
          <w:color w:val="auto"/>
        </w:rPr>
      </w:pPr>
    </w:p>
    <w:p>
      <w:pPr>
        <w:ind w:left="660" w:right="28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1,856,750 shares of common stock issuable upon the exercise of options outstanding as of September 30, 2016, with a weighted-average exercise price of $4.13 per share;</w:t>
      </w:r>
    </w:p>
    <w:p>
      <w:pPr>
        <w:spacing w:after="0" w:line="48"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221,953 shares of common stock issuable upon the exercise of options granted after September 30, 2016, with a weighted-average exercise price of $11.31 per share;</w:t>
      </w:r>
    </w:p>
    <w:p>
      <w:pPr>
        <w:spacing w:after="0" w:line="48" w:lineRule="exact"/>
        <w:rPr>
          <w:rFonts w:ascii="Arial" w:cs="Arial" w:eastAsia="Arial" w:hAnsi="Arial"/>
          <w:sz w:val="18"/>
          <w:szCs w:val="18"/>
          <w:color w:val="auto"/>
        </w:rPr>
      </w:pPr>
    </w:p>
    <w:p>
      <w:pPr>
        <w:ind w:left="660" w:right="120" w:hanging="206"/>
        <w:spacing w:after="0" w:line="290"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2,378,570 shares of common stock reserved for future issuance under our stock-based compensation plans, consisting of (a) 513,407 shares of common stock reserved for future issuance under our 2006 Equity Incentive Plan as of September 30, 2016, (b) 1,647,163 shares of common stock reserved for future issuance under our 2017 Equity Incentive Plan, which became effective on the date immediately prior to the date of this prospectus and (c) 218,000 shares of common stock reserved for future issuance under our 2017 Employee Stock Purchase Plan, which became effective on the date of this prospectus. Upon the closing of this offering, any remaining shares available for issuance under our 2006 Equity Incentive Plan will be added to the shares reserved under our 2017 Equity Incentive Plan and we will cease granting awards under our 2006 Equity Incentive Plan. Our 2017 Equity Incentive Plan and 2017 Employee Stock Purchase Plan also provide for automatic annual increases in the number of shares reserved under the plans each year, as more fully described in “Executive Compensation—Employee Benefit and Stock Plans”;</w:t>
      </w:r>
    </w:p>
    <w:p>
      <w:pPr>
        <w:spacing w:after="0" w:line="44"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117,483 shares of our common stock issuable upon exercise of warrants for shares of common stock that were outstanding as of September 30, 2016, with an exercise price of $4.55 per share, that do not expire upon the closing of this offering;</w:t>
      </w:r>
    </w:p>
    <w:p>
      <w:pPr>
        <w:spacing w:after="0" w:line="48" w:lineRule="exact"/>
        <w:rPr>
          <w:rFonts w:ascii="Arial" w:cs="Arial" w:eastAsia="Arial" w:hAnsi="Arial"/>
          <w:sz w:val="18"/>
          <w:szCs w:val="18"/>
          <w:color w:val="auto"/>
        </w:rPr>
      </w:pPr>
    </w:p>
    <w:p>
      <w:pPr>
        <w:ind w:left="660" w:right="680" w:hanging="206"/>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294,779 shares of common stock issuable upon the exercise of warrants to purchase shares of Series C convertible preferred stock that were outstanding as of September 30, 2016, with an exercise price of $4.55 per share, that do not expire upon the closing of this offering; and</w:t>
      </w:r>
    </w:p>
    <w:p>
      <w:pPr>
        <w:spacing w:after="0" w:line="2" w:lineRule="exact"/>
        <w:rPr>
          <w:rFonts w:ascii="Arial" w:cs="Arial" w:eastAsia="Arial" w:hAnsi="Arial"/>
          <w:sz w:val="16"/>
          <w:szCs w:val="16"/>
          <w:color w:val="auto"/>
        </w:rPr>
      </w:pPr>
    </w:p>
    <w:p>
      <w:pPr>
        <w:ind w:left="660" w:right="320" w:hanging="206"/>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82,416 shares of common stock issuable upon the exercise of warrants to purchase shares of our Series C convertible preferred stock issued after September 30, 2016, with an exercise price of $4.55 per share, that do not expire upon the closing of this offering.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selected statements of operations data for the years ended December 31, 2014 and 2015 and the balance sheet data as of December 31, 2014 and 2015 are derived from our audited financial statements included elsewhere in this prospectus. The selected consolidated statements of operations data for the nine months ended September 30, 2015 and 2016 and the consolidated balance sheet data as of September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9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16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Collaboration revenue</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15,838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17,571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13,517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13,930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17,304</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10,732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10,403</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2,515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23"/>
        </w:trPr>
        <w:tc>
          <w:tcPr>
            <w:tcW w:w="5160" w:type="dxa"/>
            <w:vAlign w:val="bottom"/>
          </w:tcPr>
          <w:p>
            <w:pPr>
              <w:ind w:left="1080"/>
              <w:spacing w:after="0"/>
              <w:rPr>
                <w:sz w:val="20"/>
                <w:szCs w:val="20"/>
                <w:color w:val="auto"/>
              </w:rPr>
            </w:pPr>
            <w:r>
              <w:rPr>
                <w:rFonts w:ascii="Arial" w:cs="Arial" w:eastAsia="Arial" w:hAnsi="Arial"/>
                <w:sz w:val="18"/>
                <w:szCs w:val="18"/>
                <w:color w:val="auto"/>
              </w:rPr>
              <w:t>Total operating expenses</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10,770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440"/>
              <w:spacing w:after="0"/>
              <w:rPr>
                <w:sz w:val="20"/>
                <w:szCs w:val="20"/>
                <w:color w:val="auto"/>
              </w:rPr>
            </w:pPr>
            <w:r>
              <w:rPr>
                <w:rFonts w:ascii="Arial" w:cs="Arial" w:eastAsia="Arial" w:hAnsi="Arial"/>
                <w:sz w:val="18"/>
                <w:szCs w:val="18"/>
                <w:color w:val="auto"/>
              </w:rPr>
              <w:t>Income (loss) from operations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(5,287)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(3,322)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(1,281)</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(1,277)</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5160" w:type="dxa"/>
            <w:vAlign w:val="bottom"/>
          </w:tcPr>
          <w:p>
            <w:pPr>
              <w:ind w:left="1440"/>
              <w:spacing w:after="0"/>
              <w:rPr>
                <w:sz w:val="20"/>
                <w:szCs w:val="20"/>
                <w:color w:val="auto"/>
              </w:rPr>
            </w:pPr>
            <w:r>
              <w:rPr>
                <w:rFonts w:ascii="Arial" w:cs="Arial" w:eastAsia="Arial" w:hAnsi="Arial"/>
                <w:sz w:val="18"/>
                <w:szCs w:val="18"/>
                <w:color w:val="auto"/>
              </w:rPr>
              <w:t>Total other income (expense), net</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(2,113)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1440"/>
              <w:spacing w:after="0"/>
              <w:rPr>
                <w:sz w:val="20"/>
                <w:szCs w:val="20"/>
                <w:color w:val="auto"/>
              </w:rPr>
            </w:pPr>
            <w:r>
              <w:rPr>
                <w:rFonts w:ascii="Arial" w:cs="Arial" w:eastAsia="Arial" w:hAnsi="Arial"/>
                <w:sz w:val="18"/>
                <w:szCs w:val="18"/>
                <w:color w:val="auto"/>
              </w:rPr>
              <w:t>Income (loss) before income taxes</w:t>
            </w:r>
          </w:p>
        </w:tc>
        <w:tc>
          <w:tcPr>
            <w:tcW w:w="1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(5,545)</w:t>
            </w:r>
          </w:p>
        </w:tc>
        <w:tc>
          <w:tcPr>
            <w:tcW w:w="1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(5,266)</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60" w:type="dxa"/>
            <w:vAlign w:val="bottom"/>
          </w:tcPr>
          <w:p>
            <w:pPr>
              <w:ind w:left="1080"/>
              <w:spacing w:after="0"/>
              <w:rPr>
                <w:sz w:val="20"/>
                <w:szCs w:val="20"/>
                <w:color w:val="auto"/>
              </w:rPr>
            </w:pPr>
            <w:r>
              <w:rPr>
                <w:rFonts w:ascii="Arial" w:cs="Arial" w:eastAsia="Arial" w:hAnsi="Arial"/>
                <w:sz w:val="18"/>
                <w:szCs w:val="18"/>
                <w:color w:val="auto"/>
              </w:rPr>
              <w:t>Provision for income taxes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720"/>
              <w:spacing w:after="0"/>
              <w:rPr>
                <w:sz w:val="20"/>
                <w:szCs w:val="20"/>
                <w:color w:val="auto"/>
              </w:rPr>
            </w:pPr>
            <w:r>
              <w:rPr>
                <w:rFonts w:ascii="Arial" w:cs="Arial" w:eastAsia="Arial" w:hAnsi="Arial"/>
                <w:sz w:val="18"/>
                <w:szCs w:val="18"/>
                <w:color w:val="auto"/>
              </w:rPr>
              <w:t>Net income (loss)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(5,545)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(5,405)</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(1,893)</w:t>
            </w:r>
          </w:p>
        </w:tc>
        <w:tc>
          <w:tcPr>
            <w:tcW w:w="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0"/>
                <w:szCs w:val="20"/>
                <w:color w:val="auto"/>
              </w:rPr>
            </w:pPr>
            <w:r>
              <w:rPr>
                <w:rFonts w:ascii="Arial" w:cs="Arial" w:eastAsia="Arial" w:hAnsi="Arial"/>
                <w:sz w:val="18"/>
                <w:szCs w:val="18"/>
                <w:color w:val="auto"/>
              </w:rPr>
              <w:t>Net income attributed to participating securities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21"/>
                <w:szCs w:val="2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Net income (loss) attributed to common stockholders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(5,545)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(5,405)</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(1,893)</w:t>
            </w:r>
          </w:p>
        </w:tc>
        <w:tc>
          <w:tcPr>
            <w:tcW w:w="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Net income (loss) per common share:(1)</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(4.98)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outstanding:(1)</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Pro forma net income (loss) per common share (unaudited):(1)</w:t>
            </w: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Pro forma weighted-average number of shares outstanding</w:t>
            </w: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(unaudited):(1)</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11,132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900" w:type="dxa"/>
            <w:vAlign w:val="bottom"/>
            <w:vMerge w:val="restart"/>
          </w:tcPr>
          <w:p>
            <w:pPr>
              <w:jc w:val="right"/>
              <w:ind w:right="117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865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60" w:right="140" w:hanging="452"/>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Note 2 to our audited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940" w:type="dxa"/>
            <w:vAlign w:val="bottom"/>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9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120" w:type="dxa"/>
            <w:vAlign w:val="bottom"/>
            <w:vMerge w:val="continue"/>
          </w:tcPr>
          <w:p>
            <w:pPr>
              <w:spacing w:after="0"/>
              <w:rPr>
                <w:sz w:val="14"/>
                <w:szCs w:val="14"/>
                <w:color w:val="auto"/>
              </w:rPr>
            </w:pPr>
          </w:p>
        </w:tc>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$ 22,188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$ 51,684</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47,134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25,065</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56,280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55,837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4,793</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4,903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569</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4680" w:type="dxa"/>
            <w:vAlign w:val="bottom"/>
            <w:gridSpan w:val="3"/>
          </w:tcPr>
          <w:p>
            <w:pPr>
              <w:jc w:val="right"/>
              <w:ind w:right="80"/>
              <w:spacing w:after="0"/>
              <w:rPr>
                <w:sz w:val="20"/>
                <w:szCs w:val="20"/>
                <w:color w:val="auto"/>
              </w:rPr>
            </w:pPr>
            <w:r>
              <w:rPr>
                <w:rFonts w:ascii="Arial" w:cs="Arial" w:eastAsia="Arial" w:hAnsi="Arial"/>
                <w:sz w:val="18"/>
                <w:szCs w:val="18"/>
                <w:color w:val="auto"/>
              </w:rPr>
              <w:t>36,828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77,516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77,516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4680" w:type="dxa"/>
            <w:vAlign w:val="bottom"/>
            <w:gridSpan w:val="3"/>
          </w:tcPr>
          <w:p>
            <w:pPr>
              <w:jc w:val="right"/>
              <w:ind w:right="20"/>
              <w:spacing w:after="0"/>
              <w:rPr>
                <w:sz w:val="20"/>
                <w:szCs w:val="20"/>
                <w:color w:val="auto"/>
              </w:rPr>
            </w:pPr>
            <w:r>
              <w:rPr>
                <w:rFonts w:ascii="Arial" w:cs="Arial" w:eastAsia="Arial" w:hAnsi="Arial"/>
                <w:sz w:val="18"/>
                <w:szCs w:val="18"/>
                <w:color w:val="auto"/>
              </w:rPr>
              <w:t>(30,835)</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(35,179)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365"/>
        </w:trPr>
        <w:tc>
          <w:tcPr>
            <w:tcW w:w="4120" w:type="dxa"/>
            <w:vAlign w:val="bottom"/>
          </w:tcPr>
          <w:p>
            <w:pPr>
              <w:spacing w:after="0"/>
              <w:rPr>
                <w:sz w:val="24"/>
                <w:szCs w:val="24"/>
                <w:color w:val="auto"/>
              </w:rPr>
            </w:pPr>
          </w:p>
        </w:tc>
        <w:tc>
          <w:tcPr>
            <w:tcW w:w="3940" w:type="dxa"/>
            <w:vAlign w:val="bottom"/>
          </w:tcPr>
          <w:p>
            <w:pPr>
              <w:jc w:val="right"/>
              <w:ind w:right="2170"/>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have completed a Phase 1 trial of 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cleared an Investigational New Drug application, or IND, with the U.S. Food and Drug Administration, or FDA, and a Clinical Trial Authorisation, or CTA, to the U.K. Medicines and Healthcare Products Regulatory Agency, or MHRA, to initiate Phase 2a trials of ANB020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ANB019 inhibits the interleukin-36, or IL-36R, receptor for the treatment of rare inflammatory diseases including generalized pustular psoriasis, or GPP, and palmo-plantar pustular psoriasis, or PPP. In November 2016, we submitted a CTN for ANB019 and, if cleared, we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which have demonstrated efficacy in an animal model of graft-versus-host disease.</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Under our TESARO collaboration, a Phase 1 clinical trial was initiated during the first quarter of 2016 to study an AnaptysBio-generated anti-PD-1 antagonist antibody (TSR-042) in patients under an IND cleared by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U.S. FDA. We anticipate initiation of a registration program for TSR-042 by TESARO during the first half of 2017. A second Phase 1 trial was initiated during the third quarter of 2016 to study an AnaptysBio-generated anti-TIM-3 antagonist antibody (TSR-022) in patients under a separate IND cleared by the FDA. We anticipate initiation of a combination trial of TSR-022 with an anti-PD-1 antibody by TESARO during the first half of 2017. Under our Celgene collaboration,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using good laboratory practices, or GLPs, for an AnaptysBio-generated antibody was completed during the second quarter of 2016, and a U.S. IND was cleared by the FDA and a Phase 1 trial was initiated in December 2016. Including the aforementioned programs, we expect that our collaborators will advance four AnaptysBio-generated antibodies to the clinic by the end of the first half of 2017. Through December 31, 2016, we have received $65.4 million in non-dilutive funding from our collaborators.</w:t>
      </w:r>
    </w:p>
    <w:p>
      <w:pPr>
        <w:spacing w:after="0" w:line="178"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December 31, 2016, we have raised $104.1 million from investors, including Biotechnology Value Fund, Cormorant Asset Management, Frazier Healthcare, HBM Partners, Longwood Capital Partners and Novo A/S.</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have generated multiple antibodies by using our SHM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2016, we had an accumulated deficit of $50.3 million primarily as a result of losses incurred since our inception in 2005. Although we reported net income of $3.5 million during the year ended December 31, 2014 and $0.3 million during the nine months ended September 30, 2016,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900" w:firstLine="456"/>
        <w:spacing w:after="0" w:line="308"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and Exclusive License Agreement with TESARO</w:t>
      </w:r>
    </w:p>
    <w:p>
      <w:pPr>
        <w:spacing w:after="0" w:line="117"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In March 2014, we entered into an exclusive worldwide license and collaboration agreement with TESARO for the development and commercialization of therapeutic monospecific and bispecific antibodies that antagonize PD-1, TIM-3, LAG-3 and/or a fourth undisclosed checkpoint receptor.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over the same period that our research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development services, for which we are reimbursed, are performed, which was extended through December 31, 2016 by amendment of the agreement in February 2016. From inception of the agreement through September 30, 2016, we have recognized $42.5 million in total revenue from TESARO.</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June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anti-PD-1 antagonist antibody (TSR-042) resulting in us receiving a $1.0 million milestone in July 2015. In October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anti-TIM-3 antagonist antibody (TSR-022) resulting in us receiving a $1.0 million milestone in November 2015. In January 2016, TESARO received clearance of their IND from the FDA for an AnaptysBio-generated anti-PD-1 antagonist antibody (TSR-042) resulting in us receiving a $4.0 million milestone payment in February 2016. In June 2016, TESARO received clearance of their IND from the FDA for an AnaptysBio-generated anti-TIM-3 antagonist antibody (TSR-022) resulting in us receiving a $4.0 million milestone payment in June 2016. In September 2016,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anti-LAG-3 antagonist antibody (TSR-033) resulting in us receiving a $1.0 million milestone in September 2016. We expect to receive an additional aggregate of $4.0 million in IND-related milestone payments by the end of the first half of 2017.</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September 30, 2016, we have recognized $9.0 million in total revenue from Celgene.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receiving a $0.5 million milestone payment in June 2016. In December 2016, Celgene cleared a U.S. IND with the FDA and initiated a Phase 1 trial for one of the two programs being advanced by Celgene, resulting in us earning an additional $1.0 million Phase 1 trial initiation milestone payment, which was received in January 2017.</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are party to other collaboration agreements for which we recognized $1.7 million and $3.7 million in collaboration revenue during the years ended December 31, 2013 and 2014, respectively. We completed our obligations under these agreements in 2014 and did not recognize any additional revenue from them subsequent to the year ended December 31, 2014.</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76" w:lineRule="exact"/>
        <w:rPr>
          <w:sz w:val="20"/>
          <w:szCs w:val="20"/>
          <w:color w:val="auto"/>
        </w:rPr>
      </w:pPr>
    </w:p>
    <w:p>
      <w:pPr>
        <w:ind w:left="660" w:right="14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are conducting initial clinical trials for ANB020 and plan to conduct initial clinical trials for ANB019 in Australia to rapidly enter into first-in-human studies and benefit from research and development-related financial incentives related to the development of ANB020 and ANB019. Taking into account any financial incentives, we expect our research and development expenses to be higher for the foreseeable future as we advance our product candidates into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Interest expense consists of stated interest and amortization of discounts on our outstanding notes payable relating to our Loan and Security Agreement with Oxford Finance LLC and Silicon Valley Bank, as amended, which we refer to as the Loan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Liability for Preferred Stock Warrants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 convert into warrants to purchase shares of common stock, the preferred stock warrant liabilities will be reclassified to additional paid-in capital and periodic fair value adjustments will no longer be recorded.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our inception through December 31, 2013, we accumulated net operating losses, or NOLs. We generated taxable income in the United States for the years ended December 31, 2014 and 2015 as a result of our collaboration agreement with TESARO as well as expenses incurred by our Australian subsidiary which are not deductible for U.S. income tax purposes. While we utilized NOLs in 2014 and 2015, we continue to have a valuation allowance against our net deferred tax assets due to the uncertainty of the realization of such assets.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December 31, 2015, we had federal and state NOL carryforwards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 forward indefinitely.</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an IRC Section 382/383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In October 2016, we extended the analysis period of the study through December 31, 2015, noting no ownership changes during fiscal 2015. If a change in ownership occurs as a result of this offering, additional NOL and tax credits carryforwards could be eliminated or restricted.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6" w:lineRule="exact"/>
        <w:rPr>
          <w:sz w:val="20"/>
          <w:szCs w:val="20"/>
          <w:color w:val="auto"/>
        </w:rPr>
      </w:pPr>
    </w:p>
    <w:p>
      <w:pPr>
        <w:ind w:left="660" w:right="40" w:hanging="206"/>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59" w:lineRule="exact"/>
        <w:rPr>
          <w:rFonts w:ascii="Arial" w:cs="Arial" w:eastAsia="Arial" w:hAnsi="Arial"/>
          <w:sz w:val="16"/>
          <w:szCs w:val="16"/>
          <w:color w:val="auto"/>
        </w:rPr>
      </w:pPr>
    </w:p>
    <w:p>
      <w:pPr>
        <w:ind w:left="660" w:hanging="206"/>
        <w:spacing w:after="0" w:line="297"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660" w:right="220" w:hanging="206"/>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7" w:lineRule="exact"/>
        <w:rPr>
          <w:sz w:val="20"/>
          <w:szCs w:val="20"/>
          <w:color w:val="auto"/>
        </w:rPr>
      </w:pPr>
    </w:p>
    <w:p>
      <w:pPr>
        <w:ind w:left="660" w:hanging="206"/>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fair value of the underlying common shares</w:t>
      </w:r>
      <w:r>
        <w:rPr>
          <w:rFonts w:ascii="Arial" w:cs="Arial" w:eastAsia="Arial" w:hAnsi="Arial"/>
          <w:sz w:val="17"/>
          <w:szCs w:val="17"/>
          <w:color w:val="auto"/>
        </w:rPr>
        <w:t>, as approved by our board of directors, which was determined using the option-pricing method, or OPM,</w:t>
      </w:r>
      <w:r>
        <w:rPr>
          <w:rFonts w:ascii="Arial" w:cs="Arial" w:eastAsia="Arial" w:hAnsi="Arial"/>
          <w:sz w:val="17"/>
          <w:szCs w:val="17"/>
          <w:i w:val="1"/>
          <w:iCs w:val="1"/>
          <w:color w:val="auto"/>
        </w:rPr>
        <w:t xml:space="preserve"> </w:t>
      </w:r>
      <w:r>
        <w:rPr>
          <w:rFonts w:ascii="Arial" w:cs="Arial" w:eastAsia="Arial" w:hAnsi="Arial"/>
          <w:sz w:val="17"/>
          <w:szCs w:val="17"/>
          <w:color w:val="auto"/>
        </w:rPr>
        <w:t>in periods through December 31, 2014, and the probability-weighted expected return method, or PWERM, beginning March 31, 2015;</w:t>
      </w:r>
    </w:p>
    <w:p>
      <w:pPr>
        <w:spacing w:after="0" w:line="51" w:lineRule="exact"/>
        <w:rPr>
          <w:rFonts w:ascii="Arial" w:cs="Arial" w:eastAsia="Arial" w:hAnsi="Arial"/>
          <w:sz w:val="17"/>
          <w:szCs w:val="17"/>
          <w:color w:val="auto"/>
        </w:rPr>
      </w:pPr>
    </w:p>
    <w:p>
      <w:pPr>
        <w:ind w:left="660" w:right="580" w:hanging="206"/>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75"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historical information is available. Because we are privately held as of the date of these financial statements, we do not have relevant historical data to support our expected volatility;</w:t>
      </w:r>
    </w:p>
    <w:p>
      <w:pPr>
        <w:spacing w:after="0" w:line="86"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660" w:right="60" w:hanging="206"/>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 average vesting period for all option tranches, as we have insufficient historical information regarding our stock options to provide a basis for an estimate.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computed the fair value of stock options at the date of grant using the following weighted average assumptions:</w:t>
      </w:r>
    </w:p>
    <w:p>
      <w:pPr>
        <w:spacing w:after="0" w:line="244"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Nine Months Ended</w:t>
      </w:r>
    </w:p>
    <w:p>
      <w:pPr>
        <w:jc w:val="center"/>
        <w:ind w:left="91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0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29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0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10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6"/>
                <w:szCs w:val="16"/>
                <w:color w:val="auto"/>
              </w:rPr>
            </w:pPr>
          </w:p>
        </w:tc>
        <w:tc>
          <w:tcPr>
            <w:tcW w:w="7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71.1%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940" w:type="dxa"/>
            <w:vAlign w:val="bottom"/>
            <w:gridSpan w:val="3"/>
          </w:tcPr>
          <w:p>
            <w:pPr>
              <w:jc w:val="right"/>
              <w:ind w:right="440"/>
              <w:spacing w:after="0"/>
              <w:rPr>
                <w:sz w:val="20"/>
                <w:szCs w:val="20"/>
                <w:color w:val="auto"/>
              </w:rPr>
            </w:pPr>
            <w:r>
              <w:rPr>
                <w:rFonts w:ascii="Arial" w:cs="Arial" w:eastAsia="Arial" w:hAnsi="Arial"/>
                <w:sz w:val="18"/>
                <w:szCs w:val="18"/>
                <w:color w:val="auto"/>
              </w:rPr>
              <w:t>6.10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Weighted average grant date fair value per share</w:t>
            </w:r>
          </w:p>
        </w:tc>
        <w:tc>
          <w:tcPr>
            <w:tcW w:w="3940" w:type="dxa"/>
            <w:vAlign w:val="bottom"/>
            <w:gridSpan w:val="3"/>
          </w:tcPr>
          <w:p>
            <w:pPr>
              <w:jc w:val="right"/>
              <w:ind w:right="440"/>
              <w:spacing w:after="0"/>
              <w:rPr>
                <w:sz w:val="20"/>
                <w:szCs w:val="20"/>
                <w:color w:val="auto"/>
              </w:rPr>
            </w:pPr>
            <w:r>
              <w:rPr>
                <w:rFonts w:ascii="Arial" w:cs="Arial" w:eastAsia="Arial" w:hAnsi="Arial"/>
                <w:sz w:val="18"/>
                <w:szCs w:val="18"/>
                <w:color w:val="auto"/>
              </w:rPr>
              <w:t>$  4.27</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  3.64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There were 861,375 and 278,910 stock options granted during the nine months ended September 30, 2015 and 2016, respectively. Subsequent to September 30, 2016, we granted 221,953 stock options.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Stock-based compensation expense related to unvested stock option grants not yet recognized as of September 30, 2016 was $2.8 million and the weighted average period over which these grants are expected to vest is 2.8 years. We expect to continue to grant stock options in the future, and to the extent we do, our actual stock-based compensation expense recognized in future periods will likely increase.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9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 guidelines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66"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67" w:lineRule="exact"/>
        <w:rPr>
          <w:sz w:val="20"/>
          <w:szCs w:val="20"/>
          <w:color w:val="auto"/>
        </w:rPr>
      </w:pPr>
    </w:p>
    <w:p>
      <w:pPr>
        <w:ind w:left="660" w:hanging="206"/>
        <w:spacing w:after="0" w:line="25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Guideline Public Company Method. </w:t>
      </w:r>
      <w:r>
        <w:rPr>
          <w:rFonts w:ascii="Arial" w:cs="Arial" w:eastAsia="Arial" w:hAnsi="Arial"/>
          <w:sz w:val="18"/>
          <w:szCs w:val="18"/>
          <w:color w:val="auto"/>
        </w:rPr>
        <w:t>The guideline public company method, or GPC method, compares the subject company with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93" w:lineRule="exact"/>
        <w:rPr>
          <w:rFonts w:ascii="Arial" w:cs="Arial" w:eastAsia="Arial" w:hAnsi="Arial"/>
          <w:sz w:val="18"/>
          <w:szCs w:val="18"/>
          <w:color w:val="auto"/>
        </w:rPr>
      </w:pPr>
    </w:p>
    <w:p>
      <w:pPr>
        <w:ind w:left="660" w:right="60" w:hanging="206"/>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Similar Transaction Method. </w:t>
      </w:r>
      <w:r>
        <w:rPr>
          <w:rFonts w:ascii="Arial" w:cs="Arial" w:eastAsia="Arial" w:hAnsi="Arial"/>
          <w:sz w:val="18"/>
          <w:szCs w:val="18"/>
          <w:color w:val="auto"/>
        </w:rPr>
        <w:t>The similar transaction method, or ST method, relies on data of actual transactions, such as mergers and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or 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Methods Used to Allocate Our Enterprise Value to Classes of Securities</w:t>
      </w:r>
      <w:r>
        <w:rPr>
          <w:rFonts w:ascii="Arial" w:cs="Arial" w:eastAsia="Arial" w:hAnsi="Arial"/>
          <w:sz w:val="18"/>
          <w:szCs w:val="18"/>
          <w:color w:val="auto"/>
        </w:rPr>
        <w:t>. In accordance with the Practice Aid, we considered the various methods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83" w:lineRule="exact"/>
        <w:rPr>
          <w:sz w:val="20"/>
          <w:szCs w:val="20"/>
          <w:color w:val="auto"/>
        </w:rPr>
      </w:pPr>
    </w:p>
    <w:p>
      <w:pPr>
        <w:ind w:left="660" w:hanging="206"/>
        <w:spacing w:after="0" w:line="347"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 preferences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conversion terms of each equity class. The values of the preferred and common stock are inferred by analyzing these options.</w:t>
      </w:r>
    </w:p>
    <w:p>
      <w:pPr>
        <w:spacing w:after="0" w:line="21" w:lineRule="exact"/>
        <w:rPr>
          <w:rFonts w:ascii="Arial" w:cs="Arial" w:eastAsia="Arial" w:hAnsi="Arial"/>
          <w:sz w:val="16"/>
          <w:szCs w:val="16"/>
          <w:color w:val="auto"/>
        </w:rPr>
      </w:pPr>
    </w:p>
    <w:p>
      <w:pPr>
        <w:jc w:val="both"/>
        <w:ind w:left="660" w:hanging="206"/>
        <w:spacing w:after="0" w:line="26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PWERM is a scenario 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18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the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6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determined the price range set forth in the preliminary prospectus for this offering dated January 17, 2017 after consultation with the underwriters. As of the dates of the stock option grants in 2016 and 2017 through the date of this prospectus, our board of directors had determined the fair value of our common stock to be $5.95 per share (for the April 22, 2016, July 22, 2016 and September 23, 2016 grants), $11.20 per share (for the December 20, 2016 grants) and $11.34 per share (for the January 9, 2017 grants). The determination was based upon the factors described above. We believe the difference between the fair value of our common stock for the stock option grants in 2016 and 2017 through the date of this prospectus, in each case as determined by our board of directors, and the then-assumed initial offering price range set forth in the preliminary prospectus for this offering dated January 17, 2017 is a result of the following factors:</w:t>
      </w:r>
    </w:p>
    <w:p>
      <w:pPr>
        <w:spacing w:after="0" w:line="95" w:lineRule="exact"/>
        <w:rPr>
          <w:sz w:val="20"/>
          <w:szCs w:val="20"/>
          <w:color w:val="auto"/>
        </w:rPr>
      </w:pPr>
    </w:p>
    <w:p>
      <w:pPr>
        <w:ind w:left="660" w:right="140" w:hanging="206"/>
        <w:spacing w:after="0" w:line="30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differences in the valuation methodologies, assumptions and inputs used by the underwriters in their valuation analysis discussed with our management and used to determine the price range set forth in the preliminary prospectus for this offering dated January 17, 2017, which assume a successful initial public offering with no weighting attributed to any other outcome for our business, such as remaining a privately held company, compared to the valuation methodologies, assumptions and inputs used in the valuations considered by our board of directors;</w:t>
      </w:r>
    </w:p>
    <w:p>
      <w:pPr>
        <w:spacing w:after="0" w:line="59" w:lineRule="exact"/>
        <w:rPr>
          <w:rFonts w:ascii="Arial" w:cs="Arial" w:eastAsia="Arial" w:hAnsi="Arial"/>
          <w:sz w:val="16"/>
          <w:szCs w:val="16"/>
          <w:color w:val="auto"/>
        </w:rPr>
      </w:pPr>
    </w:p>
    <w:p>
      <w:pPr>
        <w:ind w:left="660" w:right="60" w:hanging="206"/>
        <w:spacing w:after="0" w:line="286"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price range set forth in the preliminary prospectus for this offering dated January 17, 2017 necessarily assumes that an initial public offering has occurred and a public market for our common stock has been created and, therefore, excludes any marketability or liquidity discount for our common stock, which was appropriately taken into account in our board of directors’ fair value determinations;</w:t>
      </w:r>
    </w:p>
    <w:p>
      <w:pPr>
        <w:spacing w:after="0" w:line="70" w:lineRule="exact"/>
        <w:rPr>
          <w:rFonts w:ascii="Arial" w:cs="Arial" w:eastAsia="Arial" w:hAnsi="Arial"/>
          <w:sz w:val="17"/>
          <w:szCs w:val="17"/>
          <w:color w:val="auto"/>
        </w:rPr>
      </w:pPr>
    </w:p>
    <w:p>
      <w:pPr>
        <w:ind w:left="660" w:right="20" w:hanging="206"/>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differences in comparable companies in the life sciences market discussed between us and the underwriters and used to determine the price range, as compared to the prior analysis applied and comparable companies used by our board of directors;</w:t>
      </w:r>
    </w:p>
    <w:p>
      <w:pPr>
        <w:spacing w:after="0" w:line="75"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consideration of various objective and subjective factors in the previous fair value determinations, as described above, that were not applicable to the determination of the price range; and</w:t>
      </w:r>
    </w:p>
    <w:p>
      <w:pPr>
        <w:spacing w:after="0" w:line="75" w:lineRule="exact"/>
        <w:rPr>
          <w:rFonts w:ascii="Arial" w:cs="Arial" w:eastAsia="Arial" w:hAnsi="Arial"/>
          <w:sz w:val="18"/>
          <w:szCs w:val="18"/>
          <w:color w:val="auto"/>
        </w:rPr>
      </w:pPr>
    </w:p>
    <w:p>
      <w:pPr>
        <w:ind w:left="660" w:right="360" w:hanging="206"/>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advancements in the development of our product candidates, in particular the receipt of FDA clearance of an IND for a Phase 2a clinical trial of ANB020 in the United States and the receipt of MHRA clearance of a CTA for a Phase 2a clinical trial of ANB020 in the United Kingdom in December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Warrant Liabilities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eight specific cash flows issues for which it provides specific guidance on treatment within the cash flow statement, with the intent of reducing diversity in practice. As permitted by this ASU, we elected to early adopt the standard beginning with our quarterly reporting period ended September 30, 2016, with retrospective application of the amended guidance. Upon adoption, there was no effect to our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outlines a single comprehensive model for entities to use in accounting for revenue from contracts with customers and supersedes most current revenue recognition guidance in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9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is intended to simplify the accounting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share-based payments including forfeiture rates, expected option terms, intrinsic value, income taxes as they relate to awards, and cash flow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ASU 2016-09 becomes effective for our annual reporting period beginning January 1, 2017, including interim periods thereafter; early adoption is permitted.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assessing the impact that this standard will have on our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54"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29" w:lineRule="exact"/>
        <w:rPr>
          <w:sz w:val="20"/>
          <w:szCs w:val="20"/>
          <w:color w:val="auto"/>
        </w:rPr>
      </w:pPr>
    </w:p>
    <w:p>
      <w:pPr>
        <w:ind w:left="660" w:right="220" w:hanging="20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42" w:lineRule="exact"/>
        <w:rPr>
          <w:rFonts w:ascii="Arial" w:cs="Arial" w:eastAsia="Arial" w:hAnsi="Arial"/>
          <w:sz w:val="17"/>
          <w:szCs w:val="17"/>
          <w:color w:val="auto"/>
        </w:rPr>
      </w:pPr>
    </w:p>
    <w:p>
      <w:pPr>
        <w:ind w:left="660" w:right="540" w:hanging="20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2015 and 2016</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Collaboration revenue was $13.5 million and $13.9 million during the nine months ended September 30, 2015 and 2016, respectively. A comparison of revenue by collaborator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6"/>
          </w:tcPr>
          <w:p>
            <w:pPr>
              <w:ind w:left="60"/>
              <w:spacing w:after="0"/>
              <w:rPr>
                <w:sz w:val="20"/>
                <w:szCs w:val="20"/>
                <w:color w:val="auto"/>
              </w:rPr>
            </w:pPr>
            <w:r>
              <w:rPr>
                <w:rFonts w:ascii="Arial" w:cs="Arial" w:eastAsia="Arial" w:hAnsi="Arial"/>
                <w:sz w:val="14"/>
                <w:szCs w:val="14"/>
                <w:b w:val="1"/>
                <w:bCs w:val="1"/>
                <w:color w:val="auto"/>
              </w:rPr>
              <w:t>Ended September 30,</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86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r>
      <w:tr>
        <w:trPr>
          <w:trHeight w:val="195"/>
        </w:trPr>
        <w:tc>
          <w:tcPr>
            <w:tcW w:w="8620" w:type="dxa"/>
            <w:vAlign w:val="bottom"/>
          </w:tcPr>
          <w:p>
            <w:pPr>
              <w:spacing w:after="0" w:line="195" w:lineRule="exact"/>
              <w:rPr>
                <w:sz w:val="20"/>
                <w:szCs w:val="20"/>
                <w:color w:val="auto"/>
              </w:rPr>
            </w:pPr>
            <w:r>
              <w:rPr>
                <w:rFonts w:ascii="Arial" w:cs="Arial" w:eastAsia="Arial" w:hAnsi="Arial"/>
                <w:sz w:val="18"/>
                <w:szCs w:val="18"/>
                <w:color w:val="auto"/>
              </w:rPr>
              <w:t>TESARO-amortization of upfront payments</w:t>
            </w:r>
          </w:p>
        </w:tc>
        <w:tc>
          <w:tcPr>
            <w:tcW w:w="20" w:type="dxa"/>
            <w:vAlign w:val="bottom"/>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7,500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1,976</w:t>
            </w:r>
          </w:p>
        </w:tc>
        <w:tc>
          <w:tcPr>
            <w:tcW w:w="42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(5,524)</w:t>
            </w:r>
          </w:p>
        </w:tc>
        <w:tc>
          <w:tcPr>
            <w:tcW w:w="60" w:type="dxa"/>
            <w:vAlign w:val="bottom"/>
          </w:tcPr>
          <w:p>
            <w:pPr>
              <w:spacing w:after="0"/>
              <w:rPr>
                <w:sz w:val="16"/>
                <w:szCs w:val="16"/>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5,267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(2,250)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TESARO-milestone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8,437</w:t>
            </w: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7,687</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Celgene-milestone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13,517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13,930</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During the first and fourth quarter of 2014 we received $17.0 million and $2.0 million, respectively, in upfront fees under our collaboration and exclusive license agreement with TESARO. For the nine months ended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September 30, 2015 and 2016, we recognized the amortized portion of these upfront fees in the amounts of $7.5 million and $2.0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$5.3 million and $3.0 million during the nine months ended September 30, 2015 and 2016, respectively, for research and development services performed under the agreement.</w:t>
      </w:r>
    </w:p>
    <w:p>
      <w:pPr>
        <w:spacing w:after="0" w:line="18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 xml:space="preserve">In June 2015, TESARO initiated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using GLPs for an AnaptysBio-generated anti-PD-1 antagonist antibody (TSR-042) resulting in us earning a $1.0 million milestone. We recognized revenue of $0.8 million and $0.1 million during the nine months ended September 30, 2015 and 2016, respectively. The remaining milestone is being recognized ratably through December 2016, and was received in July 2015.</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February 2016.</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June 2016.</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earning a $0.5 million milestone payment in June 2016. We recognized the $0.5 million milestone payment as revenue during the nine months ended September 30, 2016. The $0.5 million milestone payment was received in June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2016, Celgene cleared a U.S. IND with the FDA and initiated a Phase 1 trial, resulting in us earning a $1.0 million milestone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$1.0 million milestone payment was received in January 2017.</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of approximately $0.9 million. The remaining unrecognized milestone payments of $0.1 million at September 30, 2016 will be recognized ratably through December 31, 2016. The $1.0 million milestone payment was received in September 2016.</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Research and development expenses were $10.7 million and $10.4 million during the nine months ended September 30, 2015 and 2016, respectively, for a decrease of $0.3 million. The decrease was due primarily to the recognition of a tax incentive, which reduced our expenses by $6.2 million during the nine months ended September 30, 2016, upon our determination that the tax incentive was collectible. No tax incentive was recorded during the nine months ended September 30, 2015. The decrease was offset by a $3.4 million increase in outside service for preclinical trial work, a $1.7 million increase in clinical trial work, as well as a $1.0 million increase in salaries and related expenses including recruiting and relocation expense, resulting primarily from an increase in research and development personnel.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expect our research and development expenses to increase as we advance our development programs further and, in particular, as we enter into clinical trials.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General and administrative expenses were $2.5 million and $3.4 million during the nine months ended September 30, 2015 and 2016, respectively, for an increase of $0.9 million. The increase was due primarily to a $0.7 million increase in salaries and related expenses for new senior level positions, and a $0.2 million increase in intellectual property related legal expenses, primarily those related to prosecuting and maintaining patent applications.</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Interest expense was $0.3 million during each of the nine months ended September 30, 2015 and 2016. The interest expense represents effective interest of 9.25% and 9.29% during the nine months ended September 30, 2015 and 2016, respectively, on our outstanding Term A Loans, which had an outstanding principal balance of $5.0 million as of September 30, 2015 and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Liabilities for Preferred Stock Warrants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$1.5 million and income of $0.3 million during the nine months ended September 30, 2015 and 2016, respectively, due to changes in the valuation of our Series C convertible preferred stock which impacts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income (expense) was ($0.2) million during the nine months ended September 30, 2015 and primarily consisted of a foreign exchange loss of ($0.3) million related to our Australian subsidiary, which was established in March 2015. Other income (expense) was $0.2 million during the nine months ended September 30, 2016 and primarily consisted of interest income from our money market fund, as well as foreign exchange gains related to our Australian subsidiary.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Collaboration revenue was $15.8 million and $17.6 million during the years ended December 31, 2014 and 2015, respectively. A comparison of revenue by collaborator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gridSpan w:val="2"/>
          </w:tcPr>
          <w:p>
            <w:pPr>
              <w:jc w:val="right"/>
              <w:ind w:right="85"/>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Ended December 31,</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86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(Decrease)</w:t>
            </w:r>
          </w:p>
        </w:tc>
      </w:tr>
      <w:tr>
        <w:trPr>
          <w:trHeight w:val="195"/>
        </w:trPr>
        <w:tc>
          <w:tcPr>
            <w:tcW w:w="8620" w:type="dxa"/>
            <w:vAlign w:val="bottom"/>
          </w:tcPr>
          <w:p>
            <w:pPr>
              <w:spacing w:after="0" w:line="195" w:lineRule="exact"/>
              <w:rPr>
                <w:sz w:val="20"/>
                <w:szCs w:val="20"/>
                <w:color w:val="auto"/>
              </w:rPr>
            </w:pPr>
            <w:r>
              <w:rPr>
                <w:rFonts w:ascii="Arial" w:cs="Arial" w:eastAsia="Arial" w:hAnsi="Arial"/>
                <w:sz w:val="18"/>
                <w:szCs w:val="18"/>
                <w:color w:val="auto"/>
              </w:rPr>
              <w:t>TESARO-amortization of upfront payments</w:t>
            </w: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6,980</w:t>
            </w:r>
          </w:p>
        </w:tc>
        <w:tc>
          <w:tcPr>
            <w:tcW w:w="4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9,386</w:t>
            </w:r>
          </w:p>
        </w:tc>
        <w:tc>
          <w:tcPr>
            <w:tcW w:w="44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2,406</w:t>
            </w:r>
          </w:p>
        </w:tc>
        <w:tc>
          <w:tcPr>
            <w:tcW w:w="60" w:type="dxa"/>
            <w:vAlign w:val="bottom"/>
          </w:tcPr>
          <w:p>
            <w:pPr>
              <w:spacing w:after="0"/>
              <w:rPr>
                <w:sz w:val="16"/>
                <w:szCs w:val="16"/>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6,480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1,912</w:t>
            </w:r>
          </w:p>
        </w:tc>
        <w:tc>
          <w:tcPr>
            <w:tcW w:w="6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TESARO-milestone</w:t>
            </w:r>
          </w:p>
        </w:tc>
        <w:tc>
          <w:tcPr>
            <w:tcW w:w="1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1,705</w:t>
            </w:r>
          </w:p>
        </w:tc>
        <w:tc>
          <w:tcPr>
            <w:tcW w:w="6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Momenta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(3,100)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(598)</w:t>
            </w: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17,571</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6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During the first and fourth quarter of 2014 we received $17.0 million and $2.0 million, respectively, in upfront fees under our collaboration and exclusive license agreement with TESARO. For the years ended December 31, 2014 and 2015, we recognized the amortized portion of these upfront fees in the amounts of $7.0 million and $9.4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$4.6 million and $6.5 million during the years ended December 31, 2014 and 2015, respectively, for research and development services performed under the agreement. 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under the principles of good laboratory practice, using the AnaptysBio-generated anti-PD-1 antagonist antibody (TSR-042) and the AnaptysBio-generated anti-TIM-3 antagonist antibody (TSR-</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022), each being advanced by TESARO. The remaining unrecognized milestone payments of $0.3 million at December 31, 2015 will be recognized ratably through December 2016.</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year ended December 31, 2014, we recognized revenue of $0.6 million, which relates to $0.5 million for a success fee and $92,000 for research and development services performed under this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 party to other collaboration agreements for which in the year ended December 31, 2014 we recognized $0.6 million in collaboration revenue. We completed our obligations under these agreements in 2014 and do not anticipate any additional revenue from them beyond 2014, and we did not recognize any additional revenue from them during the year ended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Research and development expenses were $8.6 million and $17.3 million during the years ended December 31, 2014 and 2015, respectively, for an increase of $8.7 million. The increase is due primarily to a $6.6 million increase in outside services for preclinical trial work performed primarily in Australia, as well as a $1.7 million increase in salaries and related expenses resulting primarily from an increase in research and development personnel.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General and administrative expenses were $2.4 million and $3.6 million during the years ended December 31, 2014 and 2015, respectively, for an increase of $1.2 million. The increase is due primarily to a $0.7 million increase in salaries and related expenses for new senior level positions, and a $0.4 million increase in audit and tax fees for additional quarterly and annual services required in preparation for our initial public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Interest expense was $1.3 million and $0.5 million during the years ended December 31, 2014 and 2015, respectively, for a decrease of $0.8 million. The interest expense for the year ended December 31, 2014 represents stated interest of 10.0% on our convertible promissory notes principal of $2.0 million, as well as the write-off of the remaining discount on our convertible promissory notes upon conversion of the notes into shares of Series C-1 preferred stock. The interest expense for the year ended December 31, 2015 represents effective interest of 9.25% on our outstanding Term A Loans, which had an outstanding principal balance of $5.0 million as of December 31,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Liabilities for Preferred Stock Warrants</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and $1.3 million during the years ended December 31, 2014 and 2015, respectively, due to an increase in the valuation of our Series C convertible preferred stock which had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Other income (expense) was ($0.2) million during the year ended December 31, 2015 and primarily consisted of a foreign exchange loss of ($0.2) million related to our Australian subsidiary, which was established in March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recorded a provision for income taxes of $0.1 million during the year ended December 31, 2015 related to alternative minimum taxes, which we were not subject to during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45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4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rPr>
              <w:t>TESARO-amortization of upfront payments</w:t>
            </w:r>
          </w:p>
        </w:tc>
        <w:tc>
          <w:tcPr>
            <w:tcW w:w="41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6,980</w:t>
            </w: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Momenta</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Celgene Corporation</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3,746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(3,154)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1,737</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(1,139)</w:t>
            </w: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Total</w:t>
            </w:r>
          </w:p>
        </w:tc>
        <w:tc>
          <w:tcPr>
            <w:tcW w:w="4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5,483</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180" w:type="dxa"/>
            <w:vAlign w:val="bottom"/>
            <w:vMerge w:val="restart"/>
          </w:tcPr>
          <w:p>
            <w:pPr>
              <w:jc w:val="right"/>
              <w:ind w:right="28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our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2013 and 2014, we recognized revenues aggregating $1.7 million and $0.6 million, respectively from other collaborative agreements for which our obligations were completed in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Liabilities for Stock Warrants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From our inception through September 30, 2016, we have received an aggregate of $158.8 million to fund our operations which included $84.9 million from the sale of equity securities, $64.5 million from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agreements and $9.4 million from venture debt. As of September 30, 2016, we had $47.1 million in cash and cash equivalents.</w:t>
      </w:r>
    </w:p>
    <w:p>
      <w:pPr>
        <w:spacing w:after="0" w:line="22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73"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Under the Loan Agreement, we may borrow up to $15.0 million in three separate draws of $5.0 million each, of which, at September 30, 2016, $5.0 million of the Term A Loans were outstanding and $5.0 million of the Term B Loans and $5.0 million of the Term C Loans were undrawn.</w:t>
      </w:r>
    </w:p>
    <w:p>
      <w:pPr>
        <w:spacing w:after="0" w:line="124" w:lineRule="exact"/>
        <w:rPr>
          <w:sz w:val="20"/>
          <w:szCs w:val="20"/>
          <w:color w:val="auto"/>
        </w:rPr>
      </w:pPr>
    </w:p>
    <w:p>
      <w:pPr>
        <w:jc w:val="both"/>
        <w:ind w:right="360" w:firstLine="456"/>
        <w:spacing w:after="0" w:line="302" w:lineRule="auto"/>
        <w:rPr>
          <w:sz w:val="20"/>
          <w:szCs w:val="20"/>
          <w:color w:val="auto"/>
        </w:rPr>
      </w:pPr>
      <w:r>
        <w:rPr>
          <w:rFonts w:ascii="Arial" w:cs="Arial" w:eastAsia="Arial" w:hAnsi="Arial"/>
          <w:sz w:val="16"/>
          <w:szCs w:val="16"/>
          <w:color w:val="auto"/>
        </w:rPr>
        <w:t>In January 2016, we amended the Loan Agreement to combine Term B Loans and Term C Loans for a total of $10.0 million available for draw and delay the principal repayments for our Term A Loans from February 1, 2016 until February 1, 2017. In December 2016, the Loan Agreement was further amended to (i) allow for the Term B Loans and Term C Loans to be drawn on December 30, 2016, (ii) delay principal repayments of all Term Loans until February 1, 2018 and (iii) amend the interest rate for each Loan. The Term B Loans and the Term C Loans were drawn on December 30, 2016.</w:t>
      </w:r>
    </w:p>
    <w:p>
      <w:pPr>
        <w:spacing w:after="0" w:line="154"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December 30, 2016, the Term B Loans and the Term C Loans were drawn in full and as of December 30, 2016, $5.0 million of the Term B Loans and $5.0 million of the Term C Loans were outstanding. Each Loan bears interest equal to 3-month U.S. LIBOR plus 6.37%, with principal payments beginning February 1, 2018 and final maturity in January 2020. As of December 31, 2016, the Loans are due in 13 monthly interest-only payments through January 2018, followed by 24 equal monthly principal and interest payments, with final maturity in January 2020. In conjunction with the December 30, 2016 draw we issued 82,416 Series C Preferred warrants to the lenders with an exercise price of $4.55 which expire December 30, 2026.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Net cash used in operating activities during the nine months ended September 30, 2015 of $7.0 million was primarily due to cash operating expenses of $13.2 million offset by cash received from our collaboration agreement with TESARO of $5.8 million. Net cash used in operating activities during the nine months ended September 30, 2016 of $3.5 million was primarily due to cash operating expenses of $16.4 million, offset by cash received from our collaboration agreement with TESARO of $12.4 million and cash received from our collaboration agreement with Celgene of $0.5 million.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Net cash used in operating activities during the year ended December 31, 2013 of $5.8 million was primarily due to cash operating expenses for the period. Net cash provided by operating activities during the year ended December 31, 2014 of $14.6 million was primarily due to cash received pursuant to our collaboration agreement with TESARO. Net cash used in operating activities during the year ended December 31, 2015 of $9.7 million was primarily due to cash operating expenses of $18.4 million, offset by cash received from our collaboration agreement with TESARO of $8.7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Cash used in investing activities during the nine months ended September 30, 2015 and 2016 and the years ended December 31, 2013, 2014 and 2015 was primarily due to our purchases of property and equipment. As of this time, we plan to focus on our growth strategies and do not plan on using a significant amount of our cash resources in investing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provided by financing activities during the nine months ended September 30, 2015 was $40.3 million. The cash proceeds primarily relate to the issuance of Series D Convertible Preferred Stock for net proceeds of $40.7 million in July 2015 offset by $0.5 million in payments related to deferred offering costs. The cash used in financing activities during the nine months ended September 30, 2016 was $1.0 million and was primarily related to payments made for our deferred offering costs.</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 The cash provided by financing activities during the year ended December 31, 2015 was $39.4 million and was primarily related to the issuance of Series D Convertible Preferred Stock for net proceeds of $40.7 million in July 2015, partially offset by $1.4 million in payments related to deferred offering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(1)</w:t>
            </w:r>
          </w:p>
        </w:tc>
        <w:tc>
          <w:tcPr>
            <w:tcW w:w="480" w:type="dxa"/>
            <w:vAlign w:val="bottom"/>
          </w:tcPr>
          <w:p>
            <w:pPr>
              <w:spacing w:after="0"/>
              <w:rPr>
                <w:sz w:val="10"/>
                <w:szCs w:val="10"/>
                <w:color w:val="auto"/>
              </w:rPr>
            </w:pPr>
          </w:p>
        </w:tc>
        <w:tc>
          <w:tcPr>
            <w:tcW w:w="11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3"/>
              </w:rPr>
              <w:t>Less Than</w:t>
            </w:r>
          </w:p>
        </w:tc>
        <w:tc>
          <w:tcPr>
            <w:tcW w:w="50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1-3</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3-5</w:t>
            </w:r>
          </w:p>
        </w:tc>
        <w:tc>
          <w:tcPr>
            <w:tcW w:w="4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5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20"/>
              <w:spacing w:after="0" w:line="157" w:lineRule="exact"/>
              <w:rPr>
                <w:sz w:val="20"/>
                <w:szCs w:val="20"/>
                <w:color w:val="auto"/>
              </w:rPr>
            </w:pPr>
            <w:r>
              <w:rPr>
                <w:rFonts w:ascii="Arial" w:cs="Arial" w:eastAsia="Arial" w:hAnsi="Arial"/>
                <w:sz w:val="14"/>
                <w:szCs w:val="14"/>
                <w:b w:val="1"/>
                <w:bCs w:val="1"/>
                <w:color w:val="auto"/>
                <w:w w:val="90"/>
              </w:rPr>
              <w:t>1 Year</w:t>
            </w: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Years</w:t>
            </w:r>
          </w:p>
        </w:tc>
        <w:tc>
          <w:tcPr>
            <w:tcW w:w="98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rPr>
              <w:t>Notes payable, including interest and final payment fee</w:t>
            </w:r>
            <w:r>
              <w:rPr>
                <w:rFonts w:ascii="Arial" w:cs="Arial" w:eastAsia="Arial" w:hAnsi="Arial"/>
                <w:sz w:val="15"/>
                <w:szCs w:val="15"/>
                <w:color w:val="auto"/>
              </w:rPr>
              <w:t>(2)</w:t>
            </w: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$5,999</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349</w:t>
            </w:r>
          </w:p>
        </w:tc>
        <w:tc>
          <w:tcPr>
            <w:tcW w:w="50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$5,176</w:t>
            </w:r>
          </w:p>
        </w:tc>
        <w:tc>
          <w:tcPr>
            <w:tcW w:w="4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474</w:t>
            </w:r>
          </w:p>
        </w:tc>
        <w:tc>
          <w:tcPr>
            <w:tcW w:w="48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Operating lease obligation</w:t>
            </w:r>
            <w:r>
              <w:rPr>
                <w:rFonts w:ascii="Arial" w:cs="Arial" w:eastAsia="Arial" w:hAnsi="Arial"/>
                <w:sz w:val="15"/>
                <w:szCs w:val="15"/>
                <w:color w:val="auto"/>
              </w:rPr>
              <w:t>(3)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3,152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512</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1,158</w:t>
            </w:r>
          </w:p>
        </w:tc>
        <w:tc>
          <w:tcPr>
            <w:tcW w:w="120" w:type="dxa"/>
            <w:vAlign w:val="bottom"/>
          </w:tcPr>
          <w:p>
            <w:pPr>
              <w:spacing w:after="0"/>
              <w:rPr>
                <w:sz w:val="20"/>
                <w:szCs w:val="20"/>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w w:val="86"/>
              </w:rPr>
              <w:t>401</w:t>
            </w: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9,151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6,257</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1,632</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8" w:lineRule="exact"/>
        <w:rPr>
          <w:sz w:val="20"/>
          <w:szCs w:val="20"/>
          <w:color w:val="auto"/>
        </w:rPr>
      </w:pPr>
    </w:p>
    <w:p>
      <w:pPr>
        <w:jc w:val="both"/>
        <w:ind w:left="460" w:right="80" w:hanging="452"/>
        <w:spacing w:after="0" w:line="256"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8"/>
          <w:szCs w:val="18"/>
          <w:color w:val="auto"/>
        </w:rPr>
        <w:t>Future minimum annual obligations for license payments under all collaborative in-license agreements at December 31, 2015 were $0.2 million. These obligations are excluded from the table above as the annual minimum payments are payable through ten years from the first commercial sale, if any, or expiration of the last patent to expire, the dates of which are not determinable at this time.</w:t>
      </w:r>
    </w:p>
    <w:p>
      <w:pPr>
        <w:ind w:left="460" w:right="120" w:hanging="452"/>
        <w:spacing w:after="0" w:line="250"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8"/>
          <w:szCs w:val="18"/>
          <w:color w:val="auto"/>
        </w:rPr>
        <w:t>In January 2016, we amended the Loan Agreement, which deferred principal repayments on our Term A Loans from February 1, 2016 to February 1, 2017, and in December 2016, we amended the Loan Agreement to allow for the Term B Loans and Term C Loans to be drawn on December 30, 2016, delay principal repayments of all term loans until February 1, 2018 and amend the interest rate for each loan as described in “Liquidity and Capital Resources” above.</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54"/>
        </w:numPr>
        <w:rPr>
          <w:rFonts w:ascii="Arial" w:cs="Arial" w:eastAsia="Arial" w:hAnsi="Arial"/>
          <w:sz w:val="14"/>
          <w:szCs w:val="14"/>
          <w:color w:val="auto"/>
        </w:rPr>
      </w:pPr>
      <w:r>
        <w:rPr>
          <w:rFonts w:ascii="Arial" w:cs="Arial" w:eastAsia="Arial" w:hAnsi="Arial"/>
          <w:sz w:val="16"/>
          <w:szCs w:val="16"/>
          <w:color w:val="auto"/>
        </w:rPr>
        <w:t>Operating lease obligation includes future rent payments under an office lease, which was amended in October 2015, and expires on August 31, 2021.</w:t>
      </w:r>
    </w:p>
    <w:p>
      <w:pPr>
        <w:spacing w:after="0" w:line="23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bear interest at fixed rates and, therefore, have no exposure to changes in interest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$84,000 during the nine months ended September 30, 2016. We do not expect the effects of changes in exchange rates to have a material impact on our financial statements.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have completed a Phase 1 trial of 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cleared an Investigational New Drug application, or IND, with the U.S. Food and Drug Administration, or FDA, and a Clinical Trial Authorisation, or CTA, to the U.K. Medicines and Healthcare Products Regulatory Agency, or MHRA, to initiate Phase 2a trials of ANB020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ANB019 inhibits the interleukin-36, or IL-36R, receptor for the treatment of rare inflammatory diseases including generalized pustular psoriasis, or GPP, and palmo-plantar pustular psoriasis, or PPP. In November 2016, we submitted a CTN for ANB019 and, if cleared, we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Under our TESARO collaboration a Phase 1 clinical trial was initiated during the first quarter of 2016 to study an AnaptysBio-generated anti-PD-1 antagonist antibody (TSR-042) in patients under an IND cleared by the U.S. FDA. We anticipate initiation of a registration program for TSR-042 by TESARO during the first half of 2017. A second Phase 1 trial was initiated during the third quarter of 2016 to study an AnaptysBio-generated anti-TIM-3 antagonist antibody (TSR-022) in patients under a separate IND cleared by the FDA. We anticipate initiation of a combination trial of TSR-022 with an anti-PD-1 antibody by TESARO during the first half of 2017. Under our Celgene collaboration,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using good laboratory practices, or GLPs, for an AnaptysBio-generated antibody was completed during the second quarter of 2016, and a U.S. IND was cleared by the FDA and a Phase 1 trial was initiated in December 2016. Including the aforementioned programs,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expect that our collaborators will advance four AnaptysBio-generated antibodies to the clinic by the end of the first half of 2017. Through December 31, 2016, we have received $65.4 million in significant, non-dilutive funding from our collaborators.</w:t>
      </w:r>
    </w:p>
    <w:p>
      <w:pPr>
        <w:spacing w:after="0" w:line="170" w:lineRule="exact"/>
        <w:rPr>
          <w:sz w:val="20"/>
          <w:szCs w:val="20"/>
          <w:color w:val="auto"/>
        </w:rPr>
      </w:pPr>
    </w:p>
    <w:p>
      <w:pPr>
        <w:ind w:right="600" w:firstLine="456"/>
        <w:spacing w:after="0" w:line="286" w:lineRule="auto"/>
        <w:rPr>
          <w:sz w:val="20"/>
          <w:szCs w:val="20"/>
          <w:color w:val="auto"/>
        </w:rPr>
      </w:pPr>
      <w:r>
        <w:rPr>
          <w:rFonts w:ascii="Arial" w:cs="Arial" w:eastAsia="Arial" w:hAnsi="Arial"/>
          <w:sz w:val="17"/>
          <w:szCs w:val="17"/>
          <w:color w:val="auto"/>
        </w:rPr>
        <w:t>Our company is led by a strong management team with deep experience in antibody discovery and development, collaborations, operations and corporate finance. Through December 31, 2016, we have raised approximately $104.1 million from investors, including Biotechnology Value Fund, Cormorant Asset Management, Frazier Healthcare, HBM Partners, Longwood Capital Partners and Novo A/S.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104775</wp:posOffset>
            </wp:positionV>
            <wp:extent cx="4502150" cy="26670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0215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660" w:right="40" w:hanging="206"/>
        <w:spacing w:after="0" w:line="270"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ANB020 </w:t>
      </w:r>
      <w:r>
        <w:rPr>
          <w:rFonts w:ascii="Arial" w:cs="Arial" w:eastAsia="Arial" w:hAnsi="Arial"/>
          <w:sz w:val="17"/>
          <w:szCs w:val="17"/>
          <w:color w:val="auto"/>
        </w:rPr>
        <w:t>is a potentially first-in-class antibody that inhibits the activity of IL-33, a pro-inflammatory cytokine that multiple studies have indicated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under an approved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plan to disclose detailed data from this Phase 1 trial at two medical conferences during the first quarter of 2017. We have a cleared U.S. IND and a U.K. CTA to initiate Phase 2a trials of ANB020 for the treatment of severe adult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20"/>
        <w:spacing w:after="0" w:line="268" w:lineRule="auto"/>
        <w:rPr>
          <w:sz w:val="20"/>
          <w:szCs w:val="20"/>
          <w:color w:val="auto"/>
        </w:rPr>
      </w:pPr>
      <w:r>
        <w:rPr>
          <w:rFonts w:ascii="Arial" w:cs="Arial" w:eastAsia="Arial" w:hAnsi="Arial"/>
          <w:sz w:val="17"/>
          <w:szCs w:val="17"/>
          <w:color w:val="auto"/>
        </w:rPr>
        <w:t>peanut allergy and moderate-to-severe adult atopic dermatitis, respectively, each of which are anticipated to be initiated during the first quarter of 2017. We anticipate top-line data from these trials to be announced in the second half of 2017. In addition, we plan to seek regulatory clearance during the first half of 2017 to initiate a Phase 2a trial in patients with severe adult eosinophilic asthma. We anticipate top-line data from this trial to be announced during the first half of 2018. Based on our analysis of publicly available data sources and interviews with physicians and key opinion leaders in the field of atopic dermatitis, we estimate approximately 1.4 million adults are affected by atopic dermatitis, of which approximately 280,000 are diagnosed with a moderate-to-severe form of this disease, of which 98,000 are believed to be suitable for treatment with systemic biological therapies in the United States.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3.6 million have severe, persistent occurrence of this respiratory disease in the United States.</w:t>
      </w:r>
    </w:p>
    <w:p>
      <w:pPr>
        <w:spacing w:after="0" w:line="89" w:lineRule="exact"/>
        <w:rPr>
          <w:sz w:val="20"/>
          <w:szCs w:val="20"/>
          <w:color w:val="auto"/>
        </w:rPr>
      </w:pPr>
    </w:p>
    <w:p>
      <w:pPr>
        <w:ind w:left="660" w:hanging="206"/>
        <w:spacing w:after="0" w:line="269"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IL-36R, which we are initially developing as a potential first-in-class therapy for GPP and PPP</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 signaling pathway.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We have submitted an Australian CTN for ANB019 and, if cleared, we plan to initiate Phase 1 trials in Australia in the first half of 2017, and anticipate announcing top-line data from this trial during the second half of 2017. We subsequently plan to seek regulatory clearance to initiate Phase 2 studies of ANB019 in GPP and PPP patients during 2018 and plan to seek FDA Orphan Drug Designation for the treatment of GPP and PPP. The FDA may grant Orphan Drug Designation to a drug intended to treat a disease or condition that generally affects fewer than 200,000 individuals in the United States.</w:t>
      </w:r>
    </w:p>
    <w:p>
      <w:pPr>
        <w:spacing w:after="0" w:line="82" w:lineRule="exact"/>
        <w:rPr>
          <w:rFonts w:ascii="Arial" w:cs="Arial" w:eastAsia="Arial" w:hAnsi="Arial"/>
          <w:sz w:val="17"/>
          <w:szCs w:val="17"/>
          <w:color w:val="auto"/>
        </w:rPr>
      </w:pPr>
    </w:p>
    <w:p>
      <w:pPr>
        <w:ind w:left="660" w:right="40" w:hanging="206"/>
        <w:spacing w:after="0" w:line="25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Checkpoint receptor agonist </w:t>
      </w:r>
      <w:r>
        <w:rPr>
          <w:rFonts w:ascii="Arial" w:cs="Arial" w:eastAsia="Arial" w:hAnsi="Arial"/>
          <w:sz w:val="18"/>
          <w:szCs w:val="18"/>
          <w:color w:val="auto"/>
        </w:rPr>
        <w:t>antibodies are being developed by AnaptysBio to multiple different immune checkpoint receptors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SHM Platform</w:t>
      </w:r>
    </w:p>
    <w:p>
      <w:pPr>
        <w:spacing w:after="0" w:line="121"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 is designed to replicate the natural process of SHM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Competing antibody discovery technologies include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mouse immunization methodologies, microbial antibody display and human B-cell screening. We believe our SHM platform overcomes several key limitations associated with these competing technologies and has the following competitive advantages:</w:t>
      </w:r>
    </w:p>
    <w:p>
      <w:pPr>
        <w:spacing w:after="0" w:line="72" w:lineRule="exact"/>
        <w:rPr>
          <w:sz w:val="20"/>
          <w:szCs w:val="20"/>
          <w:color w:val="auto"/>
        </w:rPr>
      </w:pPr>
    </w:p>
    <w:p>
      <w:pPr>
        <w:ind w:left="660" w:right="180" w:hanging="206"/>
        <w:spacing w:after="0" w:line="26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 unprecedented</w:t>
      </w:r>
      <w:r>
        <w:rPr>
          <w:rFonts w:ascii="Arial" w:cs="Arial" w:eastAsia="Arial" w:hAnsi="Arial"/>
          <w:sz w:val="18"/>
          <w:szCs w:val="18"/>
          <w:b w:val="1"/>
          <w:bCs w:val="1"/>
          <w:color w:val="auto"/>
        </w:rPr>
        <w:t xml:space="preserve"> </w:t>
      </w:r>
      <w:r>
        <w:rPr>
          <w:rFonts w:ascii="Arial" w:cs="Arial" w:eastAsia="Arial" w:hAnsi="Arial"/>
          <w:sz w:val="18"/>
          <w:szCs w:val="18"/>
          <w:color w:val="auto"/>
        </w:rPr>
        <w:t>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660" w:right="280" w:hanging="206"/>
        <w:spacing w:after="0" w:line="313"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660" w:right="140" w:hanging="206"/>
        <w:spacing w:after="0" w:line="26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660" w:right="20" w:hanging="206"/>
        <w:spacing w:after="0" w:line="289"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Speed. </w:t>
      </w:r>
      <w:r>
        <w:rPr>
          <w:rFonts w:ascii="Arial" w:cs="Arial" w:eastAsia="Arial" w:hAnsi="Arial"/>
          <w:sz w:val="17"/>
          <w:szCs w:val="17"/>
          <w:color w:val="auto"/>
        </w:rPr>
        <w:t>Our platform technology has enabled us to generate therapeutic-grade antibodies and subsequently advance preclinical manufacturing and</w:t>
      </w:r>
      <w:r>
        <w:rPr>
          <w:rFonts w:ascii="Arial" w:cs="Arial" w:eastAsia="Arial" w:hAnsi="Arial"/>
          <w:sz w:val="17"/>
          <w:szCs w:val="17"/>
          <w:b w:val="1"/>
          <w:bCs w:val="1"/>
          <w:color w:val="auto"/>
        </w:rPr>
        <w:t xml:space="preserve"> </w:t>
      </w:r>
      <w:r>
        <w:rPr>
          <w:rFonts w:ascii="Arial" w:cs="Arial" w:eastAsia="Arial" w:hAnsi="Arial"/>
          <w:sz w:val="17"/>
          <w:szCs w:val="17"/>
          <w:color w:val="auto"/>
        </w:rPr>
        <w:t>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63" w:lineRule="exact"/>
        <w:rPr>
          <w:rFonts w:ascii="Arial" w:cs="Arial" w:eastAsia="Arial" w:hAnsi="Arial"/>
          <w:sz w:val="17"/>
          <w:szCs w:val="17"/>
          <w:color w:val="auto"/>
        </w:rPr>
      </w:pPr>
    </w:p>
    <w:p>
      <w:pPr>
        <w:ind w:left="660" w:hanging="206"/>
        <w:spacing w:after="0" w:line="28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expression, formulation and stability during the antibody generation process.</w:t>
      </w:r>
    </w:p>
    <w:p>
      <w:pPr>
        <w:spacing w:after="0" w:line="67" w:lineRule="exact"/>
        <w:rPr>
          <w:rFonts w:ascii="Arial" w:cs="Arial" w:eastAsia="Arial" w:hAnsi="Arial"/>
          <w:sz w:val="18"/>
          <w:szCs w:val="18"/>
          <w:color w:val="auto"/>
        </w:rPr>
      </w:pPr>
    </w:p>
    <w:p>
      <w:pPr>
        <w:ind w:left="660" w:hanging="206"/>
        <w:spacing w:after="0" w:line="291"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w:t>
      </w:r>
    </w:p>
    <w:p>
      <w:pPr>
        <w:spacing w:after="0" w:line="72" w:lineRule="exact"/>
        <w:rPr>
          <w:sz w:val="20"/>
          <w:szCs w:val="20"/>
          <w:color w:val="auto"/>
        </w:rPr>
      </w:pPr>
    </w:p>
    <w:p>
      <w:pPr>
        <w:ind w:left="660" w:right="60" w:hanging="206"/>
        <w:spacing w:after="0" w:line="271"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Advancing our wholly-owned lead product candidates to clinical milestones. </w:t>
      </w:r>
      <w:r>
        <w:rPr>
          <w:rFonts w:ascii="Arial" w:cs="Arial" w:eastAsia="Arial" w:hAnsi="Arial"/>
          <w:sz w:val="17"/>
          <w:szCs w:val="17"/>
          <w:color w:val="auto"/>
        </w:rPr>
        <w:t>We are working to demonstrate the safety and efficacy of our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wholly-owned pipeline programs, and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plan to disclose detailed data from this Phase 1 trial at two medical conferences during the first quarter of 2017. We have a cleared U.S. IND and U.K. CTA to initiate Phase 2a trials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right="20"/>
        <w:spacing w:after="0" w:line="284" w:lineRule="auto"/>
        <w:rPr>
          <w:sz w:val="20"/>
          <w:szCs w:val="20"/>
          <w:color w:val="auto"/>
        </w:rPr>
      </w:pPr>
      <w:r>
        <w:rPr>
          <w:rFonts w:ascii="Arial" w:cs="Arial" w:eastAsia="Arial" w:hAnsi="Arial"/>
          <w:sz w:val="16"/>
          <w:szCs w:val="16"/>
          <w:color w:val="auto"/>
        </w:rPr>
        <w:t>severe adult eosinophilic asthma. We anticipate top-line data from this trial to be announced during the first half of 2018. We have also submitted an Australian CTN and, if cleared, we plan to initiate a Phase 1 healthy volunteer trial for ANB019 in the first half of 2017, and anticipate announcing top-line data from this trial during the second half of 2017. We subsequently plan to seek regulatory clearance to initiate Phase 2 studies of ANB019 in GPP and PPP patients during 2018. For both ANB020 and ANB019, we are conducting, or plan to conduct, our initial clinical trials in Australia, and we plan to then conduct further clinical development in the United States and other countries. We have elected to pursue this strategy in order to benefit from certain financial incentives that Australia makes available for biotechnology research and development, and because we believe</w:t>
      </w:r>
    </w:p>
    <w:p>
      <w:pPr>
        <w:spacing w:after="0" w:line="5" w:lineRule="exact"/>
        <w:rPr>
          <w:sz w:val="20"/>
          <w:szCs w:val="20"/>
          <w:color w:val="auto"/>
        </w:rPr>
      </w:pPr>
    </w:p>
    <w:p>
      <w:pPr>
        <w:jc w:val="both"/>
        <w:ind w:left="680"/>
        <w:spacing w:after="0" w:line="261" w:lineRule="auto"/>
        <w:rPr>
          <w:sz w:val="20"/>
          <w:szCs w:val="20"/>
          <w:color w:val="auto"/>
        </w:rPr>
      </w:pPr>
      <w:r>
        <w:rPr>
          <w:rFonts w:ascii="Arial" w:cs="Arial" w:eastAsia="Arial" w:hAnsi="Arial"/>
          <w:sz w:val="18"/>
          <w:szCs w:val="18"/>
          <w:color w:val="auto"/>
        </w:rPr>
        <w:t>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85" w:lineRule="exact"/>
        <w:rPr>
          <w:sz w:val="20"/>
          <w:szCs w:val="20"/>
          <w:color w:val="auto"/>
        </w:rPr>
      </w:pPr>
    </w:p>
    <w:p>
      <w:pPr>
        <w:ind w:left="660" w:right="140" w:hanging="206"/>
        <w:spacing w:after="0" w:line="314"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47" w:lineRule="exact"/>
        <w:rPr>
          <w:rFonts w:ascii="Arial" w:cs="Arial" w:eastAsia="Arial" w:hAnsi="Arial"/>
          <w:sz w:val="16"/>
          <w:szCs w:val="16"/>
          <w:color w:val="auto"/>
        </w:rPr>
      </w:pPr>
    </w:p>
    <w:p>
      <w:pPr>
        <w:ind w:left="660" w:right="120" w:hanging="206"/>
        <w:spacing w:after="0" w:line="277"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660" w:right="140" w:hanging="206"/>
        <w:spacing w:after="0" w:line="281"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 key</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and clinical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chart describes key milestones we have achieved since July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184150</wp:posOffset>
            </wp:positionV>
            <wp:extent cx="5213985" cy="4013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219"/>
          </w:cols>
          <w:pgMar w:left="240" w:top="459" w:right="1440"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chart describes milestones anticipated during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184150</wp:posOffset>
            </wp:positionV>
            <wp:extent cx="5213985" cy="5008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$65.4 million in payments through December 31, 2016. Multiple antibodies, generated by us prior to or during a strategic collaboration, are currently being advanced through development by our collaborators. Our collaborations with TESARO and Celgene are described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660" w:right="660" w:hanging="206"/>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Anti-PD-1 Monospecific Antagonist Antibody (TSR-042)</w:t>
      </w:r>
      <w:r>
        <w:rPr>
          <w:rFonts w:ascii="Arial" w:cs="Arial" w:eastAsia="Arial" w:hAnsi="Arial"/>
          <w:sz w:val="17"/>
          <w:szCs w:val="17"/>
          <w:color w:val="auto"/>
        </w:rPr>
        <w:t>: Phase 1 clinical trial dosing initiated in the first quarter of 2016 subsequent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a U.S. FDA IND, finalize registration strategy and initiate a registration program in the first half of 2017;</w:t>
      </w:r>
    </w:p>
    <w:p>
      <w:pPr>
        <w:spacing w:after="0" w:line="51" w:lineRule="exact"/>
        <w:rPr>
          <w:rFonts w:ascii="Arial" w:cs="Arial" w:eastAsia="Arial" w:hAnsi="Arial"/>
          <w:sz w:val="17"/>
          <w:szCs w:val="17"/>
          <w:color w:val="auto"/>
        </w:rPr>
      </w:pPr>
    </w:p>
    <w:p>
      <w:pPr>
        <w:ind w:left="660" w:right="540" w:hanging="206"/>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Anti-TIM-3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TSR-022</w:t>
      </w:r>
      <w:r>
        <w:rPr>
          <w:rFonts w:ascii="Arial" w:cs="Arial" w:eastAsia="Arial" w:hAnsi="Arial"/>
          <w:sz w:val="18"/>
          <w:szCs w:val="18"/>
          <w:color w:val="auto"/>
        </w:rPr>
        <w:t>): Phase 1 clinical trial dosing initiated in the third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initiation of an anti-PD-1 combination trial in the first half of 2017;</w:t>
      </w:r>
    </w:p>
    <w:p>
      <w:pPr>
        <w:spacing w:after="0" w:line="75"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Anti-LAG-3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TSR-033</w:t>
      </w:r>
      <w:r>
        <w:rPr>
          <w:rFonts w:ascii="Arial" w:cs="Arial" w:eastAsia="Arial" w:hAnsi="Arial"/>
          <w:sz w:val="18"/>
          <w:szCs w:val="18"/>
          <w:color w:val="auto"/>
        </w:rPr>
        <w:t>): currently in preclinical development, expect the initiation of a Phase 1 trial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2017;</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and has completed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under GLP, cleared a U.S. IND with the FDA and initiated a Phase 1 trial for one of these two antibodies.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Anti-IL-33 Antibody</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ANB020 is a potentially first-in-class antibody that inhibits the activity of IL-33 and is being developed to treat atopic diseases, including moderate-to-severe adult atopic dermatitis, severe adult peanut allergy and severe adult eosinophilic asthma.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are currently conducting a Phase 1 trial of ANB020 in healthy volunteers in Australia under an approved CTN.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IL-33 Target Biology</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atopic dermatitis, food allergies, asthma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 helper 2, or Th2, effector cells and Innate Lymphoid Cell Type 2, or ILC2, two types of white blood cells that initiate and orchestrate atopic responses.</w:t>
      </w:r>
    </w:p>
    <w:p>
      <w:pPr>
        <w:spacing w:after="0" w:line="15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565775" cy="3430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577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2919730</wp:posOffset>
            </wp:positionV>
            <wp:extent cx="18865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8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Description</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ANB020, which is a potential first-in-class therapeutic antibody, is our wholly-owned anti-IL-33 antibody product candidate generated using our SHM technology platform.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 D , and half-maximal inhibitory concentration values, or IC 50. ANB020 demonstrated highly potent K D values of approximately 1 pM and 37 pM for human and cynomolgus monkey IL-33, respectively. ANB020 inhibits secretion of IL-5 from primary basophils purified from peripheral blood of healthy human subjects with an IC 50 of approximately 1.5 nM, which is approximately 15-fold greater than that of the soluble ST2 antagonist, as shown in Figure 3 below. Lower K D and IC 50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2214880</wp:posOffset>
            </wp:positionV>
            <wp:extent cx="18865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139700</wp:posOffset>
            </wp:positionV>
            <wp:extent cx="3087370" cy="18351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8737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assay indicates that ANB020 has approximately 15-fold greater potency than soluble ST2 in inhibiting IL-5 release.</w:t>
      </w:r>
    </w:p>
    <w:p>
      <w:pPr>
        <w:spacing w:after="0" w:line="229"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Using peripheral blood mononuclear cells, or PBMC, ANB020 inhibited human and cynomolgus monkey interferon-gamma release with an IC 50 of approximately 1.1 nM and approximately 20.4 nM, respectively as shown in Figure 4 below. We have developed a whole blood version of the PBMC assay, which we are utilizing in our Phase 1 trial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1983740</wp:posOffset>
            </wp:positionV>
            <wp:extent cx="1886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131445</wp:posOffset>
            </wp:positionV>
            <wp:extent cx="4888230" cy="16122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8823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Figure 4. ANB020 inhibits the activity of human and cynomolgus IL-33 as measured by interferongamma release from PBMCs treated overnight with 100 mg/ml IL-12, challenged with ten (human) or five (cynomolgus) nM IL-33 for 48 hours.</w:t>
      </w:r>
    </w:p>
    <w:p>
      <w:pPr>
        <w:spacing w:after="0" w:line="166"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Our preclinical development has also demonstrated that ANB020 has favorable manufacturability, pharmacokinetics and toxicology to support development. Studies have demonstrated desirable manufacturing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 proved to be fully active in cynomolgus monkey sera two weeks after dosing. We have conducted preclinical toxicology studies under GLPs for ANB020. In addition, we have conducted manufacturing under good manufacturing practice to produce ANB020 in quantities for initial clinical use.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We have completed a Phase 1 trial of ANB020 in healthy volunteers in Australia under an approved CTN. Our Phase 1 trial assessed, in single ascending doses, or SAD, and multiple ascending doses, or MAD, safety, tolerability and pharmacokinetic characteristics of ANB020. The SAD cohorts of this Phase 1 trial have been completed and, subsequent to review of the clinical data generated under the SAD, the Australian regulatory authority approved the initiation of MAD cohorts, which have also been completed. In the double-blind, placebo-controlled Phase 1 trial, 96 healthy volunteer subjects were dosed with either a single subcutaneous or intravenous dose of ANB020 ranging between 10 mg and 750 mg, or four multiple doses of ANB020 ranging between 40 mg and 300 mg over a period of four consecutive weeks. In our Phase 1 clinical trial of ANB020, the most common adverse events were upper respiratory tract infection and headache, and the most severe was a reduction of white blood cell counts. There were no adverse events that were determined to be drug-related, and no dose-limiting toxicities were observed at any dose level. We have concurrently utilized a whole blood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assay to evaluate pharmacodynamics, and we believe the results of this assay suggest that the pharmacodynamic activity of ANB020 can, at certain dose levels, extend to three months subsequent to a single administration.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a cleared U.S. IND and U.K. CTA to initiate Phase 2a trials for ANB020 in patients with severe adult peanut allergy and moderate-to-severe adult atopic dermatitis, respectively, each of which are anticipated to be initiated during the first quarter of 2017. We anticipate announcing top-line data from both of these trials during the second half of 2017. In addition, we plan to seek regulatory clearance during the first half of 2017 to initiate a Phase 2a trial in patients with severe adult eosinophilic asthma, and announce top-line data from the trial during the first half of 2018. Our planned Phase 2a trial in the U.K. in moderate-to-severe atopic dermatitis patients will assess the efficacy and safety of ANB020, as measured by clinical disease remission and mechanistic inflammatory cells and cytokines within lesions, among 12-20 moderate-to-severe adult atopic dermatitis patients treated with a single dose of ANB020. Our planned Phase 2a trial in severe adult peanut allergy in the United States will assess the efficacy and safety of ANB020, as measured by oral food challenge, among 20 severe adult peanut allergy patients treated with either a single dose of ANB020 or placebo. Our planned Phase 2a trial in severe adult eosinophilic asthma is intended to assess the efficacy and safety of ANB020 among 20 severe adult eosinophilic asthma patients treated with one or more doses of ANB020. Each of the aforementioned clinical trials are subject to regulatory review by the respective regulatory authority applicable to the jurisdiction of the trial.</w:t>
      </w:r>
    </w:p>
    <w:p>
      <w:pPr>
        <w:spacing w:after="0" w:line="18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Upon demonstrating initial efficacy in Phase 2a trials, we intend to conduct subsequent Phase 2 trials and Phase 3 registration trials for ANB020 in one or more of the aforementioned clinical indications. These later-stage trials may be conducted through collaboration with a leading pharmaceutical company with strong commercial infrastructure in respiratory and allergic therapeutic areas.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182995" cy="32759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8299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5. Anticipated ANB020 clinical development strategy.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Market Opportunity</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three indications: severe adult eosinophilic asthma, severe adult peanut allergy and moderate-to-severe adult atopic dermatitis.</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Asthma. </w:t>
      </w:r>
      <w:r>
        <w:rPr>
          <w:rFonts w:ascii="Arial" w:cs="Arial" w:eastAsia="Arial" w:hAnsi="Arial"/>
          <w:sz w:val="17"/>
          <w:szCs w:val="17"/>
          <w:color w:val="auto"/>
        </w:rPr>
        <w:t>We estimate, based on our analysis of publicly available data sources and interviews with physicians and key opinion leaders in the field, that</w:t>
      </w:r>
      <w:r>
        <w:rPr>
          <w:rFonts w:ascii="Arial" w:cs="Arial" w:eastAsia="Arial" w:hAnsi="Arial"/>
          <w:sz w:val="17"/>
          <w:szCs w:val="17"/>
          <w:i w:val="1"/>
          <w:iCs w:val="1"/>
          <w:color w:val="auto"/>
        </w:rPr>
        <w:t xml:space="preserve"> </w:t>
      </w:r>
      <w:r>
        <w:rPr>
          <w:rFonts w:ascii="Arial" w:cs="Arial" w:eastAsia="Arial" w:hAnsi="Arial"/>
          <w:sz w:val="17"/>
          <w:szCs w:val="17"/>
          <w:color w:val="auto"/>
        </w:rPr>
        <w:t>asthma affects approximately 7.7% of the adult U.S. population, or 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and Nucala, which the FDA recently approved for the add-on maintenance treatment in patients aged 12 years or older with severe eosinophilic asthma. Other emerging therapies currently in development, such as lebrikizumab, benralizumab, tralokinumab, anrukinzumab, dupilumab, AMG 317 and CNTO 7160, have yet to be approved by the FDA for treatment of asthma, while the FDA’s Pulmonary-Allergy Drugs Advisory Committee recommended that the FDA approve reslizumab in adult patients aged 18 years and older for the treatment of inadequately controlled asthma in patients with elevated eosinophils, despite an inhaled corticosteroids treatment regimen. Xolair is a difficult drug to prescribe due to complex dosing algorithms, frequent administration and risk of anaphylaxis, and we expect the indications for Nucala, reslizumab and lebrikizumab will be limited to asthma patients defined by biomarkers. We believe that ANB020 may have therapeutic benefit across a broad range of ICS-refractory severe adult eosinophilic asthma patients, and plan to utilize biomarkers during development to differentiate ANB020 relative to competitors.</w:t>
      </w:r>
    </w:p>
    <w:p>
      <w:pPr>
        <w:spacing w:after="0" w:line="178"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i w:val="1"/>
          <w:iCs w:val="1"/>
          <w:color w:val="auto"/>
        </w:rPr>
        <w:t xml:space="preserve">Peanut Allergy. </w:t>
      </w:r>
      <w:r>
        <w:rPr>
          <w:rFonts w:ascii="Arial" w:cs="Arial" w:eastAsia="Arial" w:hAnsi="Arial"/>
          <w:sz w:val="17"/>
          <w:szCs w:val="17"/>
          <w:color w:val="auto"/>
        </w:rPr>
        <w:t>Peanuts are the most common cause of food-induced allergy in the United States. We estimate, based on our analysis of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7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increasing quantities of peanut antigens over time. If patients are able to overcome the toxicities of this allergen-based approach, therapeutic benefit, on an allergen-specific basis, may be observed after 12 to 24 months of oral or skin patch based delivery of peanut allergens. The long-term safety and efficacy of immunotherapy is still uncertain, and these desensitization treatments have not yet been approved by the FDA.</w:t>
      </w:r>
    </w:p>
    <w:p>
      <w:pPr>
        <w:spacing w:after="0" w:line="15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Atopic Dermatitis. </w:t>
      </w:r>
      <w:r>
        <w:rPr>
          <w:rFonts w:ascii="Arial" w:cs="Arial" w:eastAsia="Arial" w:hAnsi="Arial"/>
          <w:sz w:val="16"/>
          <w:szCs w:val="16"/>
          <w:color w:val="auto"/>
        </w:rPr>
        <w:t>Atopic dermatitis is a chronic inflammatory skin disease that affects approximately 1.4 million adults in the United States. Human</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have demonstrated that IL-33 is highly expressed in atopic dermatitis lesions and leads to the recruitment of downstream cytokines (IL-4, IL-5 and IL-</w:t>
      </w:r>
    </w:p>
    <w:p>
      <w:pPr>
        <w:ind w:right="840" w:firstLine="8"/>
        <w:spacing w:after="0" w:line="290" w:lineRule="auto"/>
        <w:tabs>
          <w:tab w:leader="none" w:pos="2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and eosinophils to the disease site in patients. By inhibiting IL-33 function in patients, we believe ANB020 will suppress the production of the aforementioned downstream cytokines and lead to therapeutic benefit in moderate to severe adult atopic dermatitis.</w:t>
      </w:r>
    </w:p>
    <w:p>
      <w:pPr>
        <w:spacing w:after="0" w:line="16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Current therapies for atopic dermatitis are generally focused on the topical use of non-biologic small molecules. Dupilumab is currently in development for the treatment of atopic dermatitis, and has shown some benefit in disease remission, but requires the administration of a significantly large antibody dose (300 mg) every week or every other week, which we believe may not be convenient for atopic dermatitis patients.</w:t>
      </w:r>
    </w:p>
    <w:p>
      <w:pPr>
        <w:spacing w:after="0" w:line="166"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Based upon public data analyses and discussions with physicians and key opinion leaders in the field, we believe approximately 280,000 atopic dermatitis patients in the United States are diagnosed with a moderate-to-severe form of this disease that significantly impairs their daily professional and social lifestyle. Existing therapies include topical steroids and related therapies, however such approaches have not demonstrated significant benefit for moderate-to-severe patients. We estimate that 98,000 atopic dermatitis patients would be eligible for treatment with a systemic biologic therapy such as ANB020.</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ANB019 is an antibody that inhibits the function of IL-36R, which we are initially developing as a potential first-in-class therapy for GPP and PPP patients. GPP is a life-threatening, rare systemic inflammatory disorder reported to affect approximately 3,000 patients in the United States alone, with no currently approved therapies.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believe ANB019 is the most advanced antibody targeting the IL-36R in development.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submitted an Australian CTN for ANB019 in November 2016 and, if cleared, we plan to initiate a Phase 1 trial in Australia in the first half of 2017. We anticipate announcing top-line data from this trial in the second half of 2017.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IL-36R Target Biology</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5565775" cy="31730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577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Figure 6. IL-36 Receptor Signaling. Signaling is maintained in balance by the receptor antagonist. Mutations render the receptor antagonist dysfunctional and/or increased cytokine levels lead to uncontrolled signaling causing GPP. PPP is caused by excess cytokine signaling that overcomes a normal receptor antagonist.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Recent human studies have demonstrated that mutations in the IL-36RA lead to the occurrence of GPP by rendering it non-functional and unable to dampen IL-36R signaling</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conducted by AnaptysBio have also demonstrated that a significant number of GPP patients do not have mutations in the IL-36RA but are likely to have excessive levels of IL-36 cytokines leading to the same disease as patients with mutations. These findings support our hypothesis that IL-36 signaling plays a significant role in GPP.</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 and PPP.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Description</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ANB019 was generated using our SHM technology platform and has demonstrated high functional potency in blocking human and cynomolgus monkey IL-36 signaling in preclinical studies.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to determine K D, and IC 50 values. ANB019 has demonstrated potent K D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human systems, which is measured as the IC 50 of inhibition of interleukin-8, or IL-8, release from human keratinocytes. ANB019 functional activity has been demonstrated through inhibition of IL-8 secretion from human primary keratinocytes when stimulated by IL-36 gamma of approximately 0.15 nM and 1.2 nM, respectively. Lower K D and IC 50 values indicate higher potency and functional activity, respectively. Similar IC 50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2199640</wp:posOffset>
            </wp:positionV>
            <wp:extent cx="18865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141605</wp:posOffset>
            </wp:positionV>
            <wp:extent cx="3430270" cy="1818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3027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Figure 7. ANB019 demonstrated functional inhibition in our preclinical studies and inhibited functional activity of IL-36 cytokines with at least 100-fold greater potency than IL-36RA.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In November 2016, we submitted a CTN for ANB019 and, if cleared, we plan to commence a Phase 1 clinical trial in the first half of 2017. We anticipate announcing top-line data from this trial during the second half of 2017. This Phase 1 clinical trial will test single and multiple ascending doses of ANB019 in healthy volunteers, while also utilizing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assays to determine ANB019’s pharmacodynamic activity range. Following completion of this initial Phase 1 trial, we plan to submit a U.S. IND and/or a U.K. CTA to support further clinical testing of ANB019 in patients.</w:t>
      </w:r>
    </w:p>
    <w:p>
      <w:pPr>
        <w:spacing w:after="0" w:line="17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Our initial patient testing of ANB019 will focus primarily on GPP and PPP patients. We currently plan to conduct GPP efficacy testing of ANB019 in the United States and/or the United Kingdom using a Phase 2 clinical trial expected to be initiated in 2018 that enrolls GPP patients irrespective of mutation status. We believe a small trial, potentially with fewer than 100 patients, may be sufficient to demonstrate substantial evidence of efficacy and safety of ANB019 in GPP. We intend to obtain input from FDA on clinical trial design before conducting a pivotal clinical trial in patients with GPP.</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intend to develop ANB019 for PPP. We anticipate initiating a Phase 2 trial for PPP within the United States and/or United Kingdom during 2018,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080125" cy="3104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8012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8. Anticipated ANB019 clinical development strategy.</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addition,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GCP where the FDA is able to validate data through onsite inspection, if the FDA deems such inspection necessary. We expect that our Phase 1 clinical trials for ANB019 will be well-designed and conducted in accordance with GCP and therefore believe that the data from the trials will be accepted by the FDA. However, the FDA and other foreign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equivalents are not required to accept Phase 1 data generated in Australia. If they do not accept any such data, we would likely be required to conduct additional Phase 1 clinical trials.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Market Opportunity</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Generalized Pustular Psoriasis. </w:t>
      </w:r>
      <w:r>
        <w:rPr>
          <w:rFonts w:ascii="Arial" w:cs="Arial" w:eastAsia="Arial" w:hAnsi="Arial"/>
          <w:sz w:val="16"/>
          <w:szCs w:val="16"/>
          <w:color w:val="auto"/>
        </w:rPr>
        <w:t>GPP is a chronic, life-threatening, rare disease with no currently approved therapies. GPP is a systemic inflammatory</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translational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 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Refractory Psoriasis Vulgaris. </w:t>
      </w:r>
      <w:r>
        <w:rPr>
          <w:rFonts w:ascii="Arial" w:cs="Arial" w:eastAsia="Arial" w:hAnsi="Arial"/>
          <w:sz w:val="17"/>
          <w:szCs w:val="17"/>
          <w:color w:val="auto"/>
        </w:rPr>
        <w:t>Refractory psoriasis vulgaris is another potential market opportunity for the development of ANB019. While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Receptor Agonist Programs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strategy includes the discovery and development of therapeutic antibodies targeting emerging opportunities in inflammation. Checkpoint receptor agonist antibodies are being developed by AnaptysBio,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multiple different immune checkpoint receptors, for the treatment of certain autoimmune diseases where we believe checkpoint receptor function is insufficiently activated. Known human immune checkpoint receptors include CTLA-4, PD-1, LAG-3, BTLA and TIGIT. Certain checkpoint receptor agonist antibodies developed by AnaptysBio have demonstrated efficacy in a rodent model of graft-versus-host disease. We anticipate that, subsequent to regulatory clearance, one of our checkpoint receptor antibodies will initiate human testing during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Overview</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1520190</wp:posOffset>
            </wp:positionV>
            <wp:extent cx="18865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148590</wp:posOffset>
            </wp:positionV>
            <wp:extent cx="1372235" cy="11322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223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3" w:lineRule="exact"/>
        <w:rPr>
          <w:sz w:val="20"/>
          <w:szCs w:val="20"/>
          <w:color w:val="auto"/>
        </w:rPr>
      </w:pPr>
    </w:p>
    <w:p>
      <w:pPr>
        <w:ind w:left="660" w:hanging="206"/>
        <w:spacing w:after="0" w:line="26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81" w:lineRule="exact"/>
        <w:rPr>
          <w:rFonts w:ascii="Arial" w:cs="Arial" w:eastAsia="Arial" w:hAnsi="Arial"/>
          <w:sz w:val="18"/>
          <w:szCs w:val="18"/>
          <w:color w:val="auto"/>
        </w:rPr>
      </w:pPr>
    </w:p>
    <w:p>
      <w:pPr>
        <w:ind w:left="660" w:right="40" w:hanging="206"/>
        <w:spacing w:after="0" w:line="26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 Full</w:t>
      </w:r>
      <w:r>
        <w:rPr>
          <w:rFonts w:ascii="Arial" w:cs="Arial" w:eastAsia="Arial" w:hAnsi="Arial"/>
          <w:sz w:val="18"/>
          <w:szCs w:val="18"/>
          <w:b w:val="1"/>
          <w:bCs w:val="1"/>
          <w:color w:val="auto"/>
        </w:rPr>
        <w:t xml:space="preserve"> </w:t>
      </w:r>
      <w:r>
        <w:rPr>
          <w:rFonts w:ascii="Arial" w:cs="Arial" w:eastAsia="Arial" w:hAnsi="Arial"/>
          <w:sz w:val="18"/>
          <w:szCs w:val="18"/>
          <w:color w:val="auto"/>
        </w:rPr>
        <w:t>length antibodies tend to exhibit serum half-lives of seven to 24 days in humans, leading to bi-weekly or monthly dosing as typical practice for therapeutic antibodies.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right="240" w:hanging="206"/>
        <w:spacing w:after="0" w:line="347"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Competing Antibody Technologies</w:t>
      </w:r>
    </w:p>
    <w:p>
      <w:pPr>
        <w:spacing w:after="0" w:line="12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73" w:lineRule="exact"/>
        <w:rPr>
          <w:sz w:val="20"/>
          <w:szCs w:val="20"/>
          <w:color w:val="auto"/>
        </w:rPr>
      </w:pPr>
    </w:p>
    <w:p>
      <w:pPr>
        <w:ind w:left="660" w:right="280" w:hanging="206"/>
        <w:spacing w:after="0" w:line="289"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63" w:lineRule="exact"/>
        <w:rPr>
          <w:rFonts w:ascii="Arial" w:cs="Arial" w:eastAsia="Arial" w:hAnsi="Arial"/>
          <w:sz w:val="17"/>
          <w:szCs w:val="17"/>
          <w:color w:val="auto"/>
        </w:rPr>
      </w:pPr>
    </w:p>
    <w:p>
      <w:pPr>
        <w:ind w:left="660" w:right="160" w:hanging="206"/>
        <w:spacing w:after="0" w:line="26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 activity.</w:t>
      </w:r>
      <w:r>
        <w:rPr>
          <w:rFonts w:ascii="Arial" w:cs="Arial" w:eastAsia="Arial" w:hAnsi="Arial"/>
          <w:sz w:val="18"/>
          <w:szCs w:val="18"/>
          <w:b w:val="1"/>
          <w:bCs w:val="1"/>
          <w:color w:val="auto"/>
        </w:rPr>
        <w:t xml:space="preserve"> </w:t>
      </w:r>
      <w:r>
        <w:rPr>
          <w:rFonts w:ascii="Arial" w:cs="Arial" w:eastAsia="Arial" w:hAnsi="Arial"/>
          <w:sz w:val="18"/>
          <w:szCs w:val="18"/>
          <w:color w:val="auto"/>
        </w:rPr>
        <w:t>Even if antibodies are available against a certain target, they may not bind the correct region or epitope of the protein to achieve the intended functional therapeutic effects;</w:t>
      </w:r>
    </w:p>
    <w:p>
      <w:pPr>
        <w:spacing w:after="0" w:line="81" w:lineRule="exact"/>
        <w:rPr>
          <w:rFonts w:ascii="Arial" w:cs="Arial" w:eastAsia="Arial" w:hAnsi="Arial"/>
          <w:sz w:val="18"/>
          <w:szCs w:val="18"/>
          <w:color w:val="auto"/>
        </w:rPr>
      </w:pPr>
    </w:p>
    <w:p>
      <w:pPr>
        <w:ind w:left="660" w:right="160" w:hanging="206"/>
        <w:spacing w:after="0" w:line="26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81" w:lineRule="exact"/>
        <w:rPr>
          <w:rFonts w:ascii="Arial" w:cs="Arial" w:eastAsia="Arial" w:hAnsi="Arial"/>
          <w:sz w:val="18"/>
          <w:szCs w:val="18"/>
          <w:color w:val="auto"/>
        </w:rPr>
      </w:pPr>
    </w:p>
    <w:p>
      <w:pPr>
        <w:ind w:left="660" w:right="20" w:hanging="206"/>
        <w:spacing w:after="0" w:line="26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 unpredictable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stability and formulation when manufacturing is initiated using mammalian cells, thus leading to poor production yields and product stability.</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w:t>
      </w:r>
      <w:r>
        <w:rPr>
          <w:rFonts w:ascii="Arial" w:cs="Arial" w:eastAsia="Arial" w:hAnsi="Arial"/>
          <w:sz w:val="18"/>
          <w:szCs w:val="18"/>
          <w:i w:val="1"/>
          <w:iCs w:val="1"/>
          <w:color w:val="auto"/>
        </w:rPr>
        <w:t xml:space="preserve"> </w:t>
      </w:r>
      <w:r>
        <w:rPr>
          <w:rFonts w:ascii="Arial" w:cs="Arial" w:eastAsia="Arial" w:hAnsi="Arial"/>
          <w:sz w:val="18"/>
          <w:szCs w:val="18"/>
          <w:color w:val="auto"/>
        </w:rPr>
        <w:t>human 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Solution</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1997075</wp:posOffset>
            </wp:positionV>
            <wp:extent cx="18865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135890</wp:posOffset>
            </wp:positionV>
            <wp:extent cx="3104515" cy="16205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0451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12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By coupling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mammalian cells to replicate the non-random mutagenesis SHM pattern observed within B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using our platform technology closely mimics the pattern observed among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generated antibodies, thereby increasing confidence that antibodies generated by our platform will be tolerated when used as therapeutic drugs in humans.</w:t>
      </w:r>
    </w:p>
    <w:p>
      <w:pPr>
        <w:spacing w:after="0" w:line="17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2101215</wp:posOffset>
            </wp:positionV>
            <wp:extent cx="18865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146050</wp:posOffset>
            </wp:positionV>
            <wp:extent cx="3336290" cy="17151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362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Figure 11. SHM Antibody Generation Process. Our platform initiates antibody selection from starting libraries of human and non-human diversity, which is further optimized through iterative rounds of SHM and selection.</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660" w:hanging="206"/>
        <w:spacing w:after="0" w:line="26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81" w:lineRule="exact"/>
        <w:rPr>
          <w:rFonts w:ascii="Arial" w:cs="Arial" w:eastAsia="Arial" w:hAnsi="Arial"/>
          <w:sz w:val="18"/>
          <w:szCs w:val="18"/>
          <w:color w:val="auto"/>
        </w:rPr>
      </w:pPr>
    </w:p>
    <w:p>
      <w:pPr>
        <w:ind w:left="660" w:right="280" w:hanging="206"/>
        <w:spacing w:after="0" w:line="313"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660" w:right="140" w:hanging="206"/>
        <w:spacing w:after="0" w:line="26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incorporate functional assays throughout the process and focus on producing product candidates that are optimized for the desired therapeutic activity.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hanging="206"/>
        <w:spacing w:after="0" w:line="26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jc w:val="both"/>
        <w:ind w:left="660" w:right="20" w:hanging="206"/>
        <w:spacing w:after="0" w:line="347"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Manufacturability. </w:t>
      </w:r>
      <w:r>
        <w:rPr>
          <w:rFonts w:ascii="Arial" w:cs="Arial" w:eastAsia="Arial" w:hAnsi="Arial"/>
          <w:sz w:val="16"/>
          <w:szCs w:val="16"/>
          <w:color w:val="auto"/>
        </w:rPr>
        <w:t>By utilizing our mammalian cell display system, we believe our approach increases the probability of success in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commercialization by mitigating the risks associated with antibody expression, formulation and stability during the antibody generation process.</w:t>
      </w:r>
    </w:p>
    <w:p>
      <w:pPr>
        <w:spacing w:after="0" w:line="21" w:lineRule="exact"/>
        <w:rPr>
          <w:rFonts w:ascii="Arial" w:cs="Arial" w:eastAsia="Arial" w:hAnsi="Arial"/>
          <w:sz w:val="16"/>
          <w:szCs w:val="16"/>
          <w:color w:val="auto"/>
        </w:rPr>
      </w:pPr>
    </w:p>
    <w:p>
      <w:pPr>
        <w:ind w:left="660" w:right="20" w:hanging="206"/>
        <w:spacing w:after="0" w:line="291"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(TSR-022), LAG-3 (TSR-033)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7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 2014. TESARO is also required to reimburse us on a quarterly 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TESARO will also be required to pay us tiered single-digit royalties, on a product-by-product basis, on worldwide annual net sales, and additional commercial milestone payments if specified levels of annual net sales of a product are attained.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anti-inflammatory antibodies to the clinic.</w:t>
      </w:r>
    </w:p>
    <w:p>
      <w:pPr>
        <w:spacing w:after="0" w:line="17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MRC</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19 patents and three pending patent applications worldwide.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Millipore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45.0%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 During the nine months ended September 30, 2016, we received and recognized as a reduction in research and development expense $3.0 million in refundable tax credits related to fiscal 2015 eligible expenditures. In September 2016, we determined that we would meet the criteria for eligibility for fiscal 2016, therefore we recognized a reduction to research and development expense of $3.2 million equal to 45% of our eligible expenditures for the nine-month period ended September 30, 2016, as collectability was considered reasonably assured. We recorded $3.3 million as a receivable as of September 30, 2016.</w:t>
      </w:r>
    </w:p>
    <w:p>
      <w:pPr>
        <w:spacing w:after="0" w:line="18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intellectual property is critical to our business and we strive to protect it, including by obtaining and maintaining patent protection in the United States and internationally for our technology platform,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candidates, novel biological discoveries, epitopes, new therapeutic approaches and potential indications, and other inventions that are important to our business. In total, our patent portfolio, including patents to our technology platform licensed from MRC and patents licensed from Kyoto University, consisted of 38 issued patents and 43 pending patent applications as of November 30, 2016.</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As of December 31, 2016, we owned 15 patent applications in various countries directed to the antibody sequence of ANB020 and its variants, epitopes, methods of use and related matters. We intend to prosecute the pending applications and pursue patent issuance and protection in key commercial markets where significant product sales may occur. Patents that may issue from these pending applications would provide protection until January 2037.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31, 2016, we owned one international patent application, filed under the PCT, which is directed to the antibody sequence of ANB019 and its variants, epitopes, methods of use and related matters. We intend to prosecute the pending international application, and pursue patent issuance and protection in key commercial markets where significant product sales may occur. Patents that may issue from the expected international application would provide protection until April 2036.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wholly-owned portfolio, currently under prosecution in various jurisdictions.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wholly-owned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16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5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receptor alpha chain such as dupilumab (Regeneron) and AMG 317 (Amgen) each in clinical testing; and an ST2-binding antibody which Roche has in-licensed from Amgen (previously known as AMG 282) and plans to advance into Phase 2 clinical trials.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which binds IL-1 beta and BI-655130 (Boehringer Ingelheim).</w:t>
      </w:r>
    </w:p>
    <w:p>
      <w:pPr>
        <w:spacing w:after="0" w:line="188"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atopic dermatitis, our competitors include dupilumab (Regeneron, Sanofi), which has recently been filed for approval by the FDA, crisaborole (Anacor, Pfizer) which has recently been filed for approval by the FDA and VTP-38543 (Vitae) which is currently in a Phase 2 trial.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w:t>
      </w:r>
    </w:p>
    <w:p>
      <w:pPr>
        <w:spacing w:after="0" w:line="5" w:lineRule="exact"/>
        <w:rPr>
          <w:sz w:val="20"/>
          <w:szCs w:val="20"/>
          <w:color w:val="auto"/>
        </w:rPr>
      </w:pPr>
    </w:p>
    <w:p>
      <w:pPr>
        <w:jc w:val="both"/>
        <w:ind w:right="60" w:firstLine="8"/>
        <w:spacing w:after="0" w:line="254" w:lineRule="auto"/>
        <w:tabs>
          <w:tab w:leader="none" w:pos="2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9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review process for both standard and priority review may be extended by the FDA for three additional months to consider certain late-submitted information, or information intended to clarify information already provided in the submission.</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clinical studies to support an IND</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52" w:lineRule="exact"/>
        <w:rPr>
          <w:sz w:val="20"/>
          <w:szCs w:val="20"/>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40" w:hanging="206"/>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Pediatric Research Equity Act, or PREA, NDAs or BLAs or supplements to NDAs or BLAs must contain data to assess the safety and effectiveness of the biological product for the claimed indications in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controls for biologics</w:t>
      </w:r>
    </w:p>
    <w:p>
      <w:pPr>
        <w:spacing w:after="0" w:line="12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12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companion diagnostics</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If use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will be evaluated on a case-by-case basis based on a cumulative review of all of its facts and circumstances. Our practices may not in all cases meet all of the criteria for protection under a statutory exception or regulatory safe harbor.</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privacy and security of health information in specified circumstances, many of which differ from each other in significant ways and may not have the same effect, thus complicating compliance efforts.</w:t>
      </w:r>
    </w:p>
    <w:p>
      <w:pPr>
        <w:spacing w:after="0" w:line="17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7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76" w:lineRule="exact"/>
        <w:rPr>
          <w:sz w:val="20"/>
          <w:szCs w:val="20"/>
          <w:color w:val="auto"/>
        </w:rPr>
      </w:pPr>
    </w:p>
    <w:p>
      <w:pPr>
        <w:ind w:left="660" w:right="20" w:hanging="206"/>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51" w:lineRule="exact"/>
        <w:rPr>
          <w:rFonts w:ascii="Arial" w:cs="Arial" w:eastAsia="Arial" w:hAnsi="Arial"/>
          <w:sz w:val="17"/>
          <w:szCs w:val="17"/>
          <w:color w:val="auto"/>
        </w:rPr>
      </w:pPr>
    </w:p>
    <w:p>
      <w:pPr>
        <w:ind w:left="660" w:right="20" w:hanging="206"/>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6"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660" w:right="680" w:hanging="206"/>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660" w:right="180" w:hanging="206"/>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requirement to annually report certain information regarding drug samples that manufacturers and distributors provide to physicians.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 rest of world government regulation</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and other countries in the EU, for example, a clinical trial authorisation must be submitted to each country’s national health authority and an independent ethics committee, much like the FDA and IRB, respectively. Once the clinical trial authorisation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6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CTN process broadly involves:</w:t>
      </w:r>
    </w:p>
    <w:p>
      <w:pPr>
        <w:spacing w:after="0" w:line="131" w:lineRule="exact"/>
        <w:rPr>
          <w:sz w:val="20"/>
          <w:szCs w:val="20"/>
          <w:color w:val="auto"/>
        </w:rPr>
      </w:pPr>
    </w:p>
    <w:p>
      <w:pPr>
        <w:ind w:left="660" w:hanging="20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30"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40" w:hanging="206"/>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CTX process:</w:t>
      </w:r>
    </w:p>
    <w:p>
      <w:pPr>
        <w:spacing w:after="0" w:line="131" w:lineRule="exact"/>
        <w:rPr>
          <w:sz w:val="20"/>
          <w:szCs w:val="20"/>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it is required that:</w:t>
      </w:r>
    </w:p>
    <w:p>
      <w:pPr>
        <w:spacing w:after="0" w:line="131" w:lineRule="exact"/>
        <w:rPr>
          <w:sz w:val="20"/>
          <w:szCs w:val="20"/>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evidence is compiled which demonstrates that the manufacture of the therapeutic drug product complies with the principles of cGMP;</w:t>
      </w:r>
    </w:p>
    <w:p>
      <w:pPr>
        <w:spacing w:after="0" w:line="130"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2016, we had 49 full-time employees. Of these employees, 41 were primarily engaged in research and development activities and 14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00"/>
          </w:cols>
          <w:pgMar w:left="240" w:top="459" w:right="3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January 13,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4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300" w:type="dxa"/>
            <w:vAlign w:val="bottom"/>
          </w:tcPr>
          <w:p>
            <w:pPr>
              <w:spacing w:after="0"/>
              <w:rPr>
                <w:sz w:val="16"/>
                <w:szCs w:val="16"/>
                <w:color w:val="auto"/>
              </w:rPr>
            </w:pPr>
          </w:p>
        </w:tc>
        <w:tc>
          <w:tcPr>
            <w:tcW w:w="600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48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Executive Officers: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0" w:type="dxa"/>
            <w:vAlign w:val="bottom"/>
          </w:tcPr>
          <w:p>
            <w:pPr>
              <w:spacing w:after="0"/>
              <w:rPr>
                <w:sz w:val="15"/>
                <w:szCs w:val="15"/>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Hamza Suria, M.B.A.</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Marco Londei, M.D.</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Chief Medical Officer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Matthew Moyle, Ph.D.</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Chief Scientific Officer</w:t>
            </w:r>
          </w:p>
        </w:tc>
      </w:tr>
      <w:tr>
        <w:trPr>
          <w:trHeight w:val="212"/>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Dominic G. Piscitelli, M.B.A., C.P.A.</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w:t>
            </w:r>
          </w:p>
        </w:tc>
      </w:tr>
      <w:tr>
        <w:trPr>
          <w:trHeight w:val="22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Tiba Aynechi, Ph.D.*</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Carol G. Gallagher, Pharm.D.(1)(2)(3)</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Nicholas B. Lydon, Ph.D., FRS(2)</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Hollings Renton, M.B.A.(3)(4)</w:t>
            </w: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John P. Schmid, M.B.A.(1)</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James A. Schoeneck(1)(2)</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James N. Topper, M.D., Ph.D.(3)(5)</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Dr. Aynechi has resigned from our board of directors effective immediately prior to the effectiveness of the registration statement of which this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prospectus forms a part.</w:t>
      </w:r>
    </w:p>
    <w:p>
      <w:pPr>
        <w:spacing w:after="0" w:line="9"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i w:val="1"/>
          <w:iCs w:val="1"/>
          <w:color w:val="auto"/>
        </w:rPr>
        <w:t xml:space="preserve">Hamza Suria, M.B.A., </w:t>
      </w:r>
      <w:r>
        <w:rPr>
          <w:rFonts w:ascii="Arial" w:cs="Arial" w:eastAsia="Arial" w:hAnsi="Arial"/>
          <w:sz w:val="17"/>
          <w:szCs w:val="17"/>
          <w:color w:val="auto"/>
        </w:rPr>
        <w:t>has served as our President and Chief Executive Officer and a member of our board of directors since July 2011. From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2009 to 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Marco Londei, M.D. </w:t>
      </w:r>
      <w:r>
        <w:rPr>
          <w:rFonts w:ascii="Arial" w:cs="Arial" w:eastAsia="Arial" w:hAnsi="Arial"/>
          <w:sz w:val="17"/>
          <w:szCs w:val="17"/>
          <w:color w:val="auto"/>
        </w:rPr>
        <w:t>has served as our Chief Medical Officer since October 2016. Prior to that, Dr. Londei served as our Chief Development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October 2014. Before joining our company, Dr. Londei worked as Therapeutic 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University College London, Medical School UK, from July 2003 through September 2007. Dr. Londei received his M.D. from Università di Bologna.</w:t>
      </w:r>
    </w:p>
    <w:p>
      <w:pPr>
        <w:spacing w:after="0" w:line="23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Matthew Moyle, Ph.D. </w:t>
      </w:r>
      <w:r>
        <w:rPr>
          <w:rFonts w:ascii="Arial" w:cs="Arial" w:eastAsia="Arial" w:hAnsi="Arial"/>
          <w:sz w:val="16"/>
          <w:szCs w:val="16"/>
          <w:color w:val="auto"/>
        </w:rPr>
        <w:t>commenced serving as our Chief Scientific Officer in May 2016. Dr. Moyle has more than 25 years of industry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drug discovery and development of biologics. Before joining us, from October 2010 to August 2015, Dr. Moyle served as Vice President of Biotherapeutics at Boehringer Ingelheim GmbH, a German pharmaceutical company, where he chaired Boehringer Ingelheim’s International Biologics Council. Prior to that, Dr. Moyle held positions as Senior Vice President of Research and Development and Chief Scientific Officer at Theraclone Sciences, Inc., a private biotechnology company, from May 2007 to October 2010, and as Vice President of Research and Corporate Officer at Tanox, Inc., a public biotechnology company that was acquired in 2006 by Genentech, Inc., from January 2001 to August 2005, where his research organizations designed and developed several monoclonal antibody therapeutic candidates, including three that are currently in mid- to late-stage clinical trials and clinical development at leading pharmaceutical companies. Before Tanox, Dr. Moyle served in various positions at Amgen Inc. from 1995 to 2001, including heading a research department with responsibility for building and running the company’s high-throughput expression-profiling facility. Before that, Dr. Moyle was a Group Leader at Corvas, International, Inc., from 1991 to 1995, where he co-discovered two novel natural product biologics that subsequently advanced to pivotal clinical trials. Dr. Moyle was a postdoctoral scientist at Genentech Inc. from 1989 to 1991, where he was part of the company’s first program in small molecule therapeutics. Dr. Moyle earned a Ph.D. and B.Sc. in Biochemistry at the University of Toronto.</w:t>
      </w:r>
    </w:p>
    <w:p>
      <w:pPr>
        <w:spacing w:after="0" w:line="16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Dominic G. Piscitelli, M.B.A., C.P.A., </w:t>
      </w:r>
      <w:r>
        <w:rPr>
          <w:rFonts w:ascii="Arial" w:cs="Arial" w:eastAsia="Arial" w:hAnsi="Arial"/>
          <w:sz w:val="17"/>
          <w:szCs w:val="17"/>
          <w:color w:val="auto"/>
        </w:rPr>
        <w:t>commenced serving as our Chief Financial Officer in January 2017. Mr. Piscitelli has more than 15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the pharmaceutical and biopharmaceutical industries, and more than 20 years of experience in finance. Before joining us, from September 2012 to January 2017, Mr. Piscitelli served as the Vice President of Finance at Medivation, Inc., a biopharmaceutical company. Prior to that, from January 2011 to September 2012, Mr. Piscitelli served as the Senior Director of Global Finance at Astellas Pharma US, Inc., a pharmaceutical company. From September 2001 to January 2011, Mr. Piscitelli held positions at OSI Pharmaceuticals, Inc., a biotechnology company that was acquired by Astellas Pharma US, Inc. in June 2010, serving as the Vice President of Treasury and Management Finance from 2009 to 2011, and previously as Senior Director, Oncology Finance &amp; Treasury, Director, Commercial Finance and Associate Director/Assistant Controller, SEC Reporting. Mr. Piscitelli earned both his B.A. in Business Administration and his M.B.A. from Hofstra University.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Tiba Aynechi, Ph.D. </w:t>
      </w:r>
      <w:r>
        <w:rPr>
          <w:rFonts w:ascii="Arial" w:cs="Arial" w:eastAsia="Arial" w:hAnsi="Arial"/>
          <w:sz w:val="18"/>
          <w:szCs w:val="18"/>
          <w:color w:val="auto"/>
        </w:rPr>
        <w:t>has served as a member of our board of directors since April 2015. Dr. Aynechi is employed as a Partner at Novo Ventures (US)</w:t>
      </w:r>
      <w:r>
        <w:rPr>
          <w:rFonts w:ascii="Arial" w:cs="Arial" w:eastAsia="Arial" w:hAnsi="Arial"/>
          <w:sz w:val="18"/>
          <w:szCs w:val="18"/>
          <w:i w:val="1"/>
          <w:iCs w:val="1"/>
          <w:color w:val="auto"/>
        </w:rPr>
        <w:t xml:space="preserve"> </w:t>
      </w:r>
      <w:r>
        <w:rPr>
          <w:rFonts w:ascii="Arial" w:cs="Arial" w:eastAsia="Arial" w:hAnsi="Arial"/>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director at iRhythm Technologies, Inc., a public digital healthcare company, since May 2014. Dr. Aynechi has also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9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that Dr. Aynechi’s extensive experience in the biotechnology and pharmaceutical industries, makes her qualified to serve on our own board of directors.</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i w:val="1"/>
          <w:iCs w:val="1"/>
          <w:color w:val="auto"/>
        </w:rPr>
        <w:t xml:space="preserve">Carol G. Gallagher, Pharm.D. </w:t>
      </w:r>
      <w:r>
        <w:rPr>
          <w:rFonts w:ascii="Arial" w:cs="Arial" w:eastAsia="Arial" w:hAnsi="Arial"/>
          <w:sz w:val="18"/>
          <w:szCs w:val="18"/>
          <w:color w:val="auto"/>
        </w:rPr>
        <w:t>has served as a member of our board of directors since October 2011. Dr. Gallagher has been a partner at New</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Associates, a venture-capital firm, since October 2014. She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 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currently serves as a member of the board of directors of Cleave Biosciences, a private biopharmaceutical company. Dr. Gallagher attended Vanderbilt University and received her B.S. and Pharm.D. degrees from the University of Kentucky.</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Amgen in 2000. Prior to joining Kinetix, Dr. Lydon worked at CIBA-GEIGY, AG (Novartis) in Basel, Switzerland from 1985 to 1997, where he was responsible for the protein kinase inhibitor program, including 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Hollings Renton, M.B.A. </w:t>
      </w:r>
      <w:r>
        <w:rPr>
          <w:rFonts w:ascii="Arial" w:cs="Arial" w:eastAsia="Arial" w:hAnsi="Arial"/>
          <w:sz w:val="16"/>
          <w:szCs w:val="16"/>
          <w:color w:val="auto"/>
        </w:rPr>
        <w:t>has served as a member of our board of directors since June 2015. Mr. Renton previously served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President of 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as chairperson of the board of directors of Portola Pharmaceuticals, Inc. He previously served on the boards of directors of Cepheid, Inc., Kythera Biopharmaceuticals, Inc.,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John P. Schmid, M.B.A.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James A. Schoeneck </w:t>
      </w:r>
      <w:r>
        <w:rPr>
          <w:rFonts w:ascii="Arial" w:cs="Arial" w:eastAsia="Arial" w:hAnsi="Arial"/>
          <w:sz w:val="18"/>
          <w:szCs w:val="18"/>
          <w:color w:val="auto"/>
        </w:rPr>
        <w:t>has served as a member of our board of directors since November 2015. Mr. Schoeneck has served as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Depomed, Inc. since April 2011 and as a director of Depomed since December 2007. Before joining Depomed, Mr. Schoeneck served as Chief Executive Officer of BrainCells Inc., a private biopharmaceutical company in San Diego, from September 2005 to April 2011. Mr. Schoeneck has served as a director of FibroGen, Inc., a public biopharmaceutical company since June 2010. Mr. Schoeneck received his B.S. in Education from Jacksonville State University.</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believe that Mr. Schoeneck’s extensive industry and leadership experience provide him with the qualifications and skills to serve on our board of directors.</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James N. Topper, M.D., Ph.D. </w:t>
      </w:r>
      <w:r>
        <w:rPr>
          <w:rFonts w:ascii="Arial" w:cs="Arial" w:eastAsia="Arial" w:hAnsi="Arial"/>
          <w:sz w:val="18"/>
          <w:szCs w:val="18"/>
          <w:color w:val="auto"/>
        </w:rPr>
        <w:t>has served as a member of our board of directors since November 2007. Dr. Topper has been a partner with Frazier</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since August 2003, serving as General Partner since 2005.</w:t>
      </w:r>
    </w:p>
    <w:p>
      <w:pPr>
        <w:spacing w:after="0" w:line="17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as a director at ProNai Therapeutics, Inc., a public drug development company, since April 2014.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9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adopted a code of business conduct and ethics that applies to all of our employees, officers and directors, including our Chief Executive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business and affairs are organized under the direction of our board of directors, which currently consists of seven members following Dr. Aynechi’s resignation from our board of directors effective immediately prior to the effectiveness of the registration statement of which this prospectus forms a part. Our current certificate of incorporation and a voting agreement by and among us and certain of our investors provides for up to eight directors, of which (i) up to two directors were designated by holders of our Series B, Series B-1 and Series B-2 Preferred Stock, voting together as a single class on an as-converted basis, (ii) one director was designed by holders of our common stock, voting as a separate class and (iii) all remaining directors were designated by the holders of our common stock and convertible preferred stock, voting together as a single class on an as-converted basis. Drs. Aynechi and Topper were the designees of holders of our Series B, Series B-1 and Series B-2 convertible preferred stock, voting together as a single class on an as-converted basis.</w:t>
      </w:r>
    </w:p>
    <w:p>
      <w:pPr>
        <w:spacing w:after="0" w:line="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Mr. Suria was the designee of holders of our common stock. Dr. Gallagher, Dr. Lydon, Mr. Renton and Mr. Schmid were the designees of holders of our common stock and convertible preferred stock, voting together as a single class on an as-converted basis.</w:t>
      </w:r>
    </w:p>
    <w:p>
      <w:pPr>
        <w:spacing w:after="0" w:line="184"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voting agreement and the provisions of our certificate of incorporation that govern the election and designation of our directors will terminate in connection with the completion of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p>
      <w:pPr>
        <w:ind w:left="660" w:hanging="206"/>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Class I directors will be Dr. Gallagher and Dr. Topper and their terms will expire at the annual meeting of stockholders to be held in 2018;</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Class II directors will be Mr. Suria and Dr. Lydon and their terms will expire at the annual meeting of stockholders to be held in 2019; and</w:t>
      </w:r>
    </w:p>
    <w:p>
      <w:pPr>
        <w:spacing w:after="0" w:line="142" w:lineRule="exact"/>
        <w:rPr>
          <w:rFonts w:ascii="Arial" w:cs="Arial" w:eastAsia="Arial" w:hAnsi="Arial"/>
          <w:sz w:val="17"/>
          <w:szCs w:val="17"/>
          <w:color w:val="auto"/>
        </w:rPr>
      </w:pPr>
    </w:p>
    <w:p>
      <w:pPr>
        <w:ind w:left="660" w:right="320" w:hanging="206"/>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III directors will be Mr. Renton, Mr. Schmid and Mr. Schoeneck and their terms will expire at the annual meeting of stockholders to be held in 2020.</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connection with this offering, our common stock has been approved for listing on the Nasdaq Global Select Market. Under the rules of the Nasdaq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directors, that person does not have a relationship that would interfere with the exercise of independent judgment in carrying out the responsibilities of a director.</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audit committee is comprised of Dr. Gallagher, Mr. Schoeneck and Mr. Schmid, with Mr. Schmid as the chairman of our audit committee. The composition of our audit committee meets the requirements for 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78" w:lineRule="exact"/>
        <w:rPr>
          <w:sz w:val="20"/>
          <w:szCs w:val="20"/>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considering the adequacy of our internal controls;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jc w:val="center"/>
        <w:ind w:left="5580" w:right="320" w:hanging="5126"/>
        <w:spacing w:after="0" w:line="449" w:lineRule="auto"/>
        <w:tabs>
          <w:tab w:leader="none" w:pos="6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 132</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compensation committee is comprised of Dr. Gallagher, Dr. Lydon and Mr. Schoeneck, with Dr. Gallagher as the chairperson of our compensation committee. Each member of this committee is a non-employee director, as defined by Rule 16b-3 promulgated under the Exchange Act, and an outside director, as defined pursuant to Section 162(m) of the Code and meets the requirements for independence under the current Nasdaq listing standards and SEC rules and regulations. Our compensation committee is responsible for, among other things:</w:t>
      </w:r>
    </w:p>
    <w:p>
      <w:pPr>
        <w:spacing w:after="0" w:line="77" w:lineRule="exact"/>
        <w:rPr>
          <w:sz w:val="20"/>
          <w:szCs w:val="20"/>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our board of directors with respect to, incentive compensation and equity plans;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nominating and governance committee is comprised of Dr. Gallagher, Mr. Renton and Dr. Topper, with Mr. Renton as the chairman of our nominating and governance committee. Each member of the Committee meets the requirements for independence under the current Nasdaq listing standards. Our nominating and governance committee is responsible for, among other things:</w:t>
      </w:r>
    </w:p>
    <w:p>
      <w:pPr>
        <w:spacing w:after="0" w:line="87" w:lineRule="exact"/>
        <w:rPr>
          <w:sz w:val="20"/>
          <w:szCs w:val="20"/>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evaluating, and overseeing the process of evaluating, the performance of our board of directors and individual directors;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2016.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59" w:right="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following table presents the total compensation earned or paid in the year ended December 31, 2016 for each member of our board of directors, except for our President and Chief Executive Officer, Mr. Suria, who receives no additional compensation for his service as a director. Other than as described below, none of our non-employee directors are expected to receive any fees or reimbursement of any expenses (other than customary expenses in connection with the attendance of meetings of our board of directors) or any equity or non-equity awards in the year ended December 31, 2016.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Fees Earned</w:t>
            </w:r>
          </w:p>
        </w:tc>
        <w:tc>
          <w:tcPr>
            <w:tcW w:w="280" w:type="dxa"/>
            <w:vAlign w:val="bottom"/>
          </w:tcPr>
          <w:p>
            <w:pPr>
              <w:spacing w:after="0"/>
              <w:rPr>
                <w:sz w:val="14"/>
                <w:szCs w:val="14"/>
                <w:color w:val="auto"/>
              </w:rPr>
            </w:pPr>
          </w:p>
        </w:tc>
        <w:tc>
          <w:tcPr>
            <w:tcW w:w="6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Total(2)</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560" w:type="dxa"/>
            <w:vAlign w:val="bottom"/>
          </w:tcPr>
          <w:p>
            <w:pPr>
              <w:spacing w:after="0"/>
              <w:rPr>
                <w:sz w:val="12"/>
                <w:szCs w:val="12"/>
                <w:color w:val="auto"/>
              </w:rPr>
            </w:pP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Paid in</w:t>
            </w:r>
          </w:p>
        </w:tc>
        <w:tc>
          <w:tcPr>
            <w:tcW w:w="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820" w:type="dxa"/>
            <w:vAlign w:val="bottom"/>
            <w:gridSpan w:val="2"/>
            <w:vMerge w:val="continue"/>
          </w:tcPr>
          <w:p>
            <w:pPr>
              <w:spacing w:after="0"/>
              <w:rPr>
                <w:sz w:val="15"/>
                <w:szCs w:val="15"/>
                <w:color w:val="auto"/>
              </w:rPr>
            </w:pPr>
          </w:p>
        </w:tc>
        <w:tc>
          <w:tcPr>
            <w:tcW w:w="3560" w:type="dxa"/>
            <w:vAlign w:val="bottom"/>
          </w:tcPr>
          <w:p>
            <w:pPr>
              <w:spacing w:after="0"/>
              <w:rPr>
                <w:sz w:val="15"/>
                <w:szCs w:val="15"/>
                <w:color w:val="auto"/>
              </w:rPr>
            </w:pPr>
          </w:p>
        </w:tc>
        <w:tc>
          <w:tcPr>
            <w:tcW w:w="10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Cash(1)($)</w:t>
            </w:r>
          </w:p>
        </w:tc>
        <w:tc>
          <w:tcPr>
            <w:tcW w:w="900" w:type="dxa"/>
            <w:vAlign w:val="bottom"/>
            <w:gridSpan w:val="2"/>
          </w:tcPr>
          <w:p>
            <w:pPr>
              <w:jc w:val="center"/>
              <w:ind w:left="194"/>
              <w:spacing w:after="0" w:line="15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3"/>
              </w:rPr>
              <w:t>Carol</w:t>
            </w:r>
          </w:p>
        </w:tc>
        <w:tc>
          <w:tcPr>
            <w:tcW w:w="5440" w:type="dxa"/>
            <w:vAlign w:val="bottom"/>
          </w:tcPr>
          <w:p>
            <w:pPr>
              <w:ind w:left="80"/>
              <w:spacing w:after="0" w:line="189" w:lineRule="exact"/>
              <w:rPr>
                <w:sz w:val="20"/>
                <w:szCs w:val="20"/>
                <w:color w:val="auto"/>
              </w:rPr>
            </w:pPr>
            <w:r>
              <w:rPr>
                <w:rFonts w:ascii="Arial" w:cs="Arial" w:eastAsia="Arial" w:hAnsi="Arial"/>
                <w:sz w:val="18"/>
                <w:szCs w:val="18"/>
                <w:color w:val="auto"/>
              </w:rPr>
              <w:t>G. Gallagher, Pharm.D.</w:t>
            </w:r>
          </w:p>
        </w:tc>
        <w:tc>
          <w:tcPr>
            <w:tcW w:w="3560" w:type="dxa"/>
            <w:vAlign w:val="bottom"/>
          </w:tcPr>
          <w:p>
            <w:pPr>
              <w:spacing w:after="0"/>
              <w:rPr>
                <w:sz w:val="16"/>
                <w:szCs w:val="16"/>
                <w:color w:val="auto"/>
              </w:rPr>
            </w:pPr>
          </w:p>
        </w:tc>
        <w:tc>
          <w:tcPr>
            <w:tcW w:w="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50,000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$ 50,000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374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92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$ 50,000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Hollings Renton, M.B.A.</w:t>
            </w:r>
          </w:p>
        </w:tc>
        <w:tc>
          <w:tcPr>
            <w:tcW w:w="374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92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$ 50,000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John P. Schmid, M.B.A.</w:t>
            </w:r>
          </w:p>
        </w:tc>
        <w:tc>
          <w:tcPr>
            <w:tcW w:w="374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40,000</w:t>
            </w:r>
          </w:p>
        </w:tc>
        <w:tc>
          <w:tcPr>
            <w:tcW w:w="92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$ 40,000</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James A. Schoeneck</w:t>
            </w:r>
          </w:p>
        </w:tc>
        <w:tc>
          <w:tcPr>
            <w:tcW w:w="374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52,500</w:t>
            </w:r>
          </w:p>
        </w:tc>
        <w:tc>
          <w:tcPr>
            <w:tcW w:w="260" w:type="dxa"/>
            <w:vAlign w:val="bottom"/>
          </w:tcPr>
          <w:p>
            <w:pPr>
              <w:spacing w:after="0"/>
              <w:rPr>
                <w:sz w:val="20"/>
                <w:szCs w:val="20"/>
                <w:color w:val="auto"/>
              </w:rPr>
            </w:pPr>
          </w:p>
        </w:tc>
        <w:tc>
          <w:tcPr>
            <w:tcW w:w="900" w:type="dxa"/>
            <w:vAlign w:val="bottom"/>
            <w:gridSpan w:val="2"/>
          </w:tcPr>
          <w:p>
            <w:pPr>
              <w:jc w:val="center"/>
              <w:ind w:left="194"/>
              <w:spacing w:after="0"/>
              <w:rPr>
                <w:sz w:val="20"/>
                <w:szCs w:val="20"/>
                <w:color w:val="auto"/>
              </w:rPr>
            </w:pPr>
            <w:r>
              <w:rPr>
                <w:rFonts w:ascii="Arial" w:cs="Arial" w:eastAsia="Arial" w:hAnsi="Arial"/>
                <w:sz w:val="18"/>
                <w:szCs w:val="18"/>
                <w:color w:val="auto"/>
                <w:w w:val="88"/>
              </w:rPr>
              <w:t>$ 52,500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5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Gallagher, Dr. Lydon and Mr. Renton were each paid a $50,000 annual retainer fee in connection with their service on our board of directors. Mr. Schmid was paid an annual retainer fee of $35,000 and $5,000 in connection with his service on our board of directors and audit committee, respectively. Mr. Schoeneck was paid an annual retainer fee of $40,000, $7,500 and $5,000 in connection with his service on our board of directors, audit committee and compensation committee, respectively.</w:t>
      </w:r>
    </w:p>
    <w:p>
      <w:pPr>
        <w:spacing w:after="0" w:line="2"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following table sets forth the expected aggregate number of shares of our common stock subject to outstanding stock options held by our non-employee directors as of December 31,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Options Held as</w:t>
            </w:r>
          </w:p>
        </w:tc>
        <w:tc>
          <w:tcPr>
            <w:tcW w:w="0" w:type="dxa"/>
            <w:vAlign w:val="bottom"/>
          </w:tcPr>
          <w:p>
            <w:pPr>
              <w:spacing w:after="0"/>
              <w:rPr>
                <w:sz w:val="1"/>
                <w:szCs w:val="1"/>
                <w:color w:val="auto"/>
              </w:rPr>
            </w:pPr>
          </w:p>
        </w:tc>
      </w:tr>
      <w:tr>
        <w:trPr>
          <w:trHeight w:val="149"/>
        </w:trPr>
        <w:tc>
          <w:tcPr>
            <w:tcW w:w="10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 Name</w:t>
            </w: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0" w:type="dxa"/>
            <w:vAlign w:val="bottom"/>
          </w:tcPr>
          <w:p>
            <w:pPr>
              <w:spacing w:after="0"/>
              <w:rPr>
                <w:sz w:val="1"/>
                <w:szCs w:val="1"/>
                <w:color w:val="auto"/>
              </w:rPr>
            </w:pPr>
          </w:p>
        </w:tc>
      </w:tr>
      <w:tr>
        <w:trPr>
          <w:trHeight w:val="158"/>
        </w:trPr>
        <w:tc>
          <w:tcPr>
            <w:tcW w:w="10200" w:type="dxa"/>
            <w:vAlign w:val="bottom"/>
            <w:gridSpan w:val="2"/>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0" w:type="dxa"/>
            <w:vAlign w:val="bottom"/>
            <w:gridSpan w:val="2"/>
          </w:tcPr>
          <w:p>
            <w:pPr>
              <w:spacing w:after="0" w:line="189" w:lineRule="exact"/>
              <w:rPr>
                <w:sz w:val="20"/>
                <w:szCs w:val="20"/>
                <w:color w:val="auto"/>
              </w:rPr>
            </w:pPr>
            <w:r>
              <w:rPr>
                <w:rFonts w:ascii="Arial" w:cs="Arial" w:eastAsia="Arial" w:hAnsi="Arial"/>
                <w:sz w:val="18"/>
                <w:szCs w:val="18"/>
                <w:color w:val="auto"/>
              </w:rPr>
              <w:t>Carol G. Gallagher, Pharm.D.</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97,722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31,012</w:t>
            </w:r>
          </w:p>
        </w:tc>
        <w:tc>
          <w:tcPr>
            <w:tcW w:w="0" w:type="dxa"/>
            <w:vAlign w:val="bottom"/>
          </w:tcPr>
          <w:p>
            <w:pPr>
              <w:spacing w:after="0"/>
              <w:rPr>
                <w:sz w:val="1"/>
                <w:szCs w:val="1"/>
                <w:color w:val="auto"/>
              </w:rPr>
            </w:pP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Hollings Renton, M.B.A.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51,156</w:t>
            </w:r>
          </w:p>
        </w:tc>
        <w:tc>
          <w:tcPr>
            <w:tcW w:w="0" w:type="dxa"/>
            <w:vAlign w:val="bottom"/>
          </w:tcPr>
          <w:p>
            <w:pPr>
              <w:spacing w:after="0"/>
              <w:rPr>
                <w:sz w:val="1"/>
                <w:szCs w:val="1"/>
                <w:color w:val="auto"/>
              </w:rPr>
            </w:pP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John P. Schmid, M.B.A.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42,337</w:t>
            </w:r>
          </w:p>
        </w:tc>
        <w:tc>
          <w:tcPr>
            <w:tcW w:w="0" w:type="dxa"/>
            <w:vAlign w:val="bottom"/>
          </w:tcPr>
          <w:p>
            <w:pPr>
              <w:spacing w:after="0"/>
              <w:rPr>
                <w:sz w:val="1"/>
                <w:szCs w:val="1"/>
                <w:color w:val="auto"/>
              </w:rPr>
            </w:pPr>
          </w:p>
        </w:tc>
      </w:tr>
      <w:tr>
        <w:trPr>
          <w:trHeight w:val="230"/>
        </w:trPr>
        <w:tc>
          <w:tcPr>
            <w:tcW w:w="10200" w:type="dxa"/>
            <w:vAlign w:val="bottom"/>
            <w:gridSpan w:val="2"/>
          </w:tcPr>
          <w:p>
            <w:pPr>
              <w:spacing w:after="0"/>
              <w:rPr>
                <w:sz w:val="20"/>
                <w:szCs w:val="20"/>
                <w:color w:val="auto"/>
              </w:rPr>
            </w:pPr>
            <w:r>
              <w:rPr>
                <w:rFonts w:ascii="Arial" w:cs="Arial" w:eastAsia="Arial" w:hAnsi="Arial"/>
                <w:sz w:val="18"/>
                <w:szCs w:val="18"/>
                <w:color w:val="auto"/>
              </w:rPr>
              <w:t>James A. Schoeneck</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42,337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September 2015, our board of directors approved a non-employee director compensation policy, which will take effect following the completion of this offering. Pursuant to this policy, each of our non-employee directors will receive an annual retainer of $40,000. Additionally, a lead independent director will receive an additional annual payment of $20,000; the chairperson of our board of directors will receive an additional annual payment of $15,000 when a lead independent director is also serving and $30,000 when no lead independent director is serving; the chairpersons of our audit, compensation and nominating and corporate governance committees will receive an additional annual payment of $15,000, $10,000 and $7,500, respectively; and the members of our audit, compensation and nominating and corporate governance committees will receive an additional annual payment of $7,500, $5,000 and $3,750, respectively.</w:t>
      </w:r>
    </w:p>
    <w:p>
      <w:pPr>
        <w:spacing w:after="0" w:line="18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completion of this offering, each of our non-employee directors will receive an annual option to purchase 14,258 shares of common stock, which vests in a single installment 12 months after the grant date, subject to the applicable director’s continuous service through such date. Additionally, each new non-employee director will receive upon election to our board of directors, an option to purchase 28,571 shares of common stock, which will vest in 36 equal monthly installments after the grant date, subject to the director’s continuous service through such date. The exercise price of such grants will be the fair market value of our common stock as of the grant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following tables and accompanying narrative disclosure set forth information about the compensation provided to our executive officers during the years ended December 31, 2015 and 2016. These executive officers, who include our principal executive officer and the two most highly-compensated executive officers (other than our principal executive officer) serving as executive officers as of December 31, 2016, were:</w:t>
      </w:r>
    </w:p>
    <w:p>
      <w:pPr>
        <w:spacing w:after="0" w:line="71" w:lineRule="exact"/>
        <w:rPr>
          <w:sz w:val="20"/>
          <w:szCs w:val="20"/>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Matthew Moyle, Chief Scientific Officer;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Marco Londei, Chief Medical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years ended December 31, 2015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95"/>
              </w:rPr>
              <w:t>Fiscal</w:t>
            </w:r>
          </w:p>
        </w:tc>
        <w:tc>
          <w:tcPr>
            <w:tcW w:w="20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Bonus(1)</w:t>
            </w:r>
          </w:p>
        </w:tc>
        <w:tc>
          <w:tcPr>
            <w:tcW w:w="10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Awards(2)</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8"/>
                <w:szCs w:val="18"/>
                <w:color w:val="auto"/>
              </w:rPr>
              <w:t>Hamza Suria, M.B.A.</w:t>
            </w:r>
          </w:p>
        </w:tc>
        <w:tc>
          <w:tcPr>
            <w:tcW w:w="4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15"/>
                <w:szCs w:val="15"/>
                <w:color w:val="auto"/>
              </w:rPr>
            </w:pPr>
          </w:p>
        </w:tc>
        <w:tc>
          <w:tcPr>
            <w:tcW w:w="6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7"/>
              </w:rPr>
              <w:t>$425,000</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20"/>
              <w:spacing w:after="0" w:line="18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600</w:t>
            </w:r>
          </w:p>
        </w:tc>
        <w:tc>
          <w:tcPr>
            <w:tcW w:w="3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425,600</w:t>
            </w:r>
          </w:p>
        </w:tc>
        <w:tc>
          <w:tcPr>
            <w:tcW w:w="0" w:type="dxa"/>
            <w:vAlign w:val="bottom"/>
          </w:tcPr>
          <w:p>
            <w:pPr>
              <w:spacing w:after="0"/>
              <w:rPr>
                <w:sz w:val="1"/>
                <w:szCs w:val="1"/>
                <w:color w:val="auto"/>
              </w:rPr>
            </w:pPr>
          </w:p>
        </w:tc>
      </w:tr>
      <w:tr>
        <w:trPr>
          <w:trHeight w:val="244"/>
        </w:trPr>
        <w:tc>
          <w:tcPr>
            <w:tcW w:w="5320" w:type="dxa"/>
            <w:vAlign w:val="bottom"/>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2015</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w w:val="87"/>
              </w:rPr>
              <w:t>$382,083</w:t>
            </w:r>
          </w:p>
        </w:tc>
        <w:tc>
          <w:tcPr>
            <w:tcW w:w="34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97,431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1,170,840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540(4)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1,650,894</w:t>
            </w:r>
          </w:p>
        </w:tc>
        <w:tc>
          <w:tcPr>
            <w:tcW w:w="0" w:type="dxa"/>
            <w:vAlign w:val="bottom"/>
          </w:tcPr>
          <w:p>
            <w:pPr>
              <w:spacing w:after="0"/>
              <w:rPr>
                <w:sz w:val="1"/>
                <w:szCs w:val="1"/>
                <w:color w:val="auto"/>
              </w:rPr>
            </w:pPr>
          </w:p>
        </w:tc>
      </w:tr>
      <w:tr>
        <w:trPr>
          <w:trHeight w:val="323"/>
        </w:trPr>
        <w:tc>
          <w:tcPr>
            <w:tcW w:w="5320" w:type="dxa"/>
            <w:vAlign w:val="bottom"/>
          </w:tcPr>
          <w:p>
            <w:pPr>
              <w:spacing w:after="0"/>
              <w:rPr>
                <w:sz w:val="20"/>
                <w:szCs w:val="20"/>
                <w:color w:val="auto"/>
              </w:rPr>
            </w:pPr>
            <w:r>
              <w:rPr>
                <w:rFonts w:ascii="Arial" w:cs="Arial" w:eastAsia="Arial" w:hAnsi="Arial"/>
                <w:sz w:val="18"/>
                <w:szCs w:val="18"/>
                <w:color w:val="auto"/>
              </w:rPr>
              <w:t>Matthew Moyle, Ph.D.</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2016</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rPr>
              <w:t>$181,250(3)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614,546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37,726(5)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833,522</w:t>
            </w: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320" w:type="dxa"/>
            <w:vAlign w:val="bottom"/>
          </w:tcPr>
          <w:p>
            <w:pPr>
              <w:spacing w:after="0"/>
              <w:rPr>
                <w:sz w:val="20"/>
                <w:szCs w:val="20"/>
                <w:color w:val="auto"/>
              </w:rPr>
            </w:pPr>
            <w:r>
              <w:rPr>
                <w:rFonts w:ascii="Arial" w:cs="Arial" w:eastAsia="Arial" w:hAnsi="Arial"/>
                <w:sz w:val="18"/>
                <w:szCs w:val="18"/>
                <w:color w:val="auto"/>
              </w:rPr>
              <w:t>Marco Londei, M.D.</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2016</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w w:val="87"/>
              </w:rPr>
              <w:t>$380,000</w:t>
            </w:r>
          </w:p>
        </w:tc>
        <w:tc>
          <w:tcPr>
            <w:tcW w:w="34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11,944(6)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391,944</w:t>
            </w: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i w:val="1"/>
                <w:iCs w:val="1"/>
                <w:color w:val="auto"/>
              </w:rPr>
              <w:t>Chief Medical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2015</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w w:val="87"/>
              </w:rPr>
              <w:t>$363,333</w:t>
            </w:r>
          </w:p>
        </w:tc>
        <w:tc>
          <w:tcPr>
            <w:tcW w:w="34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81,094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406,049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42,042(7)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892,518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56"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 Our board of directors has not yet determined the amounts of cash bonuses payable to our named executive officers earned in 2016. We anticipate that cash bonuses, if any, for 2016 will be determined by our board of directors by March 2017.</w:t>
      </w:r>
    </w:p>
    <w:p>
      <w:pPr>
        <w:ind w:left="460" w:right="22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grant-date fair value of the awards granted under our 2006 Equity Incentive Plan to our named executive officers during the years ended December 31, 2015 and 2016, as computed in accordance with FASB ASC Topic 718. The assumptions used in calculating the grant date fair value of the awards reported in the Stock Option Awards column are set forth in Note 8 to our consolidated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Dr. Moyle’s salary from the commencement of his employment on May 16, 2016, through December 31,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Suria.</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Moyle during the year ended December 31, 2016, consisting of $36,221 for temporary housing and moving expenses and $1,505 for group term life insurance premiums paid by us on behalf of Dr. Moyle.</w:t>
      </w:r>
    </w:p>
    <w:p>
      <w:pPr>
        <w:ind w:left="460" w:right="12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2016, consisting of $7,984 for moving expenses and $3,960 for group term life insurance premiums paid by us on behalf of Dr. Londei.</w:t>
      </w:r>
    </w:p>
    <w:p>
      <w:pPr>
        <w:ind w:left="460" w:right="60" w:hanging="452"/>
        <w:spacing w:after="0" w:line="255"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2015, consisting of $39,462 for temporary housing and moving expenses, including tax gross-up with respect to temporary housing payments, and $2,580 for group term life insurance premiums paid by us on behalf of Dr. Londei.</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initial terms and conditions of employment of each of Mr. Suria and Drs. Londei and Moyle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Suria’s Employment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an employment agreement effective as of January 1, 2012 and amended October 9, 2012 and September 16, 2014, or collectively the Suria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Mr. Suria serves as our President and Chief Executive Officer. The Suria Employment Agreement sets forth the principal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of his employment, including his initial annual base salary of $285,000 and an annual target cash bonus opportunity of 25% of his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pro rata adjustment for any partial years worked, which bonus is earned based on our achievement of specified milestones and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objectives, as well as Mr. Suria’s performance relative to one or more performance objectives established by Mr. Suria, our compensation committee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the achievement of which is evaluated by us. On August 14, 2015, our board of directors increased Mr. Suria’s annual base salary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$420,000, effective as of August 1, 2015. The Suria Employment Agreement provided for the grant of a time-based stock option to purchase up to 214,239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under our 2006 Equity Incentive Plan. The Suria Employment Agreement also provided for the grant of a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 to purchase up to 97,721 shares of our common stock under our 2006 Equity Incentive Plan, all of which would vest immediately in the event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change of control or qualified initial public offering. These options were granted with an exercise price equal to the fair value of our common stock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grant and vest over four years as described in more detail in “—Outstanding Equity Awards at Fiscal Year-End Table” below. Mr. Suria’s employment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at will and may be terminated at any time, with or without cause. However, pursuant to the terms of the Suria Employment Agreement, Mr. Suria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entitled to severance benefits upon a qualifying termination of employment as described in “—Potential Payments upon IPO, Termination or Change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Control”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Londei’s Employment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an employment agreement effective as of October 20, 2014, or the Londei Employment Agreement, Dr. Londei serves as our Chief Medical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Officer. The Londei Employment Agreement sets forth the principal terms and conditions of his employment, including his initial annual base salary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and an annual target cash bonus opportunity of 25% of his base salary, which bonus is earned based on our achievement of specified milestones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objectives, as well as Dr. Londei’s performance relative to one or more performance objectives established by Dr. Londei, our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and our board of directors, the achievement of which is evaluated by us. On August 14, 2015, our board of directors increased Mr. Londei’s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 salary to $375,000, effective as of August 1, 2015. Likewise, the Londei Employment Agreement provides for additional discretionary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bonuses. The Londei Employment Agreement provides for the grant of a time-based stock option to purchase 160,965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our 2006 Equity Incentive Plan. This option was granted with an exercise price equal to the fair value of our common stock on the date of grant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vests over four years as described in more detail in “—Outstanding Equity Awards at Fiscal Year-End Table” below. Dr. Londei’s employment is at will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terminated at any time, with or without cause. However, pursuant to the terms of the Londei Employment Agreement, Dr. Londei will be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benefits upon a qualifying termination of employment as described in “—Potential Payments upon IPO, Termination or Change in Control” below.</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Moyle’s Employment Agreement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an employment agreement effective as of March 22, 2016, or the Moyle Employment Agreement, Dr. Moyle serves as our Chief Scientific Officer. The Moyle Employment Agreement sets forth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principal terms and conditions of his employment, including his initial annual base salary of $290,000 and an annual discretionary cash bonus of up to 30% of his base salary, which bonus is earned based on achievement of certain performance goals established by our Chief Executive Officer, the final determination of which for any given year is made by our Chief Executive Officer and board of directors in their sole and absolute discretion. The Moyle Employment Agreement provides for reimbursement of actual and reasonable costs that Dr. Moyle may incur to relocate his household from Connecticut to the San Diego area no later than May 2017, up to $135,000 in the aggregate, and the Moyle Employment Agreement provides further that, in the interim, Dr. Moyle shall be reimbursed for actual and reasonable costs incurred by Dr. Moyle for him to spend at least three weeks per month in the San Diego area, up to a maximum of an additional $40,000 in the aggregate. The Moyle Employment Agreement provides for the grant, as soon as practicable following the effective date of the Moyle Employment Agreement, of a time-based stock option to purchase up to 169,417 shares of our common stock under our 2006 Equity Incentive Plan. This option was granted with an exercise price equal to the fair market value of our common stock on the date of grant and vests over four years, with 1/4 of the underlying shares vesting on the first calendar anniversary of the effective date of the Moyle Employment Agreement and, thereafter, an additional 1/48 of the underlying shares vesting on the same day of each succeeding calendar month. Dr. Moyle’s employment is at-will and may be terminated at any time, with or without cause. However, pursuant to the terms of the Moyle Employment Agreement, Dr. Moyle will be entitled to severance benefits upon a qualifying termination of employment as described in “—Potential Payments upon IPO, Termination or Change in Control”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 named executive officers, information regarding outstanding stock options held as of December 31, 2016.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13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Underlying</w:t>
            </w:r>
          </w:p>
        </w:tc>
        <w:tc>
          <w:tcPr>
            <w:tcW w:w="960" w:type="dxa"/>
            <w:vAlign w:val="bottom"/>
            <w:gridSpan w:val="3"/>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860" w:type="dxa"/>
            <w:vAlign w:val="bottom"/>
            <w:vMerge w:val="restart"/>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Grant Date</w:t>
            </w:r>
            <w:r>
              <w:rPr>
                <w:rFonts w:ascii="Arial" w:cs="Arial" w:eastAsia="Arial" w:hAnsi="Arial"/>
                <w:sz w:val="12"/>
                <w:szCs w:val="12"/>
                <w:b w:val="1"/>
                <w:bCs w:val="1"/>
                <w:color w:val="auto"/>
                <w:w w:val="97"/>
              </w:rPr>
              <w:t>(1)</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Options (#)</w:t>
            </w: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2"/>
                <w:szCs w:val="12"/>
                <w:color w:val="auto"/>
              </w:rPr>
            </w:pPr>
          </w:p>
        </w:tc>
        <w:tc>
          <w:tcPr>
            <w:tcW w:w="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1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3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00" w:type="dxa"/>
            <w:vAlign w:val="bottom"/>
          </w:tcPr>
          <w:p>
            <w:pPr>
              <w:spacing w:after="0"/>
              <w:rPr>
                <w:sz w:val="15"/>
                <w:szCs w:val="15"/>
                <w:color w:val="auto"/>
              </w:rPr>
            </w:pPr>
          </w:p>
        </w:tc>
        <w:tc>
          <w:tcPr>
            <w:tcW w:w="42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Arial" w:cs="Arial" w:eastAsia="Arial" w:hAnsi="Arial"/>
                <w:sz w:val="18"/>
                <w:szCs w:val="18"/>
                <w:color w:val="auto"/>
              </w:rPr>
              <w:t>Hamza Suria, M.B.A.</w:t>
            </w:r>
            <w:r>
              <w:rPr>
                <w:rFonts w:ascii="Arial" w:cs="Arial" w:eastAsia="Arial" w:hAnsi="Arial"/>
                <w:sz w:val="15"/>
                <w:szCs w:val="15"/>
                <w:color w:val="auto"/>
              </w:rPr>
              <w:t>(2)</w:t>
            </w:r>
          </w:p>
        </w:tc>
        <w:tc>
          <w:tcPr>
            <w:tcW w:w="13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Dec. 9, 2008</w:t>
            </w:r>
          </w:p>
        </w:tc>
        <w:tc>
          <w:tcPr>
            <w:tcW w:w="340" w:type="dxa"/>
            <w:vAlign w:val="bottom"/>
          </w:tcPr>
          <w:p>
            <w:pPr>
              <w:spacing w:after="0"/>
              <w:rPr>
                <w:sz w:val="16"/>
                <w:szCs w:val="16"/>
                <w:color w:val="auto"/>
              </w:rPr>
            </w:pP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22,428</w:t>
            </w:r>
          </w:p>
        </w:tc>
        <w:tc>
          <w:tcPr>
            <w:tcW w:w="420" w:type="dxa"/>
            <w:vAlign w:val="bottom"/>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20"/>
              <w:spacing w:after="0" w:line="189" w:lineRule="exact"/>
              <w:rPr>
                <w:sz w:val="20"/>
                <w:szCs w:val="20"/>
                <w:color w:val="auto"/>
              </w:rPr>
            </w:pPr>
            <w:r>
              <w:rPr>
                <w:rFonts w:ascii="Arial" w:cs="Arial" w:eastAsia="Arial" w:hAnsi="Arial"/>
                <w:sz w:val="18"/>
                <w:szCs w:val="18"/>
                <w:color w:val="auto"/>
                <w:w w:val="79"/>
              </w:rPr>
              <w:t>2.59</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Dec. 8, 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Feb. 10, 2010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1,428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2.24</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Feb. 9, 2020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Feb. 24, 2011</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6,208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1.61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Feb. 23,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Dec. 9, 2011</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140,948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1.12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Dec. 8,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Feb. 1, 2012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97,721</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1.12</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Feb. 1, 2012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73,291</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1.12</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 17, 2012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19,425</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0.91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Dec. 16,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Sep. 16, 2014</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51,840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0.70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Sep. 15, 2024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Aug. 14, 2015</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88,641</w:t>
            </w:r>
          </w:p>
        </w:tc>
        <w:tc>
          <w:tcPr>
            <w:tcW w:w="860" w:type="dxa"/>
            <w:vAlign w:val="bottom"/>
          </w:tcPr>
          <w:p>
            <w:pPr>
              <w:jc w:val="right"/>
              <w:spacing w:after="0"/>
              <w:rPr>
                <w:sz w:val="20"/>
                <w:szCs w:val="20"/>
                <w:color w:val="auto"/>
              </w:rPr>
            </w:pPr>
            <w:r>
              <w:rPr>
                <w:rFonts w:ascii="Arial" w:cs="Arial" w:eastAsia="Arial" w:hAnsi="Arial"/>
                <w:sz w:val="18"/>
                <w:szCs w:val="18"/>
                <w:color w:val="auto"/>
              </w:rPr>
              <w:t>177,287</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6.93</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Matthew Moyle, Ph.D.</w:t>
            </w:r>
            <w:r>
              <w:rPr>
                <w:rFonts w:ascii="Arial" w:cs="Arial" w:eastAsia="Arial" w:hAnsi="Arial"/>
                <w:sz w:val="15"/>
                <w:szCs w:val="15"/>
                <w:color w:val="auto"/>
              </w:rPr>
              <w:t>(3)</w:t>
            </w: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July 22, 2016</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169,417</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5.95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July 21, 2026</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Oct. 28, 2014</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160,965</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0.70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Oct. 27, 2024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Aug. 14, 2015</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30,740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61,483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6.93</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53"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vested as to their underlying shares as follows:</w:t>
      </w:r>
    </w:p>
    <w:p>
      <w:pPr>
        <w:spacing w:after="0" w:line="32" w:lineRule="exact"/>
        <w:rPr>
          <w:rFonts w:ascii="Arial" w:cs="Arial" w:eastAsia="Arial" w:hAnsi="Arial"/>
          <w:sz w:val="16"/>
          <w:szCs w:val="16"/>
          <w:color w:val="auto"/>
        </w:rPr>
      </w:pPr>
    </w:p>
    <w:p>
      <w:pPr>
        <w:ind w:left="460" w:right="300"/>
        <w:spacing w:after="0" w:line="261" w:lineRule="auto"/>
        <w:rPr>
          <w:rFonts w:ascii="Arial" w:cs="Arial" w:eastAsia="Arial" w:hAnsi="Arial"/>
          <w:sz w:val="16"/>
          <w:szCs w:val="16"/>
          <w:color w:val="auto"/>
        </w:rPr>
      </w:pPr>
      <w:r>
        <w:rPr>
          <w:rFonts w:ascii="Arial" w:cs="Arial" w:eastAsia="Arial" w:hAnsi="Arial"/>
          <w:sz w:val="18"/>
          <w:szCs w:val="18"/>
          <w:color w:val="auto"/>
        </w:rPr>
        <w:t>(i) the shares underlying the options granted on December 9, 2008, February 10, 2010, February 24, 2011, and December 9, 2011 and December 17, 2012, and 73,291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67" w:lineRule="auto"/>
        <w:rPr>
          <w:sz w:val="20"/>
          <w:szCs w:val="20"/>
          <w:color w:val="auto"/>
        </w:rPr>
      </w:pPr>
      <w:r>
        <w:rPr>
          <w:rFonts w:ascii="Arial" w:cs="Arial" w:eastAsia="Arial" w:hAnsi="Arial"/>
          <w:sz w:val="17"/>
          <w:szCs w:val="17"/>
          <w:color w:val="auto"/>
        </w:rPr>
        <w:t>shares underlying the options granted on February 1, 2012, have fully vested; (ii) of the 97,721 shares underlying an option granted on February 1, 2012, all vest only upon a change in control (as defined in the 2006 Equity Incentive Plan) or qualified IPO (as defined in our restated certificate of incorporation) that is approved by our board of directors, subject to Mr. Suria’s employment on such date; (iii) of the 51,840 shares underlying the option granted on September 16, 2014, 1/4 vested on September 16, 2015, and thereafter 1/48 vest on the sixteenth day of each succeeding calendar month, starting October 16 2015; and (iv) of the 265,928 shares underlying the option granted on August 14, 2015, 1/4 vested on August 13, 2016, and 1/48 vest on the thirteenth day of each succeeding calendar month, starting September 13, 2016,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3" w:lineRule="exact"/>
        <w:rPr>
          <w:sz w:val="20"/>
          <w:szCs w:val="20"/>
          <w:color w:val="auto"/>
        </w:rPr>
      </w:pPr>
    </w:p>
    <w:p>
      <w:pPr>
        <w:ind w:left="460" w:right="60" w:hanging="452"/>
        <w:spacing w:after="0" w:line="281"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These options are not early-exercisable. The options vest as to their underlying shares as follows: (i) of the 169,417 shares underlying the option granted on July 22, 2016, 1/4 vest on May 16, 2017, and 1/48 vest on the 16th day of each succeeding calendar month, starting June 16, 2017, provided that if Mr. Moyle is terminated without Cause or resigns for Good Reason (as each is defined in his employment agreement) in connection with a Change in Control (as defined in the 2006 Equity Incentive Plan), then all of the shares underlying the options shall vest at that time.</w:t>
      </w:r>
    </w:p>
    <w:p>
      <w:pPr>
        <w:spacing w:after="0" w:line="2" w:lineRule="exact"/>
        <w:rPr>
          <w:rFonts w:ascii="Arial" w:cs="Arial" w:eastAsia="Arial" w:hAnsi="Arial"/>
          <w:sz w:val="16"/>
          <w:szCs w:val="16"/>
          <w:color w:val="auto"/>
        </w:rPr>
      </w:pPr>
    </w:p>
    <w:p>
      <w:pPr>
        <w:ind w:left="460" w:right="60" w:hanging="452"/>
        <w:spacing w:after="0" w:line="287"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of the 160,965 shares underlying the option granted on October 28, 2014, 1/4 of the shares vested on October 24, 2015, and thereafter, 1/48 vest on the 24th day of each succeeding calendar month, starting November 24, 2015, provided that if Dr. Londei is terminated without Cause or resigns for Good Reason (as each is defined in his employment agreement) in connection with a Change in Control (as defined in the 2006 Equity Incentive Plan), then all of the shares underlying the option shall vest at that time; and (ii) of the 92,223 shares underlying the option granted on August 14, 2015, 1/4 vested on August 13, 2016, and 1/48 vest on the thirteenth day of each succeeding calendar month, starting September 13, 2016, provided that if Mr. Londei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IPO, Termination or Change in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the Suria Employment Agreement, the Londei Employment Agreement and the Moyle Employment Agreement, in the event that Mr. Suria, Dr. Londei or Dr. Moyle is terminated without “cause” or resigns for “good reason” (each as defined in the applicable employment agreement), provided that each delivers a signed settlement and general release in favor of us and satisfies all conditions to make such release effective, (i) each will receive continued severance payments for 12 months, nine months and nine months, respectively and (ii) and if each elects continuation coverage under the Consolidated Omnibus Budget Reconciliation Act of 1985, or COBRA, we will pay directly to the insurance provider of our group health plans, the monthly premium for such continuation coverage for each officer and his family, for 12 months, nine months and nine months, respectively, or such earlier date on which coverage with a new employer is obtained.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121" w:lineRule="exact"/>
        <w:rPr>
          <w:sz w:val="20"/>
          <w:szCs w:val="20"/>
          <w:color w:val="auto"/>
        </w:rPr>
      </w:pPr>
    </w:p>
    <w:p>
      <w:pPr>
        <w:ind w:right="60" w:firstLine="456"/>
        <w:spacing w:after="0" w:line="252"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 control, and provided that Mr. Suria delivers a signed settlement and general release in favor of us and satisfies all conditions to make such release effective, (i) Mr. Suria will receive the continued severance payments and COBRA premiums described above for 12 months and (ii) certain of his currently outstanding stock options will vest in full as described in more detail in “—Outstanding Equity Awards at Fiscal Year-End Table” above. In addition, Mr. Suria’s option granted on February 1, 2012, will vest in full upon a change in control, subject to Mr. Suria’s employment on such date.</w:t>
      </w:r>
    </w:p>
    <w:p>
      <w:pPr>
        <w:spacing w:after="0" w:line="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 (i) Dr. Londei will receive the severance payments and COBRA premiums described above for nine months and (ii) each of his currently outstanding stock options will vest in full.</w:t>
      </w:r>
    </w:p>
    <w:p>
      <w:pPr>
        <w:spacing w:after="0" w:line="19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the Moyle Employment Agreement, if we experience a change in control and Dr. Moyle is terminated without “cause” or resigns for “good reason” (each as defined in the employment agreement or applicable option agreement) upon the occurrence of, or within 13 months following, such change in control, and provided that Dr. Moyle has permanently relocated his household to the San Diego area prior to such termination or resignation and delivers a signed settlement and general release in favor of us and satisfies all conditions to make such release effective (i) Dr. Moyle will receive the severance payments and COBRA premiums described above for nine months and (ii) the stock option granted to him pursuant to his employment agreement will vest in full.</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employment agreement contains a “better after-tax” provision, which provides that if any of the payments to Mr. Suria, Dr. Londei, or Dr. Moyle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Equity Incentive Plan</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2006 Equity Incentive Plan was adopted by our board of directors on April 24, 2006 and approved by our stockholders on May 26, 2006, which was later amended by our board of directors on July 11, 2014 and approved by our stockholders on April 29, 2015. Most recently, on April 22, 2016, our board of directors amended and restated our 2006 Equity Incentive Plan to extend the term of the plan by ten years, such that it now expires on April 21, 2026, which was approved by our stockholders on January 13, 2017.</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September 30, 2016, we had reserved 2,695,896 shares of our common stock for issuance under our 2006 Equity Incentive Plan. As of September 30, 2016, options to purchase 362,910 of these shares had been exercised, options to purchase 1,856,750 of these shares remained outstanding and 513,407 of these shares remained available for grant. The options outstanding as of September 30, 2016 had a weighted-average exercise price of $4.13 per share. We have ceased issuing awards under our 2006 Equity Incentive Plan as of the effective date of our 2017 Equity Incentive Plan. The remaining shares available for issuance under the 2006 Equity Plan will be rolled over into the 2017 Equity Incentive Plan. Our 2017 Equity Incentive Plan became effective on the date immediately prior to the date of this prospectus. As a result, we will no longer grant any additional options under the 2006 Equity Incentive Plan.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Equity Incentive Plan</w:t>
      </w:r>
    </w:p>
    <w:p>
      <w:pPr>
        <w:spacing w:after="0" w:line="121"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We have adopted a 2017 Equity Incentive Plan that became effective on the date immediately prior to the date of this prospectus and serves as the successor to our 2006 Equity Incentive Plan. We reserved 1,647,163 shares of our common stock to be issued under our 2017 Equity Incentive Plan. The number of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reserved for issuance under our 2017 Equity Incentive Plan will increase automatically on January 1 of each of 2018 through 2027 by the number of shares equal to 4%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2017 Equity Incentive Plan:</w:t>
      </w:r>
    </w:p>
    <w:p>
      <w:pPr>
        <w:spacing w:after="0" w:line="92" w:lineRule="exact"/>
        <w:rPr>
          <w:sz w:val="20"/>
          <w:szCs w:val="20"/>
          <w:color w:val="auto"/>
        </w:rPr>
      </w:pPr>
    </w:p>
    <w:p>
      <w:pPr>
        <w:ind w:left="660" w:right="340" w:hanging="206"/>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2017 Equity Incentive Plan that cease to be subject to the option or stock appreciation right for any reason other than exercise of the option or stock appreciation right;</w:t>
      </w:r>
    </w:p>
    <w:p>
      <w:pPr>
        <w:spacing w:after="0" w:line="75" w:lineRule="exact"/>
        <w:rPr>
          <w:rFonts w:ascii="Arial" w:cs="Arial" w:eastAsia="Arial" w:hAnsi="Arial"/>
          <w:sz w:val="18"/>
          <w:szCs w:val="18"/>
          <w:color w:val="auto"/>
        </w:rPr>
      </w:pPr>
    </w:p>
    <w:p>
      <w:pPr>
        <w:ind w:left="660" w:right="440" w:hanging="206"/>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subject to awards granted under our 2017 Equity Incentive Plan that are subsequently forfeited or repurchased by us at the original issue price;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subject to awards granted under our 2017 Equity Incentive Plan that otherwise terminate without shares being issued;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or a different award (or combination thereof);</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of common stock reserved but not issued or subject to outstanding grants under our 2006 Equity Incentive Plan on the date of this prospectus will be available for grant and issuance under our 2017 Equity Incentive Plan;</w:t>
      </w:r>
    </w:p>
    <w:p>
      <w:pPr>
        <w:spacing w:after="0" w:line="75" w:lineRule="exact"/>
        <w:rPr>
          <w:rFonts w:ascii="Arial" w:cs="Arial" w:eastAsia="Arial" w:hAnsi="Arial"/>
          <w:sz w:val="18"/>
          <w:szCs w:val="18"/>
          <w:color w:val="auto"/>
        </w:rPr>
      </w:pPr>
    </w:p>
    <w:p>
      <w:pPr>
        <w:jc w:val="both"/>
        <w:ind w:left="660" w:right="220" w:hanging="206"/>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2017 Equity Incentive Plan;</w:t>
      </w:r>
    </w:p>
    <w:p>
      <w:pPr>
        <w:spacing w:after="0" w:line="86"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of common stock issued under our 2006 Equity Incentive Plan that are forfeited or repurchased by us at the original issue price after the date of this prospectus will be available for grant and issuance under our 2017 Equity Incentive Plan; and</w:t>
      </w:r>
    </w:p>
    <w:p>
      <w:pPr>
        <w:spacing w:after="0" w:line="75" w:lineRule="exact"/>
        <w:rPr>
          <w:rFonts w:ascii="Arial" w:cs="Arial" w:eastAsia="Arial" w:hAnsi="Arial"/>
          <w:sz w:val="18"/>
          <w:szCs w:val="18"/>
          <w:color w:val="auto"/>
        </w:rPr>
      </w:pPr>
    </w:p>
    <w:p>
      <w:pPr>
        <w:ind w:left="660" w:right="220" w:hanging="206"/>
        <w:spacing w:after="0" w:line="34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2017 Equity Incentive Plan.</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2017 Equity Incentive Plan authorizes the award of stock options, restricted stock awards, or RSAs, stock appreciation rights, or SARs, restricted stock units, or RSUs, performance awards and stock bonuses. No person is eligible to receive more than 1,000,000 shares in any calendar year under our 2017 Equity Incentive Plan other than a new employee of ours, who will be eligible to receive no more than 2,000,000 shares under the plan in the calendar year in which the employee commences employment. No more than 12,000,000 shares will be issued pursuant to the exercise of incentive stock options.</w:t>
      </w:r>
    </w:p>
    <w:p>
      <w:pPr>
        <w:spacing w:after="0" w:line="154"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Our 2017 Equity Incentive Plan is administered by our compensation committee, all of the members of which are outside directors as defined under applicable federal tax laws, or by our board of directors acting in place of our compensation committee. The compensation committee has the authority to construe and interpret our 2017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5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2017 Equity Incentive Plan provides for the grant of awards to our employees, directors, consultants, independent contractors and advisors, provided the consultants, independent contractors, directors and advisors are natural persons who render services to us. The aggregate number of shares granted to non-employee directors shall not exceed 100,000 shares in a calendar year. The exercise price of stock options must be at least equal to the fair market value of our common stock on the date of grant.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We anticipate that in general, options will vest over a four-year period. Options may vest based on time or achievement of performance conditions. Our compensation committee may provide for options to be exercised only as they vest or to be immediately exercisable with any shares issued on exercise being subject to our right of repurchase that lapses as the shares vest. The maximum term of options granted under our 2017 Equity Incentive Plan is ten years.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 termination of service or failure to achieve the performance conditions. No participant will be eligible to receive more than $5,000,000 in performance awards in any calendar year.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3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In the event there is a specified type of change in our capital structure without our receipt of consideration, such as a stock split, appropriate adjustments will be made to the number of shares reserved under our 2017 Equity Incentive Plan, the maximum number of shares that can be granted in a calendar year and the number of shares and exercise price, if applicable, of all outstanding awards under our 2017 Equity Incentive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Awards granted under our 2017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2017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9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the event of a corporate transaction (as defined in our 2017 Equity Incentive Plan), any and all outstanding awards may be assumed or replaced by the successor corporation. In the alternative, the successor corporation may substitute equivalent awards or provide substantially similar consideration to participants as was provided to stockholders. The successor corporation may also issue, in place of outstanding shares held by the participant, substantially similar shares or other property subject to repurchase restrictions no less favorable to the participant. If the outstanding awards are not assumed, converted, replaced or substituted by the successor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corporation, the awards will expire upon the closing of the corporate transaction in which case our compensation committee will notify the participant that the award will be exercisable for a period of time determined by the committee. Our compensation committee may accelerate the vesting of the awards in connection with the transaction. Awards need not be treated similarly in a corporate transaction. In the event of a corporate transaction, the vesting of all awards granted to non-employee directors shall accelerate and such awards shall become exercisable (as applicable) in full prior to the consummation of the transaction.</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2017 Equity Incentive Plan will terminate ten years from the date our board of directors adopts the plan, unless it is terminated earlier by our board of directors. Our board of directors may amend or terminate our 2017 Equity Incentive Plan at any time. Our board of directors generally may amend our 2017 Equity Incentive Plan, without stockholder approval unless required by applicable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Employee Stock Purchase Plan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adopted a 2017 Employee Stock Purchase Plan that became effective on the date of this prospectus and enables eligible employees to purchase shares of our common stock at a discount beginning on a date determined by our board of directors. Purchases will be accomplished through participation in discrete offering periods. We initially reserved 218,000 shares of our common stock for issuance under our 2017 Employee Stock Purchase Plan. The number of shares reserved for issuance under our 2017 Employee Stock Purchase Plan will increase automatically on January 1st of each of the first ten calendar years following the first offering date by the number of shares equal to the greater of 1% of the total outstanding shares of our common stock as of the immediately preceding December 31 (rounded to the nearest whole share). However, our board of directors or compensation committee may reduce the amount of the increase in any particular year. The aggregate number of shares issued over the term of our 2017 Employee Stock Purchase Plan will not exceed 2,180,000 shares of our common stock. Our 2017 Employee Stock Purchase Plan is intended to qualify as an employee stock purchase plan under Section 423 of the Code.</w:t>
      </w:r>
    </w:p>
    <w:p>
      <w:pPr>
        <w:spacing w:after="0" w:line="19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compensation committee administers our 2017 Employee Stock Purchase Plan. While our employees generally are eligible to participate in our 2017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2017 Employee Stock Purchase Plan, are ineligible to participate in our 2017 Employee Stock Purchase Plan. We may impose additional restrictions on eligibility within the limits permitted by the Code. Under our 2017 Employee Stock Purchase Plan, eligible employees will be able to acquire shares of our common stock by accumulating funds through payroll deductions. Our eligible employees will be able to select a rate of payroll deduction between 1% and 15% of their base cash compensation.</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When an initial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subsequent offering periods. Each offering period will be determined by our compensation committee. An employee’s participation automatically ends upon termination of employment for any reason.</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first offering period will begin on a future date to be designated by our board of directors or compensation committee. Each subsequent offering period will be designated by our compensation committee, but will in no event be longer than 27 months.</w:t>
      </w:r>
    </w:p>
    <w:p>
      <w:pPr>
        <w:spacing w:after="0" w:line="17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 plans that are also in effect in the same calendar years, that has a fair market value of more than $25,000, determined as of the first day of the applicable purchase period, for each calendar year in which that right is outstanding. In addition, no participant will be permitted to purchase more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than 1,500 shares during any one purchase period or such lesser amount determined by our compensation committee. The purchase price for shares of our common stock purchased under our 2017 Employee Stock Purchase Plan will be 85% of the lesser of the fair market value of our common stock on (i) the first trading day of the applicable offering period or (ii) the last trading day of each purchase period in the applicable offering period.</w:t>
      </w:r>
    </w:p>
    <w:p>
      <w:pPr>
        <w:spacing w:after="0" w:line="14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If we experience a corporate transaction (as defined in the 2017 Employee Stock Purchase Plan), each outstanding right to purchase shares under our 2017 Employee Stock Purchase Plan will be assumed or an equivalent option substituted by the successor corporation. In the event that the successor corporation refuses to assume or substitute for the outstanding purchase rights, any offering period that commenced prior to the closing of the proposed corporate transaction will be shortened and terminated on a new purchase date. The new purchase date will occur on or prior to the closing of the corporate transaction and our 2017 Employee Stock Purchase Plan will then terminate on the closing of the corporate transaction.</w:t>
      </w:r>
    </w:p>
    <w:p>
      <w:pPr>
        <w:spacing w:after="0" w:line="158"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We will also have the right to amend or terminate our 2017 Employee Stock Purchase Plan at any time. Our 2016 Employee Stock Purchase Plan will terminate on the tenth anniversary of the last day of the first purchase period, unless it is terminated earlier by our board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1" w:lineRule="exact"/>
        <w:rPr>
          <w:sz w:val="20"/>
          <w:szCs w:val="20"/>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6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2014 to which we were a party or will be a party, in which:</w:t>
      </w:r>
    </w:p>
    <w:p>
      <w:pPr>
        <w:spacing w:after="0" w:line="142" w:lineRule="exact"/>
        <w:rPr>
          <w:sz w:val="20"/>
          <w:szCs w:val="20"/>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660" w:right="380" w:hanging="206"/>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C-1 Preferred Stock Financing</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474,001 shares of our Series C-1 convertible preferred stock at a purchase price of $4.55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Shares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Series C-1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Purchase</w:t>
            </w:r>
          </w:p>
        </w:tc>
        <w:tc>
          <w:tcPr>
            <w:tcW w:w="0" w:type="dxa"/>
            <w:vAlign w:val="bottom"/>
          </w:tcPr>
          <w:p>
            <w:pPr>
              <w:spacing w:after="0"/>
              <w:rPr>
                <w:sz w:val="1"/>
                <w:szCs w:val="1"/>
                <w:color w:val="auto"/>
              </w:rPr>
            </w:pPr>
          </w:p>
        </w:tc>
      </w:tr>
      <w:tr>
        <w:trPr>
          <w:trHeight w:val="178"/>
        </w:trPr>
        <w:tc>
          <w:tcPr>
            <w:tcW w:w="9480" w:type="dxa"/>
            <w:vAlign w:val="bottom"/>
            <w:gridSpan w:val="2"/>
            <w:vMerge w:val="continue"/>
          </w:tcPr>
          <w:p>
            <w:pPr>
              <w:spacing w:after="0"/>
              <w:rPr>
                <w:sz w:val="15"/>
                <w:szCs w:val="15"/>
                <w:color w:val="auto"/>
              </w:rPr>
            </w:pP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6"/>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8180" w:type="dxa"/>
            <w:vAlign w:val="bottom"/>
          </w:tcPr>
          <w:p>
            <w:pPr>
              <w:spacing w:after="0" w:line="189" w:lineRule="exact"/>
              <w:rPr>
                <w:sz w:val="20"/>
                <w:szCs w:val="20"/>
                <w:color w:val="auto"/>
              </w:rPr>
            </w:pPr>
            <w:r>
              <w:rPr>
                <w:rFonts w:ascii="Arial" w:cs="Arial" w:eastAsia="Arial" w:hAnsi="Arial"/>
                <w:sz w:val="18"/>
                <w:szCs w:val="18"/>
                <w:color w:val="auto"/>
              </w:rPr>
              <w:t>with Frazier Healthcare(1)</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195,751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6"/>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195,751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Alloy Ventures 2005, L.P.</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77,320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351,810</w:t>
            </w: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Hamza Suria(3)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74"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 Stock Financing</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July 2015, we sold an aggregate of 5,490,973 shares of our Series D convertible preferred stock at a purchase price of $7.42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Shares of</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Series 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9240" w:type="dxa"/>
            <w:vAlign w:val="bottom"/>
            <w:gridSpan w:val="2"/>
            <w:vMerge w:val="continue"/>
          </w:tcPr>
          <w:p>
            <w:pPr>
              <w:spacing w:after="0"/>
              <w:rPr>
                <w:sz w:val="15"/>
                <w:szCs w:val="15"/>
                <w:color w:val="auto"/>
              </w:rPr>
            </w:pPr>
          </w:p>
        </w:tc>
        <w:tc>
          <w:tcPr>
            <w:tcW w:w="12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c>
          <w:tcPr>
            <w:tcW w:w="7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7940" w:type="dxa"/>
            <w:vAlign w:val="bottom"/>
          </w:tcPr>
          <w:p>
            <w:pPr>
              <w:spacing w:after="0" w:line="189" w:lineRule="exact"/>
              <w:rPr>
                <w:sz w:val="20"/>
                <w:szCs w:val="20"/>
                <w:color w:val="auto"/>
              </w:rPr>
            </w:pPr>
            <w:r>
              <w:rPr>
                <w:rFonts w:ascii="Arial" w:cs="Arial" w:eastAsia="Arial" w:hAnsi="Arial"/>
                <w:sz w:val="18"/>
                <w:szCs w:val="18"/>
                <w:color w:val="auto"/>
              </w:rPr>
              <w:t>with Biotechnology Value Fund, L.P</w:t>
            </w:r>
          </w:p>
        </w:tc>
        <w:tc>
          <w:tcPr>
            <w:tcW w:w="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7"/>
              </w:rPr>
              <w:t>1,010,600</w:t>
            </w:r>
          </w:p>
        </w:tc>
        <w:tc>
          <w:tcPr>
            <w:tcW w:w="4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9"/>
              </w:rPr>
              <w:t>7,503,111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w:t>
            </w:r>
          </w:p>
        </w:tc>
        <w:tc>
          <w:tcPr>
            <w:tcW w:w="800" w:type="dxa"/>
            <w:vAlign w:val="bottom"/>
          </w:tcPr>
          <w:p>
            <w:pPr>
              <w:jc w:val="right"/>
              <w:spacing w:after="0"/>
              <w:rPr>
                <w:sz w:val="20"/>
                <w:szCs w:val="20"/>
                <w:color w:val="auto"/>
              </w:rPr>
            </w:pPr>
            <w:r>
              <w:rPr>
                <w:rFonts w:ascii="Arial" w:cs="Arial" w:eastAsia="Arial" w:hAnsi="Arial"/>
                <w:sz w:val="18"/>
                <w:szCs w:val="18"/>
                <w:color w:val="auto"/>
              </w:rPr>
              <w:t>942,835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6,999,999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Healthcare(1)</w:t>
            </w:r>
          </w:p>
        </w:tc>
        <w:tc>
          <w:tcPr>
            <w:tcW w:w="800" w:type="dxa"/>
            <w:vAlign w:val="bottom"/>
          </w:tcPr>
          <w:p>
            <w:pPr>
              <w:jc w:val="right"/>
              <w:spacing w:after="0"/>
              <w:rPr>
                <w:sz w:val="20"/>
                <w:szCs w:val="20"/>
                <w:color w:val="auto"/>
              </w:rPr>
            </w:pPr>
            <w:r>
              <w:rPr>
                <w:rFonts w:ascii="Arial" w:cs="Arial" w:eastAsia="Arial" w:hAnsi="Arial"/>
                <w:sz w:val="18"/>
                <w:szCs w:val="18"/>
                <w:color w:val="auto"/>
              </w:rPr>
              <w:t>942,835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6,999,999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800" w:type="dxa"/>
            <w:vAlign w:val="bottom"/>
          </w:tcPr>
          <w:p>
            <w:pPr>
              <w:jc w:val="right"/>
              <w:spacing w:after="0"/>
              <w:rPr>
                <w:sz w:val="20"/>
                <w:szCs w:val="20"/>
                <w:color w:val="auto"/>
              </w:rPr>
            </w:pPr>
            <w:r>
              <w:rPr>
                <w:rFonts w:ascii="Arial" w:cs="Arial" w:eastAsia="Arial" w:hAnsi="Arial"/>
                <w:sz w:val="18"/>
                <w:szCs w:val="18"/>
                <w:color w:val="auto"/>
              </w:rPr>
              <w:t>673,454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5,000,000</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Nicholas B. Lydon, Ph.D., FRS(3)</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67,345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Carol G. Gallagher, Pharm.D.(4)</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21,439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159,174</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Robert E. Hoffman(5)</w:t>
            </w:r>
          </w:p>
        </w:tc>
        <w:tc>
          <w:tcPr>
            <w:tcW w:w="800" w:type="dxa"/>
            <w:vAlign w:val="bottom"/>
          </w:tcPr>
          <w:p>
            <w:pPr>
              <w:jc w:val="right"/>
              <w:spacing w:after="0"/>
              <w:rPr>
                <w:sz w:val="20"/>
                <w:szCs w:val="20"/>
                <w:color w:val="auto"/>
              </w:rPr>
            </w:pPr>
            <w:r>
              <w:rPr>
                <w:rFonts w:ascii="Arial" w:cs="Arial" w:eastAsia="Arial" w:hAnsi="Arial"/>
                <w:sz w:val="18"/>
                <w:szCs w:val="18"/>
                <w:color w:val="auto"/>
              </w:rPr>
              <w:t>6,734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Hamza Suria(6)</w:t>
            </w: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Marco Londei, M.D.(7)</w:t>
            </w: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14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Hoffman is our former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Londei is our Chief Medical Officer.</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this Offering</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Certain of our existing stockholders and their affiliated entities, including stockholders affiliated with certain of our directors, have agreed to purchase an aggregate of 1,946,666 shares of our common stock in this offering at the initial public offering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restated bylaws also require us to advance expenses incurred by our directors and officers. For more information regarding these agreements, see “Executive Compensation—Limitations on Liability and Indemnification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adopt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December 31, 2016, and as adjusted to reflect the sale of common stock in this offering, for:</w:t>
      </w:r>
    </w:p>
    <w:p>
      <w:pPr>
        <w:spacing w:after="0" w:line="76" w:lineRule="exact"/>
        <w:rPr>
          <w:sz w:val="20"/>
          <w:szCs w:val="20"/>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Applicable percentage ownership is based on 14,171,984 shares of common stock outstanding as of December 31, 2016 and assumes the automatic conversion of all outstanding shares of our convertible preferred stock into 11,520,698 shares of common stock as of immediately prior to the closing of this offering. The applicable percentage ownership after this offering includes 5,000,000 shares of common stock that will be issued by us in our initial public offering (assuming no exercise of the underwriters’ option to purchase additional shares).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December 31, 2016.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of our existing stockholders and their affiliated entities, including stockholders affiliated with certain of our directors, have agreed to purchase an aggregate of 1,946,666 shares of our common stock in this offering at the initial public offering price. The information set forth in the table below does not reflect the purchases by these stockholders, which purchases will increase the percentage of shares owned after the offering of such stockholders from that set forth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Beneficial Ownership</w:t>
            </w:r>
          </w:p>
        </w:tc>
        <w:tc>
          <w:tcPr>
            <w:tcW w:w="1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1"/>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40" w:type="dxa"/>
            <w:vAlign w:val="bottom"/>
          </w:tcPr>
          <w:p>
            <w:pPr>
              <w:spacing w:after="0"/>
              <w:rPr>
                <w:sz w:val="14"/>
                <w:szCs w:val="14"/>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Prior to this Offering</w:t>
            </w:r>
          </w:p>
        </w:tc>
        <w:tc>
          <w:tcPr>
            <w:tcW w:w="18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49"/>
        </w:trPr>
        <w:tc>
          <w:tcPr>
            <w:tcW w:w="510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i w:val="1"/>
                <w:iCs w:val="1"/>
                <w:color w:val="auto"/>
              </w:rPr>
              <w:t>5% Stockholders</w:t>
            </w:r>
            <w:r>
              <w:rPr>
                <w:rFonts w:ascii="Arial" w:cs="Arial" w:eastAsia="Arial" w:hAnsi="Arial"/>
                <w:sz w:val="18"/>
                <w:szCs w:val="18"/>
                <w:i w:val="1"/>
                <w:iCs w:val="1"/>
                <w:color w:val="auto"/>
              </w:rPr>
              <w:t>:</w:t>
            </w:r>
          </w:p>
        </w:tc>
        <w:tc>
          <w:tcPr>
            <w:tcW w:w="34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Healthcare(1)</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3,288,447</w:t>
            </w:r>
          </w:p>
        </w:tc>
        <w:tc>
          <w:tcPr>
            <w:tcW w:w="4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23.0%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3,288,447</w:t>
            </w: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3,019,066</w:t>
            </w:r>
          </w:p>
        </w:tc>
        <w:tc>
          <w:tcPr>
            <w:tcW w:w="4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21.1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3,019,066</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Avalon Ventures VII, L.P.(3)</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2,154,415</w:t>
            </w:r>
          </w:p>
        </w:tc>
        <w:tc>
          <w:tcPr>
            <w:tcW w:w="4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15.1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2,154,415</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Alloy Ventures 2005, L.P.(4)</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1,282,485</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1,282,485</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L.P.(5)</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1,010,600</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1,010,600</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Ltd.(6)</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942,835</w:t>
            </w: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942,835</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r>
              <w:rPr>
                <w:rFonts w:ascii="Arial" w:cs="Arial" w:eastAsia="Arial" w:hAnsi="Arial"/>
                <w:sz w:val="18"/>
                <w:szCs w:val="18"/>
                <w:i w:val="1"/>
                <w:iCs w:val="1"/>
                <w:color w:val="auto"/>
              </w:rPr>
              <w:t>:</w:t>
            </w:r>
          </w:p>
        </w:tc>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Hamza Suria(7)</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518,008</w:t>
            </w: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518,008</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Marco Londei, M.D.(8)</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197,568</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197,568</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Matthew Moyle Ph.D.</w:t>
            </w:r>
          </w:p>
        </w:tc>
        <w:tc>
          <w:tcPr>
            <w:tcW w:w="22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Tiba Aynechi, Ph.D.</w:t>
            </w:r>
          </w:p>
        </w:tc>
        <w:tc>
          <w:tcPr>
            <w:tcW w:w="22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Carol G. Gallagher, Pharm.D.(9)</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162,018</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162,018</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Nicholas B. Lydon, Ph.D., FRS(10)</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318,452</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318,452</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Hollings Renton(11)</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51,156</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51,156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John Schmid(12)</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James A. Schoeneck(13)</w:t>
            </w:r>
          </w:p>
        </w:tc>
        <w:tc>
          <w:tcPr>
            <w:tcW w:w="3440" w:type="dxa"/>
            <w:vAlign w:val="bottom"/>
            <w:gridSpan w:val="3"/>
          </w:tcPr>
          <w:p>
            <w:pPr>
              <w:jc w:val="right"/>
              <w:ind w:right="42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James N. Topper, M.D., Ph.D.(1)</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3,288,447</w:t>
            </w:r>
          </w:p>
        </w:tc>
        <w:tc>
          <w:tcPr>
            <w:tcW w:w="4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23.0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3,288,447</w:t>
            </w:r>
          </w:p>
        </w:tc>
        <w:tc>
          <w:tcPr>
            <w:tcW w:w="4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(ten persons)(14)</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4,620,323</w:t>
            </w:r>
          </w:p>
        </w:tc>
        <w:tc>
          <w:tcPr>
            <w:tcW w:w="42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30.2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4,620,323</w:t>
            </w:r>
          </w:p>
        </w:tc>
        <w:tc>
          <w:tcPr>
            <w:tcW w:w="42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40" w:type="dxa"/>
            <w:vAlign w:val="bottom"/>
          </w:tcPr>
          <w:p>
            <w:pPr>
              <w:jc w:val="right"/>
              <w:ind w:right="1410"/>
              <w:spacing w:after="0"/>
              <w:rPr>
                <w:sz w:val="20"/>
                <w:szCs w:val="20"/>
                <w:color w:val="auto"/>
              </w:rPr>
            </w:pPr>
            <w:r>
              <w:rPr>
                <w:rFonts w:ascii="Arial" w:cs="Arial" w:eastAsia="Arial" w:hAnsi="Arial"/>
                <w:sz w:val="18"/>
                <w:szCs w:val="18"/>
                <w:color w:val="auto"/>
              </w:rPr>
              <w:t>149</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865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Consists of (a) 2,228,377 shares of common stock following conversion of convertible preferred stock held directly by Frazier Healthcare V, L.P.,</w:t>
      </w:r>
    </w:p>
    <w:p>
      <w:pPr>
        <w:spacing w:after="0" w:line="20" w:lineRule="exact"/>
        <w:rPr>
          <w:rFonts w:ascii="Arial" w:cs="Arial" w:eastAsia="Arial" w:hAnsi="Arial"/>
          <w:sz w:val="17"/>
          <w:szCs w:val="17"/>
          <w:color w:val="auto"/>
        </w:rPr>
      </w:pPr>
    </w:p>
    <w:p>
      <w:pPr>
        <w:ind w:left="700" w:hanging="246"/>
        <w:spacing w:after="0"/>
        <w:tabs>
          <w:tab w:leader="none" w:pos="7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733,740 shares of common stock following conversion of convertible preferred stock held directly by Frazier Healthcare VII, L.P., (c) 209,095</w:t>
      </w:r>
    </w:p>
    <w:p>
      <w:pPr>
        <w:spacing w:after="0" w:line="20" w:lineRule="exact"/>
        <w:rPr>
          <w:rFonts w:ascii="Arial" w:cs="Arial" w:eastAsia="Arial" w:hAnsi="Arial"/>
          <w:sz w:val="17"/>
          <w:szCs w:val="17"/>
          <w:color w:val="auto"/>
        </w:rPr>
      </w:pPr>
    </w:p>
    <w:p>
      <w:pPr>
        <w:ind w:left="460" w:right="40"/>
        <w:spacing w:after="0" w:line="250" w:lineRule="auto"/>
        <w:rPr>
          <w:rFonts w:ascii="Arial" w:cs="Arial" w:eastAsia="Arial" w:hAnsi="Arial"/>
          <w:sz w:val="17"/>
          <w:szCs w:val="17"/>
          <w:color w:val="auto"/>
        </w:rPr>
      </w:pPr>
      <w:r>
        <w:rPr>
          <w:rFonts w:ascii="Arial" w:cs="Arial" w:eastAsia="Arial" w:hAnsi="Arial"/>
          <w:sz w:val="18"/>
          <w:szCs w:val="18"/>
          <w:color w:val="auto"/>
        </w:rPr>
        <w:t>shares of common stock following conversion of convertible preferred stock held directly by Frazier Healthcare VII-A, L.P. and (d) 117,235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3" w:lineRule="exact"/>
        <w:rPr>
          <w:rFonts w:ascii="Arial" w:cs="Arial" w:eastAsia="Arial" w:hAnsi="Arial"/>
          <w:sz w:val="17"/>
          <w:szCs w:val="17"/>
          <w:color w:val="auto"/>
        </w:rPr>
      </w:pPr>
    </w:p>
    <w:p>
      <w:pPr>
        <w:ind w:left="460" w:right="100" w:hanging="452"/>
        <w:spacing w:after="0" w:line="265"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Consists of (a) 2,901,831 shares of common stock following conversion of convertible preferred stock held directly by Novo A/S and (b) 117,235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2,036,932 shares of common stock held directly by Avalon Ventures VII, L.P. and (b) 117,483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jc w:val="both"/>
        <w:ind w:left="460" w:right="38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1,282,485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(a) 492,743 shares of common stock following conversion of convertible preferred stock held directly by Biotechnology Value Fund, L.P.,</w:t>
      </w:r>
    </w:p>
    <w:p>
      <w:pPr>
        <w:spacing w:after="0" w:line="32" w:lineRule="exact"/>
        <w:rPr>
          <w:rFonts w:ascii="Arial" w:cs="Arial" w:eastAsia="Arial" w:hAnsi="Arial"/>
          <w:sz w:val="16"/>
          <w:szCs w:val="16"/>
          <w:color w:val="auto"/>
        </w:rPr>
      </w:pPr>
    </w:p>
    <w:p>
      <w:pPr>
        <w:jc w:val="both"/>
        <w:ind w:left="460" w:right="40" w:hanging="6"/>
        <w:spacing w:after="0" w:line="250" w:lineRule="auto"/>
        <w:tabs>
          <w:tab w:leader="none" w:pos="715" w:val="left"/>
        </w:tabs>
        <w:numPr>
          <w:ilvl w:val="1"/>
          <w:numId w:val="94"/>
        </w:numPr>
        <w:rPr>
          <w:rFonts w:ascii="Arial" w:cs="Arial" w:eastAsia="Arial" w:hAnsi="Arial"/>
          <w:sz w:val="18"/>
          <w:szCs w:val="18"/>
          <w:color w:val="auto"/>
        </w:rPr>
      </w:pPr>
      <w:r>
        <w:rPr>
          <w:rFonts w:ascii="Arial" w:cs="Arial" w:eastAsia="Arial" w:hAnsi="Arial"/>
          <w:sz w:val="18"/>
          <w:szCs w:val="18"/>
          <w:color w:val="auto"/>
        </w:rPr>
        <w:t>282,000 shares of common stock following conversion of convertible preferred stock held directly by Biotechnology Value Fund II, L.P., (c) 91,000 shares of common stock following conversion of convertible preferred stock held directly by Investment 10, L.L.C. and (d) 144,857 shares of common stock following conversion of convertible preferred stock held directly by MSI BVF SPV, L.L.C.</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Represents 942,835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ind w:left="460" w:right="12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4,998 shares of common stock following conversion of convertible preferred stock held directly by Mr. Suria and (b) 513,010 shares of common stock issuable to Mr. Suria upon the exercise of stock options that are exercisable within 60 days of December 31, 2016, of which 118,241 shares were unvested but were early exercisable, as of 60 days after December 31, 2016.</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2,020 shares of common stock following conversion of convertible preferred stock held directly by Dr. Londei and (b) 195,548 shares of common stock issuable to Dr. Londei upon the exercise of stock options that are exercisable within 60 days of December 31, 2016, of which 67,069 shares were unvested but were early exercisable, as of 60 days after December 31, 2016.</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74"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Consists of (a) 64,296 shares of common stock following conversion of convertible preferred stock held directly by Dr. Gallagher and (b) 97,722 shares of common stock issuable to Dr. Gallagher upon the exercise of stock options that are exercisable within 60 days of December 31, 2016.</w:t>
      </w:r>
    </w:p>
    <w:p>
      <w:pPr>
        <w:ind w:left="460" w:right="180" w:hanging="452"/>
        <w:spacing w:after="0" w:line="281"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Consists of (a) 67,332 shares of common stock held directly by Dr. Lydon, (b) 203,625 shares of common stock following conversion of convertible preferred stock held directly by Dr. Lydon, (c) 16,483 shares of common stock issuable upon the exercise of a warrant held directly by Dr. Lydon and</w:t>
      </w:r>
    </w:p>
    <w:p>
      <w:pPr>
        <w:spacing w:after="0" w:line="1" w:lineRule="exact"/>
        <w:rPr>
          <w:rFonts w:ascii="Arial" w:cs="Arial" w:eastAsia="Arial" w:hAnsi="Arial"/>
          <w:sz w:val="16"/>
          <w:szCs w:val="16"/>
          <w:color w:val="auto"/>
        </w:rPr>
      </w:pPr>
    </w:p>
    <w:p>
      <w:pPr>
        <w:ind w:left="460" w:right="60" w:hanging="6"/>
        <w:spacing w:after="0" w:line="250" w:lineRule="auto"/>
        <w:tabs>
          <w:tab w:leader="none" w:pos="715" w:val="left"/>
        </w:tabs>
        <w:numPr>
          <w:ilvl w:val="1"/>
          <w:numId w:val="95"/>
        </w:numPr>
        <w:rPr>
          <w:rFonts w:ascii="Arial" w:cs="Arial" w:eastAsia="Arial" w:hAnsi="Arial"/>
          <w:sz w:val="18"/>
          <w:szCs w:val="18"/>
          <w:color w:val="auto"/>
        </w:rPr>
      </w:pPr>
      <w:r>
        <w:rPr>
          <w:rFonts w:ascii="Arial" w:cs="Arial" w:eastAsia="Arial" w:hAnsi="Arial"/>
          <w:sz w:val="18"/>
          <w:szCs w:val="18"/>
          <w:color w:val="auto"/>
        </w:rPr>
        <w:t>31,012 shares of common stock issuable to Dr. Lydon upon the exercise of stock options that are exercisable within 60 days of December 31, 2016, of which 7,113 shares were unvested but were early exercisable, as of 60 days after December 31, 2016.</w:t>
      </w:r>
    </w:p>
    <w:p>
      <w:pPr>
        <w:ind w:left="460" w:right="120" w:hanging="452"/>
        <w:spacing w:after="0" w:line="250"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51,156 shares of common stock issuable to Mr. Renton upon the exercise of stock options that are exercisable within 60 days of December 31, 2016, of which 23,020 shares were unvested but were early exercisable, as of 60 days after December 31, 2016.</w:t>
      </w:r>
    </w:p>
    <w:p>
      <w:pPr>
        <w:ind w:left="460" w:right="80" w:hanging="452"/>
        <w:spacing w:after="0" w:line="250"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42,337 shares of common stock issuable to Mr. Schmid upon the exercise of stock options that are exercisable within 60 days of December 31, 2016, of which 21,684 shares were unvested but were early exercisable, as of 60 days after December 31, 2016.</w:t>
      </w:r>
    </w:p>
    <w:p>
      <w:pPr>
        <w:ind w:left="460" w:right="640" w:hanging="452"/>
        <w:spacing w:after="0" w:line="265"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Represents 42,337 shares of common stock issuable to Mr. Schoeneck upon the exercise of stock options that are exercisable within 60 days of December 31, 2016, of which 24,697 shares were unvested but were early exercisable, as of 60 days after December 31, 2016.</w:t>
      </w:r>
    </w:p>
    <w:p>
      <w:pPr>
        <w:jc w:val="both"/>
        <w:ind w:left="460" w:right="300" w:hanging="452"/>
        <w:spacing w:after="0" w:line="281"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Includes shares beneficially owned by our executive officers and directors. Consists of (a) 67,332 shares of common stock, (b) 3,446,151 shares of common stock following conversion of convertible preferred stock, (c) 133,718 shares of common stock issuable upon the exercise of warrants and</w:t>
      </w:r>
    </w:p>
    <w:p>
      <w:pPr>
        <w:spacing w:after="0" w:line="1" w:lineRule="exact"/>
        <w:rPr>
          <w:rFonts w:ascii="Arial" w:cs="Arial" w:eastAsia="Arial" w:hAnsi="Arial"/>
          <w:sz w:val="16"/>
          <w:szCs w:val="16"/>
          <w:color w:val="auto"/>
        </w:rPr>
      </w:pPr>
    </w:p>
    <w:p>
      <w:pPr>
        <w:ind w:left="460" w:right="260" w:hanging="6"/>
        <w:spacing w:after="0" w:line="261" w:lineRule="auto"/>
        <w:tabs>
          <w:tab w:leader="none" w:pos="715" w:val="left"/>
        </w:tabs>
        <w:numPr>
          <w:ilvl w:val="1"/>
          <w:numId w:val="95"/>
        </w:numPr>
        <w:rPr>
          <w:rFonts w:ascii="Arial" w:cs="Arial" w:eastAsia="Arial" w:hAnsi="Arial"/>
          <w:sz w:val="18"/>
          <w:szCs w:val="18"/>
          <w:color w:val="auto"/>
        </w:rPr>
      </w:pPr>
      <w:r>
        <w:rPr>
          <w:rFonts w:ascii="Arial" w:cs="Arial" w:eastAsia="Arial" w:hAnsi="Arial"/>
          <w:sz w:val="18"/>
          <w:szCs w:val="18"/>
          <w:color w:val="auto"/>
        </w:rPr>
        <w:t>973,122 shares of common stock issuable upon the exercise of stock options that are exercisable within 60 days of December 31, 2016, of which 261,824 shares were unvested but early exercisable, as of 60 days after December 31, 2016.</w:t>
      </w:r>
    </w:p>
    <w:p>
      <w:pPr>
        <w:spacing w:after="0" w:line="18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above table does not include Dominic G. Piscitelli, who commenced his employment with us as our Chief Financial Officer in January 2017. In connection with his employment, Mr. Piscitelli was granted an option to purchase 170,241 shares of our common stock, none of which are exercisable within 60 days of December 31,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the closing of this offering, our authorized capital stock will consist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September 30, 2016, there were 14,159,333 shares of our common stock issued, held by approximately 78 stockholders of record, and no shares of our preferred stock outstanding. Our board of directors is authorized, without stockholder approval, to issue additional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 we had outstanding the following warrants to purchase shares of our capital stock: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Total Number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2"/>
                <w:szCs w:val="12"/>
                <w:color w:val="auto"/>
              </w:rPr>
            </w:pPr>
          </w:p>
        </w:tc>
        <w:tc>
          <w:tcPr>
            <w:tcW w:w="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Per</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78"/>
        </w:trPr>
        <w:tc>
          <w:tcPr>
            <w:tcW w:w="7840" w:type="dxa"/>
            <w:vAlign w:val="bottom"/>
            <w:gridSpan w:val="2"/>
            <w:vMerge w:val="continue"/>
          </w:tcPr>
          <w:p>
            <w:pPr>
              <w:spacing w:after="0"/>
              <w:rPr>
                <w:sz w:val="15"/>
                <w:szCs w:val="15"/>
                <w:color w:val="auto"/>
              </w:rPr>
            </w:pPr>
          </w:p>
        </w:tc>
        <w:tc>
          <w:tcPr>
            <w:tcW w:w="13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5"/>
              </w:rPr>
              <w:t>Warrants</w:t>
            </w:r>
          </w:p>
        </w:tc>
        <w:tc>
          <w:tcPr>
            <w:tcW w:w="96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Common Stock</w:t>
            </w:r>
          </w:p>
        </w:tc>
        <w:tc>
          <w:tcPr>
            <w:tcW w:w="6500" w:type="dxa"/>
            <w:vAlign w:val="bottom"/>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117,483</w:t>
            </w: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4.55</w:t>
            </w:r>
          </w:p>
        </w:tc>
        <w:tc>
          <w:tcPr>
            <w:tcW w:w="440" w:type="dxa"/>
            <w:vAlign w:val="bottom"/>
          </w:tcPr>
          <w:p>
            <w:pPr>
              <w:spacing w:after="0"/>
              <w:rPr>
                <w:sz w:val="16"/>
                <w:szCs w:val="16"/>
                <w:color w:val="auto"/>
              </w:rPr>
            </w:pPr>
          </w:p>
        </w:tc>
        <w:tc>
          <w:tcPr>
            <w:tcW w:w="12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3"/>
              </w:rPr>
              <w:t>November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860" w:type="dxa"/>
            <w:vAlign w:val="bottom"/>
          </w:tcPr>
          <w:p>
            <w:pPr>
              <w:jc w:val="right"/>
              <w:spacing w:after="0"/>
              <w:rPr>
                <w:sz w:val="20"/>
                <w:szCs w:val="20"/>
                <w:color w:val="auto"/>
              </w:rPr>
            </w:pPr>
            <w:r>
              <w:rPr>
                <w:rFonts w:ascii="Arial" w:cs="Arial" w:eastAsia="Arial" w:hAnsi="Arial"/>
                <w:sz w:val="18"/>
                <w:szCs w:val="18"/>
                <w:color w:val="auto"/>
              </w:rPr>
              <w:t>253,571</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4.55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November 2018</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41,208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4.55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December 2024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Subsequent to September 30, 2016, we issued warrants to purchase 82,416 shares of our Series C convertible preferred stock with an exercise price of $4.55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September 30, 2016, we had outstanding options to purchase an aggregate 1,856,750 shares of our common stock, with a weighted-average exercise price of $4.13. Subsequent to September 30, 2016, we granted stock options to purchase 221,953 shares of common stock, with a weighted-average exercise price of $11.31 per share.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immediately following this offering, the holders of 11,932,960 shares of our common stock will be entitled to rights with respect to the registration of these shares under the Securities Act, as described below. We refer to these shares collectively as registrable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S-3 Registration Rights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Registration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Registration Rights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660" w:right="520" w:hanging="206"/>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660" w:right="40" w:hanging="206"/>
        <w:spacing w:after="0" w:line="302"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59" w:lineRule="exact"/>
        <w:rPr>
          <w:rFonts w:ascii="Arial" w:cs="Arial" w:eastAsia="Arial" w:hAnsi="Arial"/>
          <w:sz w:val="16"/>
          <w:szCs w:val="16"/>
          <w:color w:val="auto"/>
        </w:rPr>
      </w:pPr>
    </w:p>
    <w:p>
      <w:pPr>
        <w:ind w:left="660" w:hanging="206"/>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Restated Certificate of Incorporation and Restated Bylaw Provisions</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52" w:lineRule="exact"/>
        <w:rPr>
          <w:sz w:val="20"/>
          <w:szCs w:val="20"/>
          <w:color w:val="auto"/>
        </w:rPr>
      </w:pPr>
    </w:p>
    <w:p>
      <w:pPr>
        <w:ind w:left="660" w:right="140" w:hanging="206"/>
        <w:spacing w:after="0" w:line="276"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jc w:val="both"/>
        <w:ind w:left="660" w:right="20" w:hanging="206"/>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is classified into three classes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 Board Composition.”</w:t>
      </w:r>
    </w:p>
    <w:p>
      <w:pPr>
        <w:spacing w:after="0" w:line="92"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restated certificate of incorporation will provide that our stockholders may not take</w:t>
      </w:r>
      <w:r>
        <w:rPr>
          <w:rFonts w:ascii="Arial" w:cs="Arial" w:eastAsia="Arial" w:hAnsi="Arial"/>
          <w:sz w:val="18"/>
          <w:szCs w:val="18"/>
          <w:i w:val="1"/>
          <w:iCs w:val="1"/>
          <w:color w:val="auto"/>
        </w:rPr>
        <w:t xml:space="preserve"> </w:t>
      </w:r>
      <w:r>
        <w:rPr>
          <w:rFonts w:ascii="Arial" w:cs="Arial" w:eastAsia="Arial" w:hAnsi="Arial"/>
          <w:sz w:val="18"/>
          <w:szCs w:val="18"/>
          <w:color w:val="auto"/>
        </w:rPr>
        <w:t>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will provide that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260"/>
        <w:spacing w:after="0" w:line="259" w:lineRule="auto"/>
        <w:rPr>
          <w:sz w:val="20"/>
          <w:szCs w:val="20"/>
          <w:color w:val="auto"/>
        </w:rPr>
      </w:pPr>
      <w:r>
        <w:rPr>
          <w:rFonts w:ascii="Arial" w:cs="Arial" w:eastAsia="Arial" w:hAnsi="Arial"/>
          <w:sz w:val="18"/>
          <w:szCs w:val="18"/>
          <w:color w:val="auto"/>
        </w:rPr>
        <w:t>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2" w:lineRule="exact"/>
        <w:rPr>
          <w:sz w:val="20"/>
          <w:szCs w:val="20"/>
          <w:color w:val="auto"/>
        </w:rPr>
      </w:pPr>
    </w:p>
    <w:p>
      <w:pPr>
        <w:ind w:left="660" w:right="40" w:hanging="206"/>
        <w:spacing w:after="0" w:line="255"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jc w:val="both"/>
        <w:ind w:left="660" w:right="440" w:hanging="206"/>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will not provide for cumulative voting.</w:t>
      </w:r>
    </w:p>
    <w:p>
      <w:pPr>
        <w:spacing w:after="0" w:line="86"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660" w:right="480" w:hanging="206"/>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660" w:right="40" w:hanging="206"/>
        <w:spacing w:after="0" w:line="279"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660" w:right="160" w:hanging="206"/>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the Court of Chancery of the State of Delaware will be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common stock will be American Stock Transfer and Trust Company, LLC. The transfer agent’s address is 6201 15th Avenue, Brooklyn, New York 11219, and its telephone number is (800) 937-5449.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“ANAB.”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the closing of this offering, we will have a total of 19,159,333 shares of our common stock outstanding, based on the 14,159,333 shares of our capital stock outstanding as of September 30, 2016, assuming the automatic conversion of all outstanding shares of our convertible preferred stock into 11,520,698 shares of common stock as of immediately prior to the closing of this offering. Of these outstanding shares, all of the 5,000,000 shares of common stock sold in this offering will be freely tradable, except that any shares purchased in this offering by our affiliates, as that term is defined in Rule 144 under the Securities Act, could only be sold in compliance with Rule 144.</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 701, 19,159,333 shares will be available for sale in the public market as follows:</w:t>
      </w:r>
    </w:p>
    <w:p>
      <w:pPr>
        <w:spacing w:after="0" w:line="83"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Beginning on the date of this prospectus, all of the shares sold in this offering will be immediately available for sale in the public market; and</w:t>
      </w:r>
    </w:p>
    <w:p>
      <w:pPr>
        <w:spacing w:after="0" w:line="142" w:lineRule="exact"/>
        <w:rPr>
          <w:rFonts w:ascii="Arial" w:cs="Arial" w:eastAsia="Arial" w:hAnsi="Arial"/>
          <w:sz w:val="17"/>
          <w:szCs w:val="17"/>
          <w:color w:val="auto"/>
        </w:rPr>
      </w:pPr>
    </w:p>
    <w:p>
      <w:pPr>
        <w:ind w:left="660" w:right="520" w:hanging="206"/>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14,159,133 additional shares will become eligible for sale in the public market, of which 11,688,156 shares will be held by affiliates and subject to the volume and other restrictions of Rule 144, as described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Credit Suisse Securities (USA) LLC and Stifel, Nicolaus &amp; Company, Incorporated. See “Underwriting.”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29" w:lineRule="exact"/>
        <w:rPr>
          <w:sz w:val="20"/>
          <w:szCs w:val="20"/>
          <w:color w:val="auto"/>
        </w:rPr>
      </w:pPr>
    </w:p>
    <w:p>
      <w:pPr>
        <w:ind w:left="660" w:right="140" w:hanging="20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shares 191,593 immediately after this offering; or</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1,856,750 shares of our common stock that were subject to stock options outstanding as of September 30, 2016, options to purchase 868,017 shares of common stock were vested as of September 30, 2016. Shares of our common stock underlying outstanding options will not be eligible for sale until expiration of the 180 day lock-up and market standoff agreements to which they are subject. See the section titled “Executive Compensation—Employee Benefit and Stock Plans” for a description of our equity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660" w:right="480" w:hanging="206"/>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tax purposes (or investors in such entities);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153" w:lineRule="exact"/>
        <w:rPr>
          <w:rFonts w:ascii="Arial" w:cs="Arial" w:eastAsia="Arial" w:hAnsi="Arial"/>
          <w:sz w:val="16"/>
          <w:szCs w:val="16"/>
          <w:color w:val="auto"/>
        </w:rPr>
      </w:pPr>
    </w:p>
    <w:p>
      <w:pPr>
        <w:ind w:left="660" w:right="160" w:hanging="206"/>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9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jc w:val="both"/>
        <w:ind w:left="660" w:right="120" w:hanging="206"/>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86"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rules of the Foreign Investment in Real Property Tax Act, or FIRPTA, treat the gain as effectively connected with a U.S. trade or business.</w:t>
      </w:r>
    </w:p>
    <w:p>
      <w:pPr>
        <w:spacing w:after="0" w:line="23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660" w:right="140" w:hanging="206"/>
        <w:spacing w:after="0" w:line="30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withholding provisions described above generally will apply to proceeds from a sale or other disposition of common stock if such sale or other disposition occurs on or after January 1, 2019 and currently apply to payments of dividends on our common stock.</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and the underwriters named below have entered into an underwriting agreement, dated January 25, 2017, with respect to the shares being offered. Subject to certain conditions, each underwriter has severally agreed to purchase the number of shares indicated in the following table. Credit Suisse Securities (USA) LLC and Stifel, Nicolaus &amp; Company, Incorporated, are the representatives of the underwriters.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Underwriters</w:t>
            </w:r>
          </w:p>
        </w:tc>
        <w:tc>
          <w:tcPr>
            <w:tcW w:w="93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Number of Shares</w:t>
            </w:r>
          </w:p>
        </w:tc>
      </w:tr>
      <w:tr>
        <w:trPr>
          <w:trHeight w:val="189"/>
        </w:trPr>
        <w:tc>
          <w:tcPr>
            <w:tcW w:w="10200" w:type="dxa"/>
            <w:vAlign w:val="bottom"/>
            <w:gridSpan w:val="2"/>
          </w:tcPr>
          <w:p>
            <w:pPr>
              <w:spacing w:after="0" w:line="189" w:lineRule="exact"/>
              <w:rPr>
                <w:sz w:val="20"/>
                <w:szCs w:val="20"/>
                <w:color w:val="auto"/>
              </w:rPr>
            </w:pPr>
            <w:r>
              <w:rPr>
                <w:rFonts w:ascii="Arial" w:cs="Arial" w:eastAsia="Arial" w:hAnsi="Arial"/>
                <w:sz w:val="18"/>
                <w:szCs w:val="18"/>
                <w:color w:val="auto"/>
              </w:rPr>
              <w:t>Credit Suisse Securities (USA) LLC</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2,250,000</w:t>
            </w: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120" w:type="dxa"/>
            <w:vAlign w:val="bottom"/>
          </w:tcPr>
          <w:p>
            <w:pPr>
              <w:jc w:val="right"/>
              <w:spacing w:after="0"/>
              <w:rPr>
                <w:sz w:val="20"/>
                <w:szCs w:val="20"/>
                <w:color w:val="auto"/>
              </w:rPr>
            </w:pPr>
            <w:r>
              <w:rPr>
                <w:rFonts w:ascii="Arial" w:cs="Arial" w:eastAsia="Arial" w:hAnsi="Arial"/>
                <w:sz w:val="18"/>
                <w:szCs w:val="18"/>
                <w:color w:val="auto"/>
              </w:rPr>
              <w:t>1,750,000</w:t>
            </w:r>
          </w:p>
        </w:tc>
      </w:tr>
      <w:tr>
        <w:trPr>
          <w:trHeight w:val="216"/>
        </w:trPr>
        <w:tc>
          <w:tcPr>
            <w:tcW w:w="1020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1020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r>
      <w:tr>
        <w:trPr>
          <w:trHeight w:val="223"/>
        </w:trPr>
        <w:tc>
          <w:tcPr>
            <w:tcW w:w="10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r>
      <w:tr>
        <w:trPr>
          <w:trHeight w:val="20"/>
        </w:trPr>
        <w:tc>
          <w:tcPr>
            <w:tcW w:w="84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have an option to buy up to an additional 750,000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underwriters propose to offer the shares of our common stock directly to the public at the initial public offering price set forth on the cover of this prospectus and to certain dealers at such offering price less a concession not in excess of $0.63 per share. After the initial public offering of the shares, the offering price and the selling concession may be changed by the underwriters.</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vMerge w:val="restart"/>
          </w:tcPr>
          <w:p>
            <w:pPr>
              <w:spacing w:after="0"/>
              <w:rPr>
                <w:sz w:val="20"/>
                <w:szCs w:val="20"/>
                <w:color w:val="auto"/>
              </w:rPr>
            </w:pPr>
            <w:r>
              <w:rPr>
                <w:rFonts w:ascii="Arial" w:cs="Arial" w:eastAsia="Arial" w:hAnsi="Arial"/>
                <w:sz w:val="18"/>
                <w:szCs w:val="18"/>
                <w:color w:val="auto"/>
              </w:rPr>
              <w:t>Per Share</w:t>
            </w:r>
          </w:p>
        </w:tc>
        <w:tc>
          <w:tcPr>
            <w:tcW w:w="426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No Exercise</w:t>
            </w: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Full Exercise</w:t>
            </w:r>
          </w:p>
        </w:tc>
        <w:tc>
          <w:tcPr>
            <w:tcW w:w="0" w:type="dxa"/>
            <w:vAlign w:val="bottom"/>
          </w:tcPr>
          <w:p>
            <w:pPr>
              <w:spacing w:after="0"/>
              <w:rPr>
                <w:sz w:val="1"/>
                <w:szCs w:val="1"/>
                <w:color w:val="auto"/>
              </w:rPr>
            </w:pPr>
          </w:p>
        </w:tc>
      </w:tr>
      <w:tr>
        <w:trPr>
          <w:trHeight w:val="195"/>
        </w:trPr>
        <w:tc>
          <w:tcPr>
            <w:tcW w:w="4980" w:type="dxa"/>
            <w:vAlign w:val="bottom"/>
            <w:vMerge w:val="continue"/>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5,250,000</w:t>
            </w:r>
          </w:p>
        </w:tc>
        <w:tc>
          <w:tcPr>
            <w:tcW w:w="220" w:type="dxa"/>
            <w:vAlign w:val="bottom"/>
          </w:tcPr>
          <w:p>
            <w:pPr>
              <w:spacing w:after="0"/>
              <w:rPr>
                <w:sz w:val="20"/>
                <w:szCs w:val="20"/>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6,037,500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 excluding underwriting discounts and commissions, will be approximately $4,000,000, all of which will be paid by us. We have agreed to reimburse the underwriters for certain of their expenses incurred in connection with the clearance of this offering with the Financial Industry Regulatory Authority, Inc., in an amount up to $35,000. If after the initial closing of this offering, but before the underwriters have exercised their option to purchase additional shares, we terminate the underwriting agreement, or if we are unable to perform on our obligations under the underwriting agreement and the underwriters terminate the agreement, we have agreed to reimburse the underwriters for certain expenses incurred in connection with this offering in an amount up to $50,000.</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and Stifel, Nicolaus &amp; Company, Incorporated; provided that Credit Suisse Securities (USA) LLC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660" w:right="28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conversion of outstanding shares of preferred stock into shares of common stock; or</w:t>
      </w:r>
    </w:p>
    <w:p>
      <w:pPr>
        <w:spacing w:after="0" w:line="130" w:lineRule="exact"/>
        <w:rPr>
          <w:rFonts w:ascii="Arial" w:cs="Arial" w:eastAsia="Arial" w:hAnsi="Arial"/>
          <w:sz w:val="18"/>
          <w:szCs w:val="18"/>
          <w:color w:val="auto"/>
        </w:rPr>
      </w:pPr>
    </w:p>
    <w:p>
      <w:pPr>
        <w:ind w:left="660" w:right="40" w:hanging="206"/>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Prior to the offering, there has been no public market for our common stock. The initial public offering price was negotiated among us and the representatives. Among the factors considered in determining the initial public</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60"/>
          </w:cols>
          <w:pgMar w:left="240" w:top="459" w:right="2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offering price of the shares,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Our common stock has been approved for listing on the Nasdaq Global Select Market under the symbol “ANAB.” 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 counter market or otherwise.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the underwriters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60"/>
          </w:cols>
          <w:pgMar w:left="240" w:top="460" w:right="2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76" w:lineRule="exact"/>
        <w:rPr>
          <w:sz w:val="20"/>
          <w:szCs w:val="20"/>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jc w:val="both"/>
        <w:ind w:left="660" w:right="360" w:hanging="206"/>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 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and the representatives and their affiliates will rely upon the truth and accuracy of the foregoing representations, acknowledgements and agreements.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76" w:lineRule="exact"/>
        <w:rPr>
          <w:sz w:val="20"/>
          <w:szCs w:val="20"/>
          <w:color w:val="auto"/>
        </w:rPr>
      </w:pPr>
    </w:p>
    <w:p>
      <w:pPr>
        <w:ind w:left="660" w:right="340" w:hanging="206"/>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75" w:lineRule="exact"/>
        <w:rPr>
          <w:rFonts w:ascii="Arial" w:cs="Arial" w:eastAsia="Arial" w:hAnsi="Arial"/>
          <w:sz w:val="18"/>
          <w:szCs w:val="18"/>
          <w:color w:val="auto"/>
        </w:rPr>
      </w:pPr>
    </w:p>
    <w:p>
      <w:pPr>
        <w:ind w:left="660" w:right="360" w:hanging="206"/>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distribution of shares of common stock offered hereby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offered hereby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shares of common stock offered hereby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660" w:right="140" w:hanging="206"/>
        <w:spacing w:after="0" w:line="30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purchaser is entitled under applicable provincial securities laws to purchase the shares without the benefit of a prospectus qualified under those securities laws as it is an “accredited investor” as defined under National Instrument 45-106 – </w:t>
      </w:r>
      <w:r>
        <w:rPr>
          <w:rFonts w:ascii="Arial" w:cs="Arial" w:eastAsia="Arial" w:hAnsi="Arial"/>
          <w:sz w:val="17"/>
          <w:szCs w:val="17"/>
          <w:i w:val="1"/>
          <w:iCs w:val="1"/>
          <w:color w:val="auto"/>
        </w:rPr>
        <w:t>Prospectus Exemptions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660" w:right="300" w:hanging="206"/>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Canadian purchasers of shares of common stock offered hereby should consult their own legal and tax advisors with respect to the tax consequences of an investment in the shares in their particular circumstances and about the eligibility of the shares for investment by the purchaser under relevant Canadian legislation.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or the Corporations Act;</w:t>
      </w:r>
    </w:p>
    <w:p>
      <w:pPr>
        <w:spacing w:after="0" w:line="130" w:lineRule="exact"/>
        <w:rPr>
          <w:rFonts w:ascii="Arial" w:cs="Arial" w:eastAsia="Arial" w:hAnsi="Arial"/>
          <w:sz w:val="18"/>
          <w:szCs w:val="18"/>
          <w:color w:val="auto"/>
        </w:rPr>
      </w:pPr>
    </w:p>
    <w:p>
      <w:pPr>
        <w:ind w:left="660" w:right="480" w:hanging="206"/>
        <w:spacing w:after="0" w:line="26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0" w:hanging="206"/>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securities offered by this prospectus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firstLine="8"/>
        <w:spacing w:after="0" w:line="270" w:lineRule="auto"/>
        <w:tabs>
          <w:tab w:leader="none" w:pos="2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Warning</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60"/>
          </w:cols>
          <w:pgMar w:left="240" w:top="460" w:right="2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660" w:hanging="20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w:t>
      </w:r>
    </w:p>
    <w:p>
      <w:pPr>
        <w:spacing w:after="0" w:line="130" w:lineRule="exact"/>
        <w:rPr>
          <w:rFonts w:ascii="Arial" w:cs="Arial" w:eastAsia="Arial" w:hAnsi="Arial"/>
          <w:sz w:val="18"/>
          <w:szCs w:val="18"/>
          <w:color w:val="auto"/>
        </w:rPr>
      </w:pPr>
    </w:p>
    <w:p>
      <w:pPr>
        <w:ind w:left="660" w:right="500" w:hanging="206"/>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660" w:right="220" w:hanging="206"/>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900" w:right="480" w:hanging="217"/>
        <w:spacing w:after="0" w:line="277"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21"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80" w:firstLine="8"/>
        <w:spacing w:after="0" w:line="261"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Malaysia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invitation for subscription or purchase, whether directly or indirectly, to persons in Malaysia other than (i) a closed end fund approved by the Commission;</w:t>
      </w:r>
    </w:p>
    <w:p>
      <w:pPr>
        <w:spacing w:after="0" w:line="46" w:lineRule="exact"/>
        <w:rPr>
          <w:sz w:val="20"/>
          <w:szCs w:val="20"/>
          <w:color w:val="auto"/>
        </w:rPr>
      </w:pPr>
    </w:p>
    <w:p>
      <w:pPr>
        <w:ind w:right="20" w:firstLine="8"/>
        <w:spacing w:after="0" w:line="285" w:lineRule="auto"/>
        <w:tabs>
          <w:tab w:leader="none" w:pos="26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2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52" w:lineRule="exact"/>
        <w:rPr>
          <w:sz w:val="20"/>
          <w:szCs w:val="20"/>
          <w:color w:val="auto"/>
        </w:rPr>
      </w:pPr>
    </w:p>
    <w:p>
      <w:pPr>
        <w:ind w:left="660" w:hanging="206"/>
        <w:spacing w:after="0" w:line="25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wholly-owned subsidiary of a bank, mutual bank, authorised services provider or financial institution, acting as agent in the capacity of an authorised portfolio manager for a pension fund (duly registered in South Africa), or as manager for a collective investment scheme (registered in South Africa); or</w:t>
      </w:r>
    </w:p>
    <w:p>
      <w:pPr>
        <w:spacing w:after="0" w:line="93" w:lineRule="exact"/>
        <w:rPr>
          <w:rFonts w:ascii="Arial" w:cs="Arial" w:eastAsia="Arial" w:hAnsi="Arial"/>
          <w:sz w:val="18"/>
          <w:szCs w:val="18"/>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contemplated acquisition cost of the securities, for any single addressee acting as principal is equal to or greater than R1,000,000.</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financial statements of AnaptysBio, Inc. as of December 31, 2014 and 2015, and for each of the years in the two-year period ended December 31, 2015,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79">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Consolidated Balance Sheets as of December 31, 2014 and 2015</w:t>
              </w:r>
            </w:hyperlink>
          </w:p>
        </w:tc>
        <w:tc>
          <w:tcPr>
            <w:tcW w:w="62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Consolidated Statements of Operations for the Years ended December 31, 2014 and 2015</w:t>
              </w:r>
            </w:hyperlink>
          </w:p>
        </w:tc>
        <w:tc>
          <w:tcPr>
            <w:tcW w:w="444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Consolidated Statements of Convertible Preferred Stock and Stockholders’ Deficit for the Years ended December 31, 2014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83">
              <w:r>
                <w:rPr>
                  <w:rFonts w:ascii="Arial" w:cs="Arial" w:eastAsia="Arial" w:hAnsi="Arial"/>
                  <w:sz w:val="18"/>
                  <w:szCs w:val="18"/>
                  <w:color w:val="0000EE"/>
                  <w:w w:val="89"/>
                </w:rPr>
                <w:t>Consolidated Statements of Cash Flows for the Years ended December 31, 2014 and 2015</w:t>
              </w:r>
            </w:hyperlink>
          </w:p>
        </w:tc>
        <w:tc>
          <w:tcPr>
            <w:tcW w:w="3000" w:type="dxa"/>
            <w:vAlign w:val="bottom"/>
            <w:tcBorders>
              <w:top w:val="single" w:sz="8" w:color="0000EE"/>
            </w:tcBorders>
            <w:gridSpan w:val="4"/>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84">
              <w:r>
                <w:rPr>
                  <w:rFonts w:ascii="Arial" w:cs="Arial" w:eastAsia="Arial" w:hAnsi="Arial"/>
                  <w:sz w:val="18"/>
                  <w:szCs w:val="18"/>
                  <w:color w:val="0000EE"/>
                  <w:w w:val="89"/>
                </w:rPr>
                <w:t>Notes to Consolidated Financial Statements</w:t>
              </w:r>
            </w:hyperlink>
          </w:p>
        </w:tc>
        <w:tc>
          <w:tcPr>
            <w:tcW w:w="776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Unaudited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203">
              <w:r>
                <w:rPr>
                  <w:rFonts w:ascii="Arial" w:cs="Arial" w:eastAsia="Arial" w:hAnsi="Arial"/>
                  <w:sz w:val="18"/>
                  <w:szCs w:val="18"/>
                  <w:color w:val="0000EE"/>
                </w:rPr>
                <w:t>Consolidated Balance Sheets as of December 31, 2015 and September 30, 2016 (unaudited)</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3960" w:type="dxa"/>
            <w:vAlign w:val="bottom"/>
            <w:gridSpan w:val="2"/>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Unaudited Consolidated Statements of Operations for the Nine Months Ended September 30, 2015 and 2016</w:t>
              </w:r>
            </w:hyperlink>
          </w:p>
        </w:tc>
        <w:tc>
          <w:tcPr>
            <w:tcW w:w="30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Unaudited Consolidated Statements of Cash Flows for the Nine Months Ended September 30, 2015 and 2016</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7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Notes to Unaudited Consolidated Financial Statements</w:t>
              </w:r>
            </w:hyperlink>
          </w:p>
        </w:tc>
        <w:tc>
          <w:tcPr>
            <w:tcW w:w="30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3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gridSpan w:val="7"/>
          </w:tcPr>
          <w:p>
            <w:pPr>
              <w:ind w:left="9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AnaptysBio, Inc. and subsidiary as of December 31, 2014 and 2015, and the related consolidated statements of operations, convertible preferred stock and stockholders’ deficit, and cash flows for each of the years in the two-year period ended December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AnaptysBio, Inc. and subsidiary as of December 31, 2014 and 2015, and the results of their operations and their cash flows for each of the years in the two-year period ended December 31, 2015, in conformity with U.S. generally accepted accounting principles.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2016, except for the reverse stock split described in Note 12, which is dated January 13,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22,188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51,684</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9"/>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24,401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rPr>
              <w:t>LIABILITIES, CONVERTIBLE PREFERRED STOCK AND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560" w:type="dxa"/>
            <w:vAlign w:val="bottom"/>
          </w:tcPr>
          <w:p>
            <w:pPr>
              <w:jc w:val="center"/>
              <w:ind w:right="230"/>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11,681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w w:val="94"/>
              </w:rPr>
              <w:t>Series B convertible preferred stock, $0.001 par value, 3,963 shares authorized, issued and outstanding at December 31, 2014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and 2015; aggregate liquidation preference at December 31, 2015 of $24,991</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28,220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28,220</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w w:val="99"/>
              </w:rPr>
              <w:t>Series C convertible preferred stock, $0.001 par value, 1,887 shares authorized, 1,593 shares issued and outstanding at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December 31, 2014 and 2015; aggregate liquidation preference at December 31, 2015 of $7,246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6,452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w w:val="94"/>
              </w:rPr>
              <w:t>Series C-1 convertible preferred stock, $0.001 par value, 474 shares authorized, issued and outstanding at December 31, 2014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and 2015, respectively; aggregate liquidation preference at December 31, 2015 of $6,470</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w w:val="99"/>
              </w:rPr>
              <w:t>Series D convertible preferred stock, $0.001 par value, 5,491 shares authorized, no shares and 5,491 shares issued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w w:val="93"/>
              </w:rPr>
              <w:t>outstanding at December 31, 2014 and 2015, respectively; aggregate liquidation preference at December 31, 2015 of $40,767</w:t>
            </w: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40,688</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Common stock, $0.001 par value, 17,214 shares authorized, 2,481 shares and 2,630 shares issued and outstanding at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December 31, 2014 and 2015, respectively</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14,422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15,482</w:t>
            </w:r>
          </w:p>
        </w:tc>
        <w:tc>
          <w:tcPr>
            <w:tcW w:w="0" w:type="dxa"/>
            <w:vAlign w:val="bottom"/>
          </w:tcPr>
          <w:p>
            <w:pPr>
              <w:spacing w:after="0"/>
              <w:rPr>
                <w:sz w:val="1"/>
                <w:szCs w:val="1"/>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(45,259)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(50,664)</w:t>
            </w: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(30,835)</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(35,179)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Year Ended</w:t>
      </w:r>
    </w:p>
    <w:p>
      <w:pPr>
        <w:jc w:val="center"/>
        <w:ind w:left="9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0" w:type="dxa"/>
            <w:vAlign w:val="bottom"/>
            <w:vMerge w:val="restart"/>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3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17,304</w:t>
            </w: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2,354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10,968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(3,322)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(1,270)</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(1,277)</w:t>
            </w: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4"/>
              </w:rPr>
              <w:t>(1,338)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ind w:left="108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0"/>
                <w:szCs w:val="20"/>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980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20"/>
                <w:szCs w:val="20"/>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(5,405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Pro forma net loss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Pro forma weighted-average number of shares outstanding (unaudited):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C</w:t>
            </w:r>
          </w:p>
        </w:tc>
        <w:tc>
          <w:tcPr>
            <w:tcW w:w="12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Series C-1</w:t>
            </w:r>
          </w:p>
        </w:tc>
        <w:tc>
          <w:tcPr>
            <w:tcW w:w="128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2"/>
              </w:rPr>
              <w:t>Series 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Preferred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28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Convertible</w:t>
            </w:r>
          </w:p>
        </w:tc>
        <w:tc>
          <w:tcPr>
            <w:tcW w:w="1280" w:type="dxa"/>
            <w:vAlign w:val="bottom"/>
            <w:gridSpan w:val="6"/>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w w:val="93"/>
              </w:rPr>
              <w:t>Additional</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Preferred Stock</w:t>
            </w:r>
          </w:p>
        </w:tc>
        <w:tc>
          <w:tcPr>
            <w:tcW w:w="1280" w:type="dxa"/>
            <w:vAlign w:val="bottom"/>
            <w:gridSpan w:val="5"/>
          </w:tcPr>
          <w:p>
            <w:pPr>
              <w:jc w:val="right"/>
              <w:ind w:right="240"/>
              <w:spacing w:after="0" w:line="129" w:lineRule="exact"/>
              <w:rPr>
                <w:sz w:val="20"/>
                <w:szCs w:val="20"/>
                <w:color w:val="auto"/>
              </w:rPr>
            </w:pPr>
            <w:r>
              <w:rPr>
                <w:rFonts w:ascii="Arial" w:cs="Arial" w:eastAsia="Arial" w:hAnsi="Arial"/>
                <w:sz w:val="14"/>
                <w:szCs w:val="14"/>
                <w:b w:val="1"/>
                <w:bCs w:val="1"/>
                <w:color w:val="auto"/>
                <w:w w:val="97"/>
              </w:rPr>
              <w:t>Preferred Stock</w:t>
            </w:r>
          </w:p>
        </w:tc>
        <w:tc>
          <w:tcPr>
            <w:tcW w:w="1280" w:type="dxa"/>
            <w:vAlign w:val="bottom"/>
            <w:gridSpan w:val="6"/>
          </w:tcPr>
          <w:p>
            <w:pPr>
              <w:jc w:val="right"/>
              <w:ind w:right="240"/>
              <w:spacing w:after="0" w:line="129" w:lineRule="exact"/>
              <w:rPr>
                <w:sz w:val="20"/>
                <w:szCs w:val="20"/>
                <w:color w:val="auto"/>
              </w:rPr>
            </w:pPr>
            <w:r>
              <w:rPr>
                <w:rFonts w:ascii="Arial" w:cs="Arial" w:eastAsia="Arial" w:hAnsi="Arial"/>
                <w:sz w:val="14"/>
                <w:szCs w:val="14"/>
                <w:b w:val="1"/>
                <w:bCs w:val="1"/>
                <w:color w:val="auto"/>
                <w:w w:val="97"/>
              </w:rPr>
              <w:t>Preferred Stock</w:t>
            </w:r>
          </w:p>
        </w:tc>
        <w:tc>
          <w:tcPr>
            <w:tcW w:w="1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36"/>
        </w:trPr>
        <w:tc>
          <w:tcPr>
            <w:tcW w:w="19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Balance, January 1, 2014</w:t>
            </w: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gridSpan w:val="2"/>
          </w:tcPr>
          <w:p>
            <w:pPr>
              <w:spacing w:after="0"/>
              <w:rPr>
                <w:sz w:val="11"/>
                <w:szCs w:val="11"/>
                <w:color w:val="auto"/>
              </w:rPr>
            </w:pPr>
          </w:p>
        </w:tc>
        <w:tc>
          <w:tcPr>
            <w:tcW w:w="500" w:type="dxa"/>
            <w:vAlign w:val="bottom"/>
          </w:tcPr>
          <w:p>
            <w:pPr>
              <w:spacing w:after="0" w:line="136"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1"/>
                <w:szCs w:val="11"/>
                <w:color w:val="auto"/>
              </w:rPr>
            </w:pPr>
          </w:p>
        </w:tc>
        <w:tc>
          <w:tcPr>
            <w:tcW w:w="58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36"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1"/>
                <w:szCs w:val="11"/>
                <w:color w:val="auto"/>
              </w:rPr>
            </w:pPr>
          </w:p>
        </w:tc>
        <w:tc>
          <w:tcPr>
            <w:tcW w:w="5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1"/>
                <w:szCs w:val="11"/>
                <w:color w:val="auto"/>
              </w:rPr>
            </w:pPr>
          </w:p>
        </w:tc>
        <w:tc>
          <w:tcPr>
            <w:tcW w:w="520" w:type="dxa"/>
            <w:vAlign w:val="bottom"/>
            <w:tcBorders>
              <w:top w:val="single" w:sz="8" w:color="auto"/>
            </w:tcBorders>
            <w:gridSpan w:val="2"/>
          </w:tcPr>
          <w:p>
            <w:pPr>
              <w:jc w:val="right"/>
              <w:ind w:right="100"/>
              <w:spacing w:after="0" w:line="136"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line="136"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1"/>
                <w:szCs w:val="11"/>
                <w:color w:val="auto"/>
              </w:rPr>
            </w:pPr>
          </w:p>
        </w:tc>
        <w:tc>
          <w:tcPr>
            <w:tcW w:w="800" w:type="dxa"/>
            <w:vAlign w:val="bottom"/>
            <w:gridSpan w:val="2"/>
          </w:tcPr>
          <w:p>
            <w:pPr>
              <w:jc w:val="right"/>
              <w:ind w:right="320"/>
              <w:spacing w:after="0" w:line="136"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23"/>
        </w:trPr>
        <w:tc>
          <w:tcPr>
            <w:tcW w:w="1900" w:type="dxa"/>
            <w:vAlign w:val="bottom"/>
            <w:tcBorders>
              <w:top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jc w:val="center"/>
              <w:ind w:left="328"/>
              <w:spacing w:after="0" w:line="123" w:lineRule="exact"/>
              <w:rPr>
                <w:sz w:val="20"/>
                <w:szCs w:val="20"/>
                <w:color w:val="auto"/>
              </w:rPr>
            </w:pPr>
            <w:r>
              <w:rPr>
                <w:rFonts w:ascii="Arial" w:cs="Arial" w:eastAsia="Arial" w:hAnsi="Arial"/>
                <w:sz w:val="14"/>
                <w:szCs w:val="14"/>
                <w:color w:val="auto"/>
                <w:w w:val="91"/>
              </w:rPr>
              <w:t>3,963</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$ 28,220</w:t>
            </w:r>
          </w:p>
        </w:tc>
        <w:tc>
          <w:tcPr>
            <w:tcW w:w="160" w:type="dxa"/>
            <w:vAlign w:val="bottom"/>
          </w:tcPr>
          <w:p>
            <w:pPr>
              <w:spacing w:after="0"/>
              <w:rPr>
                <w:sz w:val="10"/>
                <w:szCs w:val="10"/>
                <w:color w:val="auto"/>
              </w:rPr>
            </w:pPr>
          </w:p>
        </w:tc>
        <w:tc>
          <w:tcPr>
            <w:tcW w:w="420" w:type="dxa"/>
            <w:vAlign w:val="bottom"/>
            <w:tcBorders>
              <w:top w:val="single" w:sz="8" w:color="auto"/>
            </w:tcBorders>
          </w:tcPr>
          <w:p>
            <w:pPr>
              <w:jc w:val="center"/>
              <w:ind w:left="28"/>
              <w:spacing w:after="0" w:line="123" w:lineRule="exact"/>
              <w:rPr>
                <w:sz w:val="20"/>
                <w:szCs w:val="20"/>
                <w:color w:val="auto"/>
              </w:rPr>
            </w:pPr>
            <w:r>
              <w:rPr>
                <w:rFonts w:ascii="Arial" w:cs="Arial" w:eastAsia="Arial" w:hAnsi="Arial"/>
                <w:sz w:val="14"/>
                <w:szCs w:val="14"/>
                <w:color w:val="auto"/>
                <w:w w:val="91"/>
              </w:rPr>
              <w:t>1,593</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6,452</w:t>
            </w:r>
          </w:p>
        </w:tc>
        <w:tc>
          <w:tcPr>
            <w:tcW w:w="160" w:type="dxa"/>
            <w:vAlign w:val="bottom"/>
          </w:tcPr>
          <w:p>
            <w:pPr>
              <w:spacing w:after="0"/>
              <w:rPr>
                <w:sz w:val="10"/>
                <w:szCs w:val="10"/>
                <w:color w:val="auto"/>
              </w:rPr>
            </w:pPr>
          </w:p>
        </w:tc>
        <w:tc>
          <w:tcPr>
            <w:tcW w:w="42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420" w:type="dxa"/>
            <w:vAlign w:val="bottom"/>
            <w:tcBorders>
              <w:top w:val="single" w:sz="8" w:color="auto"/>
            </w:tcBorders>
          </w:tcPr>
          <w:p>
            <w:pPr>
              <w:jc w:val="center"/>
              <w:ind w:left="68"/>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2,481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2</w:t>
            </w:r>
          </w:p>
        </w:tc>
        <w:tc>
          <w:tcPr>
            <w:tcW w:w="18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14,262</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(48,791)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(34,527)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w w:val="95"/>
              </w:rPr>
              <w:t>Conversion of promissory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w w:val="93"/>
              </w:rPr>
              <w:t>payable to related parties into</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w w:val="90"/>
              </w:rPr>
              <w:t>shares of Series C-1 Preferred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w w:val="85"/>
              </w:rPr>
              <w:t>474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2,156</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160</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7"/>
        </w:trPr>
        <w:tc>
          <w:tcPr>
            <w:tcW w:w="19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900" w:type="dxa"/>
            <w:vAlign w:val="bottom"/>
            <w:gridSpan w:val="3"/>
          </w:tcPr>
          <w:p>
            <w:pPr>
              <w:jc w:val="center"/>
              <w:ind w:left="208"/>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3,532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3,532</w:t>
            </w:r>
          </w:p>
        </w:tc>
        <w:tc>
          <w:tcPr>
            <w:tcW w:w="0" w:type="dxa"/>
            <w:vAlign w:val="bottom"/>
          </w:tcPr>
          <w:p>
            <w:pPr>
              <w:spacing w:after="0"/>
              <w:rPr>
                <w:sz w:val="1"/>
                <w:szCs w:val="1"/>
                <w:color w:val="auto"/>
              </w:rPr>
            </w:pPr>
          </w:p>
        </w:tc>
      </w:tr>
      <w:tr>
        <w:trPr>
          <w:trHeight w:val="137"/>
        </w:trPr>
        <w:tc>
          <w:tcPr>
            <w:tcW w:w="1900" w:type="dxa"/>
            <w:vAlign w:val="bottom"/>
          </w:tcPr>
          <w:p>
            <w:pPr>
              <w:spacing w:after="0" w:line="137" w:lineRule="exact"/>
              <w:rPr>
                <w:sz w:val="20"/>
                <w:szCs w:val="20"/>
                <w:color w:val="auto"/>
              </w:rPr>
            </w:pPr>
            <w:r>
              <w:rPr>
                <w:rFonts w:ascii="Arial" w:cs="Arial" w:eastAsia="Arial" w:hAnsi="Arial"/>
                <w:sz w:val="14"/>
                <w:szCs w:val="14"/>
                <w:b w:val="1"/>
                <w:bCs w:val="1"/>
                <w:color w:val="auto"/>
              </w:rPr>
              <w:t>Balance, December 31, 2014</w:t>
            </w: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ind w:left="328"/>
              <w:spacing w:after="0" w:line="137" w:lineRule="exact"/>
              <w:rPr>
                <w:sz w:val="20"/>
                <w:szCs w:val="20"/>
                <w:color w:val="auto"/>
              </w:rPr>
            </w:pPr>
            <w:r>
              <w:rPr>
                <w:rFonts w:ascii="Arial" w:cs="Arial" w:eastAsia="Arial" w:hAnsi="Arial"/>
                <w:sz w:val="14"/>
                <w:szCs w:val="14"/>
                <w:color w:val="auto"/>
                <w:w w:val="91"/>
              </w:rPr>
              <w:t>3,963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28,220</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center"/>
              <w:ind w:left="28"/>
              <w:spacing w:after="0" w:line="137" w:lineRule="exact"/>
              <w:rPr>
                <w:sz w:val="20"/>
                <w:szCs w:val="20"/>
                <w:color w:val="auto"/>
              </w:rPr>
            </w:pPr>
            <w:r>
              <w:rPr>
                <w:rFonts w:ascii="Arial" w:cs="Arial" w:eastAsia="Arial" w:hAnsi="Arial"/>
                <w:sz w:val="14"/>
                <w:szCs w:val="14"/>
                <w:color w:val="auto"/>
                <w:w w:val="91"/>
              </w:rPr>
              <w:t>1,593</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6,452</w:t>
            </w:r>
          </w:p>
        </w:tc>
        <w:tc>
          <w:tcPr>
            <w:tcW w:w="160" w:type="dxa"/>
            <w:vAlign w:val="bottom"/>
          </w:tcPr>
          <w:p>
            <w:pPr>
              <w:spacing w:after="0"/>
              <w:rPr>
                <w:sz w:val="11"/>
                <w:szCs w:val="11"/>
                <w:color w:val="auto"/>
              </w:rPr>
            </w:pPr>
          </w:p>
        </w:tc>
        <w:tc>
          <w:tcPr>
            <w:tcW w:w="420" w:type="dxa"/>
            <w:vAlign w:val="bottom"/>
            <w:tcBorders>
              <w:top w:val="single" w:sz="8" w:color="auto"/>
            </w:tcBorders>
          </w:tcPr>
          <w:p>
            <w:pPr>
              <w:ind w:left="200"/>
              <w:spacing w:after="0" w:line="137" w:lineRule="exact"/>
              <w:rPr>
                <w:sz w:val="20"/>
                <w:szCs w:val="20"/>
                <w:color w:val="auto"/>
              </w:rPr>
            </w:pPr>
            <w:r>
              <w:rPr>
                <w:rFonts w:ascii="Arial" w:cs="Arial" w:eastAsia="Arial" w:hAnsi="Arial"/>
                <w:sz w:val="14"/>
                <w:szCs w:val="14"/>
                <w:color w:val="auto"/>
                <w:w w:val="85"/>
              </w:rPr>
              <w:t>474</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ind w:left="60"/>
              <w:spacing w:after="0" w:line="137" w:lineRule="exact"/>
              <w:rPr>
                <w:sz w:val="20"/>
                <w:szCs w:val="20"/>
                <w:color w:val="auto"/>
              </w:rPr>
            </w:pPr>
            <w:r>
              <w:rPr>
                <w:rFonts w:ascii="Arial" w:cs="Arial" w:eastAsia="Arial" w:hAnsi="Arial"/>
                <w:sz w:val="14"/>
                <w:szCs w:val="14"/>
                <w:color w:val="auto"/>
                <w:w w:val="85"/>
              </w:rPr>
              <w:t>2,156</w:t>
            </w:r>
          </w:p>
        </w:tc>
        <w:tc>
          <w:tcPr>
            <w:tcW w:w="180" w:type="dxa"/>
            <w:vAlign w:val="bottom"/>
          </w:tcPr>
          <w:p>
            <w:pPr>
              <w:spacing w:after="0"/>
              <w:rPr>
                <w:sz w:val="11"/>
                <w:szCs w:val="11"/>
                <w:color w:val="auto"/>
              </w:rPr>
            </w:pPr>
          </w:p>
        </w:tc>
        <w:tc>
          <w:tcPr>
            <w:tcW w:w="420" w:type="dxa"/>
            <w:vAlign w:val="bottom"/>
            <w:tcBorders>
              <w:top w:val="single" w:sz="8" w:color="auto"/>
            </w:tcBorders>
          </w:tcPr>
          <w:p>
            <w:pPr>
              <w:jc w:val="center"/>
              <w:ind w:left="68"/>
              <w:spacing w:after="0" w:line="13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8"/>
              <w:spacing w:after="0" w:line="13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2,481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2</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14,422</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(45,259)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(30,835)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w w:val="98"/>
              </w:rPr>
              <w:t>Issuance of Series D Preferred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5,491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40,688</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Reclassification of warrants</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297</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w w:val="97"/>
              </w:rPr>
              <w:t>Shares issued under employee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60"/>
              <w:spacing w:after="0" w:line="149" w:lineRule="exact"/>
              <w:rPr>
                <w:sz w:val="20"/>
                <w:szCs w:val="20"/>
                <w:color w:val="auto"/>
              </w:rPr>
            </w:pPr>
            <w:r>
              <w:rPr>
                <w:rFonts w:ascii="Arial" w:cs="Arial" w:eastAsia="Arial" w:hAnsi="Arial"/>
                <w:sz w:val="14"/>
                <w:szCs w:val="14"/>
                <w:color w:val="auto"/>
              </w:rPr>
              <w:t>stock plans</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w w:val="76"/>
              </w:rPr>
              <w:t>149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159</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2"/>
                <w:szCs w:val="12"/>
                <w:color w:val="auto"/>
              </w:rPr>
            </w:pPr>
          </w:p>
        </w:tc>
        <w:tc>
          <w:tcPr>
            <w:tcW w:w="90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604</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67"/>
        </w:trPr>
        <w:tc>
          <w:tcPr>
            <w:tcW w:w="190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4"/>
                <w:szCs w:val="14"/>
                <w:color w:val="auto"/>
              </w:rPr>
            </w:pPr>
          </w:p>
        </w:tc>
        <w:tc>
          <w:tcPr>
            <w:tcW w:w="900" w:type="dxa"/>
            <w:vAlign w:val="bottom"/>
            <w:gridSpan w:val="3"/>
          </w:tcPr>
          <w:p>
            <w:pPr>
              <w:jc w:val="center"/>
              <w:ind w:left="208"/>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(5,405)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(5,405)</w:t>
            </w:r>
          </w:p>
        </w:tc>
        <w:tc>
          <w:tcPr>
            <w:tcW w:w="0" w:type="dxa"/>
            <w:vAlign w:val="bottom"/>
          </w:tcPr>
          <w:p>
            <w:pPr>
              <w:spacing w:after="0"/>
              <w:rPr>
                <w:sz w:val="1"/>
                <w:szCs w:val="1"/>
                <w:color w:val="auto"/>
              </w:rPr>
            </w:pPr>
          </w:p>
        </w:tc>
      </w:tr>
      <w:tr>
        <w:trPr>
          <w:trHeight w:val="156"/>
        </w:trPr>
        <w:tc>
          <w:tcPr>
            <w:tcW w:w="19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2015</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Arial" w:cs="Arial" w:eastAsia="Arial" w:hAnsi="Arial"/>
                <w:sz w:val="14"/>
                <w:szCs w:val="14"/>
                <w:color w:val="auto"/>
                <w:w w:val="91"/>
              </w:rPr>
              <w:t>3,963</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$ 28,220</w:t>
            </w: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w w:val="91"/>
              </w:rPr>
              <w:t>1,593</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6,452</w:t>
            </w: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color w:val="auto"/>
                <w:w w:val="85"/>
              </w:rPr>
              <w:t>474</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85"/>
              </w:rPr>
              <w:t>2,156</w:t>
            </w:r>
          </w:p>
        </w:tc>
        <w:tc>
          <w:tcPr>
            <w:tcW w:w="1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w w:val="91"/>
              </w:rPr>
              <w:t>5,491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40,688</w:t>
            </w: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3</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15,482</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(35,179)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Receivable from collaborative partners</w:t>
            </w:r>
          </w:p>
        </w:tc>
        <w:tc>
          <w:tcPr>
            <w:tcW w:w="14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934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10,730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23"/>
        </w:trPr>
        <w:tc>
          <w:tcPr>
            <w:tcW w:w="934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14,603</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3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0"/>
                <w:szCs w:val="20"/>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934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6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3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notes payable, net of costs to issue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issuance of preferred stock, net of costs to issue</w:t>
            </w:r>
          </w:p>
        </w:tc>
        <w:tc>
          <w:tcPr>
            <w:tcW w:w="14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40,688</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Payments for deferred financing costs</w:t>
            </w:r>
          </w:p>
        </w:tc>
        <w:tc>
          <w:tcPr>
            <w:tcW w:w="140" w:type="dxa"/>
            <w:vAlign w:val="bottom"/>
          </w:tcPr>
          <w:p>
            <w:pPr>
              <w:spacing w:after="0"/>
              <w:rPr>
                <w:sz w:val="20"/>
                <w:szCs w:val="20"/>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3"/>
        </w:trPr>
        <w:tc>
          <w:tcPr>
            <w:tcW w:w="934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340" w:type="dxa"/>
            <w:vAlign w:val="bottom"/>
          </w:tcPr>
          <w:p>
            <w:pPr>
              <w:ind w:left="1440"/>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19,378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2,810</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22,188</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22,188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w w:val="97"/>
              </w:rPr>
              <w:t>Conversion of convertible promissory notes payable to related parties into shares of Series C-1 Preferred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Reclassification of warrants to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Amounts accrued for property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9340" w:type="dxa"/>
            <w:vAlign w:val="bottom"/>
          </w:tcPr>
          <w:p>
            <w:pPr>
              <w:ind w:left="720"/>
              <w:spacing w:after="0"/>
              <w:rPr>
                <w:sz w:val="20"/>
                <w:szCs w:val="20"/>
                <w:color w:val="auto"/>
              </w:rPr>
            </w:pPr>
            <w:r>
              <w:rPr>
                <w:rFonts w:ascii="Arial" w:cs="Arial" w:eastAsia="Arial" w:hAnsi="Arial"/>
                <w:sz w:val="18"/>
                <w:szCs w:val="18"/>
                <w:color w:val="auto"/>
              </w:rPr>
              <w:t>Amounts accrued for deferred financing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and have, aside from the year ended December 31, 2014, incurred losses and negative cash flows from operations through the year ended December 31, 2015 and have an accumulated deficit at December 31, 2015 of $50.7 million. Through 2015, all of our financial support has been provided primarily from the sale of our common and preferred stock and proceeds from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70" w:lineRule="exact"/>
        <w:rPr>
          <w:sz w:val="20"/>
          <w:szCs w:val="20"/>
          <w:color w:val="auto"/>
        </w:rPr>
      </w:pPr>
    </w:p>
    <w:p>
      <w:pPr>
        <w:ind w:left="240" w:right="8840" w:hanging="232"/>
        <w:spacing w:after="0" w:line="378" w:lineRule="auto"/>
        <w:tabs>
          <w:tab w:leader="none" w:pos="19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Use of Estimates</w:t>
      </w:r>
    </w:p>
    <w:p>
      <w:pPr>
        <w:ind w:right="80" w:firstLine="456"/>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At December 31, 2014 and 2015, we held restricted cash of $85,000 and $60,000, respectively, used to secure a letter of credit provided as security for our operating leases for our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Property and equipment is carried at cost.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2014 or 2015.</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During the year ended December 31, 2015, we incurred an aggregate of $2.2 million in direct costs related to our anticipated public offering of common stock. These costs were deferred and recorded as a long-term asset at December 31, 2015.</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Rent and Operating Lease Incentives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660" w:right="20" w:hanging="206"/>
        <w:spacing w:after="0" w:line="303"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License arrangements</w:t>
      </w:r>
      <w:r>
        <w:rPr>
          <w:rFonts w:ascii="Arial" w:cs="Arial" w:eastAsia="Arial" w:hAnsi="Arial"/>
          <w:sz w:val="16"/>
          <w:szCs w:val="16"/>
          <w:color w:val="auto"/>
        </w:rPr>
        <w:t>. The deliverables under our collaboration and license agreements generally include exclusive or nonexclusive licenses to one</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56" w:lineRule="exact"/>
        <w:rPr>
          <w:rFonts w:ascii="Arial" w:cs="Arial" w:eastAsia="Arial" w:hAnsi="Arial"/>
          <w:sz w:val="16"/>
          <w:szCs w:val="16"/>
          <w:color w:val="auto"/>
        </w:rPr>
      </w:pPr>
    </w:p>
    <w:p>
      <w:pPr>
        <w:ind w:left="660" w:right="40" w:hanging="206"/>
        <w:spacing w:after="0" w:line="298"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($0.2) million during the year ended December 31, 2015.</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2015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5"/>
              </w:rPr>
              <w:t>Net Income</w:t>
            </w:r>
          </w:p>
        </w:tc>
        <w:tc>
          <w:tcPr>
            <w:tcW w:w="15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95"/>
              </w:rPr>
              <w:t>(Loss)</w:t>
            </w:r>
          </w:p>
        </w:tc>
        <w:tc>
          <w:tcPr>
            <w:tcW w:w="1540" w:type="dxa"/>
            <w:vAlign w:val="bottom"/>
            <w:gridSpan w:val="2"/>
            <w:vMerge w:val="continue"/>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vMerge w:val="continue"/>
          </w:tcPr>
          <w:p>
            <w:pPr>
              <w:spacing w:after="0"/>
              <w:rPr>
                <w:sz w:val="14"/>
                <w:szCs w:val="14"/>
                <w:color w:val="auto"/>
              </w:rPr>
            </w:pP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(Numerator)</w:t>
            </w: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(Denominator)</w:t>
            </w: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60" w:type="dxa"/>
            <w:vAlign w:val="bottom"/>
          </w:tcPr>
          <w:p>
            <w:pPr>
              <w:spacing w:after="0" w:line="182" w:lineRule="exact"/>
              <w:rPr>
                <w:sz w:val="20"/>
                <w:szCs w:val="20"/>
                <w:color w:val="auto"/>
              </w:rPr>
            </w:pPr>
            <w:r>
              <w:rPr>
                <w:rFonts w:ascii="Arial" w:cs="Arial" w:eastAsia="Arial" w:hAnsi="Arial"/>
                <w:sz w:val="18"/>
                <w:szCs w:val="18"/>
                <w:b w:val="1"/>
                <w:bCs w:val="1"/>
                <w:color w:val="auto"/>
              </w:rPr>
              <w:t>Year Ended December 31, 2014</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(3,300)</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720"/>
              <w:spacing w:after="0"/>
              <w:rPr>
                <w:sz w:val="20"/>
                <w:szCs w:val="20"/>
                <w:color w:val="auto"/>
              </w:rPr>
            </w:pPr>
            <w:r>
              <w:rPr>
                <w:rFonts w:ascii="Arial" w:cs="Arial" w:eastAsia="Arial" w:hAnsi="Arial"/>
                <w:sz w:val="18"/>
                <w:szCs w:val="18"/>
                <w:color w:val="auto"/>
              </w:rPr>
              <w:t>Basic and diluted net income attributed to common stockholders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2015</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720"/>
              <w:spacing w:after="0"/>
              <w:rPr>
                <w:sz w:val="20"/>
                <w:szCs w:val="20"/>
                <w:color w:val="auto"/>
              </w:rPr>
            </w:pPr>
            <w:r>
              <w:rPr>
                <w:rFonts w:ascii="Arial" w:cs="Arial" w:eastAsia="Arial" w:hAnsi="Arial"/>
                <w:sz w:val="18"/>
                <w:szCs w:val="18"/>
                <w:color w:val="auto"/>
              </w:rPr>
              <w:t>Basic and diluted net loss attributed to common stockholders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(5,405)</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(2.12)</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Pro Forma for the Year Ended December 31, 2015 (unaudited)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(5,405)</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8,581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1080"/>
              <w:spacing w:after="0"/>
              <w:rPr>
                <w:sz w:val="20"/>
                <w:szCs w:val="20"/>
                <w:color w:val="auto"/>
              </w:rPr>
            </w:pPr>
            <w:r>
              <w:rPr>
                <w:rFonts w:ascii="Arial" w:cs="Arial" w:eastAsia="Arial" w:hAnsi="Arial"/>
                <w:sz w:val="18"/>
                <w:szCs w:val="18"/>
                <w:color w:val="auto"/>
              </w:rPr>
              <w:t>Pro forma basic and diluted net loss per common share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600" w:type="dxa"/>
            <w:vAlign w:val="bottom"/>
            <w:gridSpan w:val="2"/>
          </w:tcPr>
          <w:p>
            <w:pPr>
              <w:jc w:val="right"/>
              <w:ind w:right="54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11,132</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(0.49)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280" w:type="dxa"/>
            <w:vAlign w:val="bottom"/>
          </w:tcPr>
          <w:p>
            <w:pPr>
              <w:spacing w:after="0" w:line="195" w:lineRule="exact"/>
              <w:rPr>
                <w:sz w:val="20"/>
                <w:szCs w:val="20"/>
                <w:color w:val="auto"/>
              </w:rPr>
            </w:pPr>
            <w:r>
              <w:rPr>
                <w:rFonts w:ascii="Arial" w:cs="Arial" w:eastAsia="Arial" w:hAnsi="Arial"/>
                <w:sz w:val="18"/>
                <w:szCs w:val="18"/>
                <w:color w:val="auto"/>
              </w:rPr>
              <w:t>Convertible preferred stock</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6"/>
                <w:szCs w:val="16"/>
                <w:color w:val="auto"/>
              </w:rPr>
            </w:pP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8,581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6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Warrants to purchase preferred stock</w:t>
            </w: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263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92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117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1,459</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for nonpublic entities. We are currently assessing the impact that this standard will have on our consolidated financial statements.</w:t>
      </w:r>
    </w:p>
    <w:p>
      <w:pPr>
        <w:spacing w:after="0" w:line="269" w:lineRule="exact"/>
        <w:rPr>
          <w:sz w:val="20"/>
          <w:szCs w:val="20"/>
          <w:color w:val="auto"/>
        </w:rPr>
      </w:pPr>
    </w:p>
    <w:p>
      <w:pPr>
        <w:ind w:left="240" w:right="7040" w:hanging="232"/>
        <w:spacing w:after="0" w:line="378" w:lineRule="auto"/>
        <w:tabs>
          <w:tab w:leader="none" w:pos="19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8"/>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Borders>
              <w:top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rPr>
              <w:t>Laboratory equipment</w:t>
            </w:r>
          </w:p>
        </w:tc>
        <w:tc>
          <w:tcPr>
            <w:tcW w:w="2900" w:type="dxa"/>
            <w:vAlign w:val="bottom"/>
          </w:tcPr>
          <w:p>
            <w:pPr>
              <w:spacing w:after="0"/>
              <w:rPr>
                <w:sz w:val="16"/>
                <w:szCs w:val="16"/>
                <w:color w:val="auto"/>
              </w:rPr>
            </w:pPr>
          </w:p>
        </w:tc>
        <w:tc>
          <w:tcPr>
            <w:tcW w:w="56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w w:val="89"/>
              </w:rPr>
              <w:t>$ 3,031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w w:val="89"/>
              </w:rPr>
              <w:t>$ 3,243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3,934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540" w:type="dxa"/>
            <w:vAlign w:val="bottom"/>
            <w:gridSpan w:val="6"/>
          </w:tcPr>
          <w:p>
            <w:pPr>
              <w:jc w:val="right"/>
              <w:ind w:right="20"/>
              <w:spacing w:after="0"/>
              <w:rPr>
                <w:sz w:val="20"/>
                <w:szCs w:val="20"/>
                <w:color w:val="auto"/>
              </w:rPr>
            </w:pPr>
            <w:r>
              <w:rPr>
                <w:rFonts w:ascii="Arial" w:cs="Arial" w:eastAsia="Arial" w:hAnsi="Arial"/>
                <w:sz w:val="18"/>
                <w:szCs w:val="18"/>
                <w:color w:val="auto"/>
              </w:rPr>
              <w:t>(3,355)</w:t>
            </w:r>
          </w:p>
        </w:tc>
        <w:tc>
          <w:tcPr>
            <w:tcW w:w="2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auto"/>
              </w:rPr>
              <w:t>Accrued Expenses</w:t>
            </w:r>
          </w:p>
        </w:tc>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rPr>
              <w:t>Accrued compensation and related expenses</w:t>
            </w:r>
          </w:p>
        </w:tc>
        <w:tc>
          <w:tcPr>
            <w:tcW w:w="3060" w:type="dxa"/>
            <w:vAlign w:val="bottom"/>
            <w:gridSpan w:val="3"/>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588</w:t>
            </w:r>
          </w:p>
        </w:tc>
        <w:tc>
          <w:tcPr>
            <w:tcW w:w="20" w:type="dxa"/>
            <w:vAlign w:val="bottom"/>
          </w:tcPr>
          <w:p>
            <w:pPr>
              <w:spacing w:after="0"/>
              <w:rPr>
                <w:sz w:val="16"/>
                <w:szCs w:val="16"/>
                <w:color w:val="auto"/>
              </w:rPr>
            </w:pPr>
          </w:p>
        </w:tc>
        <w:tc>
          <w:tcPr>
            <w:tcW w:w="400" w:type="dxa"/>
            <w:vAlign w:val="bottom"/>
            <w:gridSpan w:val="2"/>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772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Total accrued expenses</w:t>
            </w:r>
          </w:p>
        </w:tc>
        <w:tc>
          <w:tcPr>
            <w:tcW w:w="30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1,052</w:t>
            </w:r>
          </w:p>
        </w:tc>
        <w:tc>
          <w:tcPr>
            <w:tcW w:w="40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40" w:right="7080" w:hanging="232"/>
        <w:spacing w:after="0" w:line="378" w:lineRule="auto"/>
        <w:tabs>
          <w:tab w:leader="none" w:pos="192"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Research and Development Agreements </w:t>
      </w:r>
      <w:r>
        <w:rPr>
          <w:rFonts w:ascii="Arial" w:cs="Arial" w:eastAsia="Arial" w:hAnsi="Arial"/>
          <w:sz w:val="18"/>
          <w:szCs w:val="18"/>
          <w:b w:val="1"/>
          <w:bCs w:val="1"/>
          <w:i w:val="1"/>
          <w:iCs w:val="1"/>
          <w:color w:val="auto"/>
        </w:rPr>
        <w:t>TESARO Collaboration</w:t>
      </w:r>
    </w:p>
    <w:p>
      <w:pPr>
        <w:ind w:right="60" w:firstLine="456"/>
        <w:spacing w:after="0" w:line="255" w:lineRule="auto"/>
        <w:rPr>
          <w:sz w:val="20"/>
          <w:szCs w:val="20"/>
          <w:color w:val="auto"/>
        </w:rPr>
      </w:pPr>
      <w:r>
        <w:rPr>
          <w:rFonts w:ascii="Arial" w:cs="Arial" w:eastAsia="Arial" w:hAnsi="Arial"/>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toxicology studies, under the principles of good laboratory practice, using the AnaptysBio-generated anti-PD-1 antagonist antibody (TSR-042)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AnaptysBio-generated anti-TIM-3 antagonist antibody (TSR-022), each being advanced by TESARO. The remaining unrecognized milestone payments of $0.3 million at December 31, 2015 will be recognized ratably through December 2016. Revenue from future contingent milestone payments will be recognized if and when such payments become due, subject to satisfaction of all of the criteria necessary to recognize revenue at that time.</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Revenue recognized under this agreement aggregated $11.5 million during the year ended December 31, 2014, which includes $7.0 million for the amortization of the upfront fee and $4.5 million in funding for research and development services. Revenue recognized under this agreement aggregated $17.6 million during the year ended December 31, 2015, which includes $9.4 million for the amortization of the upfront fee, $6.5 million in funding for research and development services, and $1.7 million for milestones earned, of which $1.2 million was receivable at December 31, 2015. Deferred revenue for this agreement was $2.9 million at December 31, 2015.</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$0.6 million during the year ended December 31, 2014, which includes $0.5 million in success fees and $92,000 in funding for research and development costs.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 ended December 31, 2014, we recognized revenue from other collaborative partners aggregating $0.6 million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291" w:lineRule="exact"/>
        <w:rPr>
          <w:sz w:val="20"/>
          <w:szCs w:val="20"/>
          <w:color w:val="auto"/>
        </w:rPr>
      </w:pPr>
    </w:p>
    <w:p>
      <w:pPr>
        <w:ind w:left="240" w:right="7460" w:hanging="232"/>
        <w:spacing w:after="0" w:line="378" w:lineRule="auto"/>
        <w:tabs>
          <w:tab w:leader="none" w:pos="192"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and Convertible Promissory Notes </w:t>
      </w:r>
      <w:r>
        <w:rPr>
          <w:rFonts w:ascii="Arial" w:cs="Arial" w:eastAsia="Arial" w:hAnsi="Arial"/>
          <w:sz w:val="18"/>
          <w:szCs w:val="18"/>
          <w:b w:val="1"/>
          <w:bCs w:val="1"/>
          <w:i w:val="1"/>
          <w:iCs w:val="1"/>
          <w:color w:val="auto"/>
        </w:rPr>
        <w:t>Notes Payable</w:t>
      </w: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dose PK/toxicology studies on at least two development programs and the Term C Loans for an aggregate of $5.0 million are available for draw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21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and (ii) July 1, 2016. The draw period will end upon the earlier of (i) an event of default as defined in the LSA Agreement and</w:t>
      </w:r>
    </w:p>
    <w:p>
      <w:pPr>
        <w:spacing w:after="0" w:line="2" w:lineRule="exact"/>
        <w:rPr>
          <w:sz w:val="20"/>
          <w:szCs w:val="20"/>
          <w:color w:val="auto"/>
        </w:rPr>
      </w:pPr>
    </w:p>
    <w:p>
      <w:pPr>
        <w:ind w:right="100" w:firstLine="8"/>
        <w:spacing w:after="0" w:line="302" w:lineRule="auto"/>
        <w:tabs>
          <w:tab w:leader="none" w:pos="26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December 31, 2016. If the Term B Loans and Term C Loans are issued, they will bear interest at the greater of 6.95% or the 3-month LIBOR plus 6.72%, with principal payments beginning February 1, 2017 and with final maturity in January 2019. At December 31, 2015, the Term A Loans are due in 13 monthly interest-only payments through January 2017, followed by 24 equal monthly principal and interest payments, with final maturity in January 2019.</w:t>
      </w:r>
    </w:p>
    <w:p>
      <w:pPr>
        <w:spacing w:after="0" w:line="15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2015, the carrying amount of the Term A Loans was $4.9 million, which is net of discounts of $97,000. The Term A Loans were classified as noncurrent in the Consolidated Balance Sheets at December 31, 2015 as a result of the LSA Amendment in January 2016. The effective interest rate on the Term A Loans at December 31, 2015 was 9.25%. As of December 31, 2015, future principal maturities of the Term A Loans were $2.2 million, $2.6 million and $0.2 million in 2017, 2018 and 2019, respectively.</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December 31, 2015, we were in compliance with the covenants contained in the Loan and Security Agreement.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$4.55 per share.</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April 2014, the principal and accrued interest on the notes, which aggregated $2.2 million, were converted into 476,190 shares of Series C-1 Preferred Stock. The unamortized discount of $0.4 million at the date of conversion was recognized as interest expense. Total interest expense resulting from the amortization and write-off of the discount totaled $1.2 million during the year ended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380" w:type="dxa"/>
            <w:vAlign w:val="bottom"/>
          </w:tcPr>
          <w:p>
            <w:pPr>
              <w:spacing w:after="0"/>
              <w:rPr>
                <w:sz w:val="10"/>
                <w:szCs w:val="10"/>
                <w:color w:val="auto"/>
              </w:rPr>
            </w:pPr>
          </w:p>
        </w:tc>
        <w:tc>
          <w:tcPr>
            <w:tcW w:w="150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8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Prices for</w:t>
            </w:r>
          </w:p>
        </w:tc>
        <w:tc>
          <w:tcPr>
            <w:tcW w:w="380" w:type="dxa"/>
            <w:vAlign w:val="bottom"/>
          </w:tcPr>
          <w:p>
            <w:pPr>
              <w:spacing w:after="0"/>
              <w:rPr>
                <w:sz w:val="12"/>
                <w:szCs w:val="12"/>
                <w:color w:val="auto"/>
              </w:rPr>
            </w:pPr>
          </w:p>
        </w:tc>
        <w:tc>
          <w:tcPr>
            <w:tcW w:w="15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90"/>
              </w:rPr>
              <w:t>At December 31, 2014</w:t>
            </w:r>
          </w:p>
        </w:tc>
        <w:tc>
          <w:tcPr>
            <w:tcW w:w="4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14,736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14,736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Mutual funds(1)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7,227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7,227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U.S. treasury security(2)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569</w:t>
            </w:r>
          </w:p>
        </w:tc>
        <w:tc>
          <w:tcPr>
            <w:tcW w:w="0" w:type="dxa"/>
            <w:vAlign w:val="bottom"/>
          </w:tcPr>
          <w:p>
            <w:pPr>
              <w:spacing w:after="0"/>
              <w:rPr>
                <w:sz w:val="1"/>
                <w:szCs w:val="1"/>
                <w:color w:val="auto"/>
              </w:rPr>
            </w:pPr>
          </w:p>
        </w:tc>
      </w:tr>
      <w:tr>
        <w:trPr>
          <w:trHeight w:val="194"/>
        </w:trPr>
        <w:tc>
          <w:tcPr>
            <w:tcW w:w="17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0"/>
              </w:rPr>
              <w:t>At December 31, 2015</w:t>
            </w: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6,755</w:t>
            </w:r>
          </w:p>
        </w:tc>
        <w:tc>
          <w:tcPr>
            <w:tcW w:w="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6,755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Mutual funds(1)</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44,077</w:t>
            </w: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44,077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U.S. treasury security(2)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1,549</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1,549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Included in cash and cash equivalents in the Consolidated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Consolidated Balance Sheets.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60" w:right="3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00" w:type="dxa"/>
            <w:vAlign w:val="bottom"/>
            <w:vMerge w:val="restart"/>
          </w:tcPr>
          <w:p>
            <w:pPr>
              <w:spacing w:after="0"/>
              <w:rPr>
                <w:sz w:val="20"/>
                <w:szCs w:val="20"/>
                <w:color w:val="auto"/>
              </w:rPr>
            </w:pPr>
            <w:r>
              <w:rPr>
                <w:rFonts w:ascii="Arial" w:cs="Arial" w:eastAsia="Arial" w:hAnsi="Arial"/>
                <w:sz w:val="18"/>
                <w:szCs w:val="18"/>
                <w:color w:val="auto"/>
              </w:rPr>
              <w:t>Fair value of preferred stock</w:t>
            </w:r>
          </w:p>
        </w:tc>
        <w:tc>
          <w:tcPr>
            <w:tcW w:w="2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00" w:type="dxa"/>
            <w:vAlign w:val="bottom"/>
            <w:vMerge w:val="continue"/>
          </w:tcPr>
          <w:p>
            <w:pPr>
              <w:spacing w:after="0"/>
              <w:rPr>
                <w:sz w:val="16"/>
                <w:szCs w:val="16"/>
                <w:color w:val="auto"/>
              </w:rPr>
            </w:pPr>
          </w:p>
        </w:tc>
        <w:tc>
          <w:tcPr>
            <w:tcW w:w="242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4.06</w:t>
            </w:r>
          </w:p>
        </w:tc>
        <w:tc>
          <w:tcPr>
            <w:tcW w:w="9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9.10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Exercise price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4.55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Volatility</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Dividend Yield</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1.96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2014 and 2015 would result in increases in the estimated fair values of the preferred stock warrant liabilities of $89,000 and $0.2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9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900" w:type="dxa"/>
            <w:vAlign w:val="bottom"/>
          </w:tcPr>
          <w:p>
            <w:pPr>
              <w:spacing w:after="0" w:line="182" w:lineRule="exact"/>
              <w:rPr>
                <w:sz w:val="20"/>
                <w:szCs w:val="20"/>
                <w:color w:val="auto"/>
              </w:rPr>
            </w:pPr>
            <w:r>
              <w:rPr>
                <w:rFonts w:ascii="Arial" w:cs="Arial" w:eastAsia="Arial" w:hAnsi="Arial"/>
                <w:sz w:val="18"/>
                <w:szCs w:val="18"/>
                <w:b w:val="1"/>
                <w:bCs w:val="1"/>
                <w:color w:val="auto"/>
              </w:rPr>
              <w:t>Preferred Stock Warrant Liabilities: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w w:val="88"/>
              </w:rPr>
              <w:t>$(386)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Issuances</w:t>
            </w: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(1,277)</w:t>
            </w: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Reclassification of warrant liabilities to equity</w:t>
            </w:r>
          </w:p>
        </w:tc>
        <w:tc>
          <w:tcPr>
            <w:tcW w:w="20" w:type="dxa"/>
            <w:vAlign w:val="bottom"/>
          </w:tcPr>
          <w:p>
            <w:pPr>
              <w:spacing w:after="0"/>
              <w:rPr>
                <w:sz w:val="20"/>
                <w:szCs w:val="20"/>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990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(569</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(1,549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July 2015, the Company reclassified 41,208 Series C Preferred Stock warrants from Preferred stock warrant liabilities to Additional paid in capital on the Consolidated Balance Sheets, at fair value on the date of transfer. The reclassification occurred upon the expiration of a feature within the warrant contract that had previously precluded equity classification. As a result, these warrants are no longer remeasured at fair value on a recurring basis at December 31,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financial instruments estimated as of December 31, 2014 and 2015 are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192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2014</w:t>
            </w:r>
          </w:p>
        </w:tc>
        <w:tc>
          <w:tcPr>
            <w:tcW w:w="150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79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2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7900" w:type="dxa"/>
            <w:vAlign w:val="bottom"/>
            <w:vMerge w:val="restart"/>
          </w:tcPr>
          <w:p>
            <w:pPr>
              <w:spacing w:after="0"/>
              <w:rPr>
                <w:sz w:val="20"/>
                <w:szCs w:val="20"/>
                <w:color w:val="auto"/>
              </w:rPr>
            </w:pPr>
            <w:r>
              <w:rPr>
                <w:rFonts w:ascii="Arial" w:cs="Arial" w:eastAsia="Arial" w:hAnsi="Arial"/>
                <w:sz w:val="18"/>
                <w:szCs w:val="18"/>
                <w:color w:val="auto"/>
              </w:rPr>
              <w:t>Notes Payable</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$ 4,793</w:t>
            </w:r>
          </w:p>
        </w:tc>
        <w:tc>
          <w:tcPr>
            <w:tcW w:w="42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$4,793</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$ 4,903</w:t>
            </w:r>
          </w:p>
        </w:tc>
        <w:tc>
          <w:tcPr>
            <w:tcW w:w="42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$4,686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the Company’s financial instruments for which it is practicable to estimate that value:</w:t>
      </w:r>
    </w:p>
    <w:p>
      <w:pPr>
        <w:spacing w:after="0" w:line="6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Notes Payable </w:t>
      </w:r>
      <w:r>
        <w:rPr>
          <w:rFonts w:ascii="Arial" w:cs="Arial" w:eastAsia="Arial" w:hAnsi="Arial"/>
          <w:sz w:val="17"/>
          <w:szCs w:val="17"/>
          <w:color w:val="auto"/>
        </w:rPr>
        <w:t>—We use the income approach to value the aforementioned debt instrument. We use a present value calculation to discount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interest payments and the final maturity payment on these liabilities using a discounted cash flow model based on observable inputs. The Company discounts these debt instruments based on what the current market rates would offer the Company as of the reporting date. Based on the assumptions used to value these liabilities at fair value, these debt instruments are categorized as Level 2 in the fair value hierarchy.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2015, we issued and sold 5,490,973 shares of Series D Convertible Preferred Stock at $7.42 per share for net proceeds of $40.7 million.</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Certificate of Incorporation and 2006 Equity Incentive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13, 2015, we amended our amended and restated certificate of incorporation to increase the total number of shares authorized for issuance from 20,215,271 shares to 29,029,772 shares. Of these shares, 17,214,285 shares are designated as common stock and 11,815,487 shares are designated as preferred stock, which are designated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A</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B</w:t>
            </w:r>
          </w:p>
        </w:tc>
        <w:tc>
          <w:tcPr>
            <w:tcW w:w="940" w:type="dxa"/>
            <w:vAlign w:val="bottom"/>
          </w:tcPr>
          <w:p>
            <w:pPr>
              <w:jc w:val="right"/>
              <w:spacing w:after="0"/>
              <w:rPr>
                <w:sz w:val="20"/>
                <w:szCs w:val="20"/>
                <w:color w:val="auto"/>
              </w:rPr>
            </w:pPr>
            <w:r>
              <w:rPr>
                <w:rFonts w:ascii="Arial" w:cs="Arial" w:eastAsia="Arial" w:hAnsi="Arial"/>
                <w:sz w:val="18"/>
                <w:szCs w:val="18"/>
                <w:color w:val="auto"/>
              </w:rPr>
              <w:t>3,646,356</w:t>
            </w:r>
          </w:p>
        </w:tc>
        <w:tc>
          <w:tcPr>
            <w:tcW w:w="20" w:type="dxa"/>
            <w:vAlign w:val="bottom"/>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B-1</w:t>
            </w:r>
          </w:p>
        </w:tc>
        <w:tc>
          <w:tcPr>
            <w:tcW w:w="940" w:type="dxa"/>
            <w:vAlign w:val="bottom"/>
          </w:tcPr>
          <w:p>
            <w:pPr>
              <w:jc w:val="right"/>
              <w:spacing w:after="0"/>
              <w:rPr>
                <w:sz w:val="20"/>
                <w:szCs w:val="20"/>
                <w:color w:val="auto"/>
              </w:rPr>
            </w:pPr>
            <w:r>
              <w:rPr>
                <w:rFonts w:ascii="Arial" w:cs="Arial" w:eastAsia="Arial" w:hAnsi="Arial"/>
                <w:sz w:val="18"/>
                <w:szCs w:val="18"/>
                <w:color w:val="auto"/>
              </w:rPr>
              <w:t>285,163</w:t>
            </w:r>
          </w:p>
        </w:tc>
        <w:tc>
          <w:tcPr>
            <w:tcW w:w="20" w:type="dxa"/>
            <w:vAlign w:val="bottom"/>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B-2</w:t>
            </w:r>
          </w:p>
        </w:tc>
        <w:tc>
          <w:tcPr>
            <w:tcW w:w="940" w:type="dxa"/>
            <w:vAlign w:val="bottom"/>
          </w:tcPr>
          <w:p>
            <w:pPr>
              <w:jc w:val="right"/>
              <w:spacing w:after="0"/>
              <w:rPr>
                <w:sz w:val="20"/>
                <w:szCs w:val="20"/>
                <w:color w:val="auto"/>
              </w:rPr>
            </w:pPr>
            <w:r>
              <w:rPr>
                <w:rFonts w:ascii="Arial" w:cs="Arial" w:eastAsia="Arial" w:hAnsi="Arial"/>
                <w:sz w:val="18"/>
                <w:szCs w:val="18"/>
                <w:color w:val="auto"/>
              </w:rPr>
              <w:t>31,744</w:t>
            </w:r>
          </w:p>
        </w:tc>
        <w:tc>
          <w:tcPr>
            <w:tcW w:w="20" w:type="dxa"/>
            <w:vAlign w:val="bottom"/>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C</w:t>
            </w:r>
          </w:p>
        </w:tc>
        <w:tc>
          <w:tcPr>
            <w:tcW w:w="940" w:type="dxa"/>
            <w:vAlign w:val="bottom"/>
          </w:tcPr>
          <w:p>
            <w:pPr>
              <w:jc w:val="right"/>
              <w:spacing w:after="0"/>
              <w:rPr>
                <w:sz w:val="20"/>
                <w:szCs w:val="20"/>
                <w:color w:val="auto"/>
              </w:rPr>
            </w:pPr>
            <w:r>
              <w:rPr>
                <w:rFonts w:ascii="Arial" w:cs="Arial" w:eastAsia="Arial" w:hAnsi="Arial"/>
                <w:sz w:val="18"/>
                <w:szCs w:val="18"/>
                <w:color w:val="auto"/>
              </w:rPr>
              <w:t>1,887,250</w:t>
            </w:r>
          </w:p>
        </w:tc>
        <w:tc>
          <w:tcPr>
            <w:tcW w:w="20" w:type="dxa"/>
            <w:vAlign w:val="bottom"/>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Series C-1</w:t>
            </w:r>
          </w:p>
        </w:tc>
        <w:tc>
          <w:tcPr>
            <w:tcW w:w="940" w:type="dxa"/>
            <w:vAlign w:val="bottom"/>
          </w:tcPr>
          <w:p>
            <w:pPr>
              <w:jc w:val="right"/>
              <w:spacing w:after="0"/>
              <w:rPr>
                <w:sz w:val="20"/>
                <w:szCs w:val="20"/>
                <w:color w:val="auto"/>
              </w:rPr>
            </w:pPr>
            <w:r>
              <w:rPr>
                <w:rFonts w:ascii="Arial" w:cs="Arial" w:eastAsia="Arial" w:hAnsi="Arial"/>
                <w:sz w:val="18"/>
                <w:szCs w:val="18"/>
                <w:color w:val="auto"/>
              </w:rPr>
              <w:t>474,001</w:t>
            </w:r>
          </w:p>
        </w:tc>
        <w:tc>
          <w:tcPr>
            <w:tcW w:w="20" w:type="dxa"/>
            <w:vAlign w:val="bottom"/>
          </w:tcPr>
          <w:p>
            <w:pPr>
              <w:spacing w:after="0"/>
              <w:rPr>
                <w:sz w:val="18"/>
                <w:szCs w:val="18"/>
                <w:color w:val="auto"/>
              </w:rPr>
            </w:pPr>
          </w:p>
        </w:tc>
      </w:tr>
      <w:tr>
        <w:trPr>
          <w:trHeight w:val="230"/>
        </w:trPr>
        <w:tc>
          <w:tcPr>
            <w:tcW w:w="10380" w:type="dxa"/>
            <w:vAlign w:val="bottom"/>
          </w:tcPr>
          <w:p>
            <w:pPr>
              <w:spacing w:after="0"/>
              <w:rPr>
                <w:sz w:val="20"/>
                <w:szCs w:val="20"/>
                <w:color w:val="auto"/>
              </w:rPr>
            </w:pPr>
            <w:r>
              <w:rPr>
                <w:rFonts w:ascii="Arial" w:cs="Arial" w:eastAsia="Arial" w:hAnsi="Arial"/>
                <w:sz w:val="18"/>
                <w:szCs w:val="18"/>
                <w:color w:val="auto"/>
              </w:rPr>
              <w:t>Series 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5,490,973</w:t>
            </w:r>
          </w:p>
        </w:tc>
        <w:tc>
          <w:tcPr>
            <w:tcW w:w="20" w:type="dxa"/>
            <w:vAlign w:val="bottom"/>
          </w:tcPr>
          <w:p>
            <w:pPr>
              <w:spacing w:after="0"/>
              <w:rPr>
                <w:sz w:val="20"/>
                <w:szCs w:val="20"/>
                <w:color w:val="auto"/>
              </w:rPr>
            </w:pPr>
          </w:p>
        </w:tc>
      </w:tr>
      <w:tr>
        <w:trPr>
          <w:trHeight w:val="223"/>
        </w:trPr>
        <w:tc>
          <w:tcPr>
            <w:tcW w:w="10380" w:type="dxa"/>
            <w:vAlign w:val="bottom"/>
          </w:tcPr>
          <w:p>
            <w:pPr>
              <w:ind w:left="360"/>
              <w:spacing w:after="0"/>
              <w:rPr>
                <w:sz w:val="20"/>
                <w:szCs w:val="20"/>
                <w:color w:val="auto"/>
              </w:rPr>
            </w:pPr>
            <w:r>
              <w:rPr>
                <w:rFonts w:ascii="Arial" w:cs="Arial" w:eastAsia="Arial" w:hAnsi="Arial"/>
                <w:sz w:val="18"/>
                <w:szCs w:val="18"/>
                <w:color w:val="auto"/>
              </w:rPr>
              <w:t>Total designated Preferred Stock</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11,815,487</w:t>
            </w:r>
          </w:p>
        </w:tc>
        <w:tc>
          <w:tcPr>
            <w:tcW w:w="20" w:type="dxa"/>
            <w:vAlign w:val="bottom"/>
            <w:tcBorders>
              <w:bottom w:val="single" w:sz="8" w:color="auto"/>
            </w:tcBorders>
          </w:tcPr>
          <w:p>
            <w:pPr>
              <w:spacing w:after="0"/>
              <w:rPr>
                <w:sz w:val="19"/>
                <w:szCs w:val="19"/>
                <w:color w:val="auto"/>
              </w:rPr>
            </w:pPr>
          </w:p>
        </w:tc>
      </w:tr>
      <w:tr>
        <w:trPr>
          <w:trHeight w:val="20"/>
        </w:trPr>
        <w:tc>
          <w:tcPr>
            <w:tcW w:w="10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Additionally, the amended and restated certificate of incorporation provided for the split of Series B and Series B-1 Preferred Stock into ten shares for every nine shares outstanding. The consolidated financial statements and accompanying footnotes have been retroactively restated to reflect the Series B and Series B-1 Preferred Stock splits.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97"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154" w:lineRule="exact"/>
        <w:rPr>
          <w:sz w:val="20"/>
          <w:szCs w:val="20"/>
          <w:color w:val="auto"/>
        </w:rPr>
      </w:pPr>
    </w:p>
    <w:p>
      <w:pPr>
        <w:jc w:val="both"/>
        <w:ind w:right="260" w:firstLine="456"/>
        <w:spacing w:after="0" w:line="258"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Preferred Stock are entitled to receive noncumulative dividends at a rate of 8% of the respective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 price per annum. The Series D Preferred Stock dividends are payable in preference and in priority to any Series C-1 Preferred Stock.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2015, the board of directors has not declared any dividends.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Liquidation Rights. </w:t>
      </w:r>
      <w:r>
        <w:rPr>
          <w:rFonts w:ascii="Arial" w:cs="Arial" w:eastAsia="Arial" w:hAnsi="Arial"/>
          <w:sz w:val="16"/>
          <w:szCs w:val="16"/>
          <w:color w:val="auto"/>
        </w:rPr>
        <w:t>Upon liquidation, dissolution or winding up of the Company, the holders of Preferred Stock are entitled to receive distributions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out of the assets of the Company, before any distributions are made to the holders of common stock. The holders of the Series D are entitled to receive liquidation preference at one (1) times the original issue price of $7.42 per share plus all declared and unpaid dividends. Liquidation payments to the holders of Series D Preferred Stock have priority and are made in preference to any payments to the holders of Series C-1 Preferred Stock. The holders of the Series C-1 are entitled to receive liquidation preference at three (3) times the original issue price of $4.55 per share plus all declared and unpaid dividends. Liquidation payments to the holders of Series C-1 Preferred Stock have priority and are made in preference to any payments to the holders of Series C Preferred Stock. The holders of the Series C Preferred Stock are entitled to receive liquidation preferences at the rate of $4.55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$6.30 per share plus all declared and unpaid dividends and the holders of Series A and Series B-2 Preferred Stock are entitled to receive liquidation preferences at the rate of $7.00 per share plus all declared and unpaid dividends. Liquidation payments to the holders of Series B and Series A Preferred Stock have priority and are made in preference to any payments to the holders of common stock.</w:t>
      </w:r>
    </w:p>
    <w:p>
      <w:pPr>
        <w:spacing w:after="0" w:line="169"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b w:val="1"/>
          <w:bCs w:val="1"/>
          <w:color w:val="auto"/>
        </w:rPr>
        <w:t xml:space="preserve">Conversion Rights. </w:t>
      </w:r>
      <w:r>
        <w:rPr>
          <w:rFonts w:ascii="Arial" w:cs="Arial" w:eastAsia="Arial" w:hAnsi="Arial"/>
          <w:sz w:val="17"/>
          <w:szCs w:val="17"/>
          <w:color w:val="auto"/>
        </w:rPr>
        <w:t>The shares of Series A Preferred Stock are convertible into shares of common stock at a conversion price of $6.30 per share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Series B, C, C-1 and D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gross cash proceeds to the Company (before underwriting discounts, commissions and fees) are at least $50.0 million.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have authorized 17,214,285 shares of common stock, of which 2,629,544 shares were issued and outstanding at December 31, 2015. Common shares reserved for future issuance upon the exercise, issuance or conversion of the respective equity instruments at December 31, 2015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Convertible preferred stock</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11,520,698</w:t>
            </w:r>
          </w:p>
        </w:tc>
        <w:tc>
          <w:tcPr>
            <w:tcW w:w="0" w:type="dxa"/>
            <w:vAlign w:val="bottom"/>
          </w:tcPr>
          <w:p>
            <w:pPr>
              <w:spacing w:after="0"/>
              <w:rPr>
                <w:sz w:val="1"/>
                <w:szCs w:val="1"/>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Issued and Outstanding:</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ind w:left="360"/>
              <w:spacing w:after="0"/>
              <w:rPr>
                <w:sz w:val="20"/>
                <w:szCs w:val="20"/>
                <w:color w:val="auto"/>
              </w:rPr>
            </w:pPr>
            <w:r>
              <w:rPr>
                <w:rFonts w:ascii="Arial" w:cs="Arial" w:eastAsia="Arial" w:hAnsi="Arial"/>
                <w:sz w:val="18"/>
                <w:szCs w:val="18"/>
                <w:color w:val="auto"/>
              </w:rPr>
              <w:t>Stock options</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2,050,196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ind w:left="360"/>
              <w:spacing w:after="0"/>
              <w:rPr>
                <w:sz w:val="20"/>
                <w:szCs w:val="20"/>
                <w:color w:val="auto"/>
              </w:rPr>
            </w:pPr>
            <w:r>
              <w:rPr>
                <w:rFonts w:ascii="Arial" w:cs="Arial" w:eastAsia="Arial" w:hAnsi="Arial"/>
                <w:sz w:val="18"/>
                <w:szCs w:val="18"/>
                <w:color w:val="auto"/>
              </w:rPr>
              <w:t>Warrants for shares of convertible preferred stock and common stock</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412,262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Shares reserved for future award grants</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328,962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14,312,118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ind w:left="240"/>
              <w:spacing w:after="0"/>
              <w:rPr>
                <w:sz w:val="20"/>
                <w:szCs w:val="20"/>
                <w:color w:val="auto"/>
              </w:rPr>
            </w:pPr>
            <w:r>
              <w:rPr>
                <w:rFonts w:ascii="Arial" w:cs="Arial" w:eastAsia="Arial" w:hAnsi="Arial"/>
                <w:sz w:val="18"/>
                <w:szCs w:val="18"/>
                <w:b w:val="1"/>
                <w:bCs w:val="1"/>
                <w:i w:val="1"/>
                <w:iCs w:val="1"/>
                <w:color w:val="auto"/>
              </w:rPr>
              <w:t>Warrants for Shares of Preferred and Common Stock</w:t>
            </w: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gridSpan w:val="5"/>
          </w:tcPr>
          <w:p>
            <w:pPr>
              <w:ind w:left="460"/>
              <w:spacing w:after="0"/>
              <w:rPr>
                <w:sz w:val="20"/>
                <w:szCs w:val="20"/>
                <w:color w:val="auto"/>
              </w:rPr>
            </w:pPr>
            <w:r>
              <w:rPr>
                <w:rFonts w:ascii="Arial" w:cs="Arial" w:eastAsia="Arial" w:hAnsi="Arial"/>
                <w:sz w:val="18"/>
                <w:szCs w:val="18"/>
                <w:color w:val="auto"/>
                <w:w w:val="91"/>
              </w:rPr>
              <w:t>A summary of the activity related to our warrants during the year ended December 31, 2015 is as follows: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320" w:type="dxa"/>
            <w:vAlign w:val="bottom"/>
          </w:tcPr>
          <w:p>
            <w:pPr>
              <w:spacing w:after="0"/>
              <w:rPr>
                <w:sz w:val="24"/>
                <w:szCs w:val="24"/>
                <w:color w:val="auto"/>
              </w:rPr>
            </w:pPr>
          </w:p>
        </w:tc>
        <w:tc>
          <w:tcPr>
            <w:tcW w:w="6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3"/>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Subject</w:t>
            </w: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rPr>
              <w:t>Warrant</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to</w:t>
            </w: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Price per</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Term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Warrants to Purchase Shares of Series C Preferred Stock</w:t>
            </w:r>
          </w:p>
        </w:tc>
        <w:tc>
          <w:tcPr>
            <w:tcW w:w="2460" w:type="dxa"/>
            <w:vAlign w:val="bottom"/>
            <w:vMerge w:val="restart"/>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Share</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auto"/>
            </w:tcBorders>
            <w:gridSpan w:val="2"/>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860" w:type="dxa"/>
            <w:vAlign w:val="bottom"/>
            <w:gridSpan w:val="3"/>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294,779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4.55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68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Warrants to Purchase Shares of Common Stock</w:t>
            </w: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gridSpan w:val="3"/>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117,483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4.55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544,285 and on July 9, 2015, we amended our 2006 Equity Incentive Plan to increase the number of shares reserved for issuance under the plan by 680,978 shares. As of December 31, 2015, awards for up to 2,379,158 shares of common stock are reserved for issuance under the Plan, of which 2,050,196 are reserved for issuance upon exercise of granted and outstanding options and 328,962 shares are available for future grants.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2015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3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Remaining</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 per</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Term</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6960" w:type="dxa"/>
            <w:vAlign w:val="bottom"/>
            <w:vMerge w:val="restart"/>
          </w:tcPr>
          <w:p>
            <w:pPr>
              <w:spacing w:after="0"/>
              <w:rPr>
                <w:sz w:val="20"/>
                <w:szCs w:val="20"/>
                <w:color w:val="auto"/>
              </w:rPr>
            </w:pPr>
            <w:r>
              <w:rPr>
                <w:rFonts w:ascii="Arial" w:cs="Arial" w:eastAsia="Arial" w:hAnsi="Arial"/>
                <w:sz w:val="18"/>
                <w:szCs w:val="18"/>
                <w:color w:val="auto"/>
              </w:rPr>
              <w:t>Outstanding at January 1, 2015</w:t>
            </w:r>
          </w:p>
        </w:tc>
        <w:tc>
          <w:tcPr>
            <w:tcW w:w="13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(in years)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95"/>
        </w:trPr>
        <w:tc>
          <w:tcPr>
            <w:tcW w:w="696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1,244,837</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w:t>
            </w:r>
          </w:p>
        </w:tc>
        <w:tc>
          <w:tcPr>
            <w:tcW w:w="5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1,040,093</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7.03</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Exercises</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(148,395)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(86,339)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3.87</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360"/>
              <w:spacing w:after="0"/>
              <w:rPr>
                <w:sz w:val="20"/>
                <w:szCs w:val="20"/>
                <w:color w:val="auto"/>
              </w:rPr>
            </w:pPr>
            <w:r>
              <w:rPr>
                <w:rFonts w:ascii="Arial" w:cs="Arial" w:eastAsia="Arial" w:hAnsi="Arial"/>
                <w:sz w:val="18"/>
                <w:szCs w:val="18"/>
                <w:color w:val="auto"/>
              </w:rPr>
              <w:t>Outstanding and exercisable at December 31, 2015</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2,050,196</w:t>
            </w: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3.99</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7.4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$ 9,900.2</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December 31, 2015</w:t>
            </w: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3.84</w:t>
            </w: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7.9</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7"/>
              </w:rPr>
              <w:t>$ 9,400.8</w:t>
            </w:r>
          </w:p>
        </w:tc>
        <w:tc>
          <w:tcPr>
            <w:tcW w:w="0" w:type="dxa"/>
            <w:vAlign w:val="bottom"/>
          </w:tcPr>
          <w:p>
            <w:pPr>
              <w:spacing w:after="0" w:line="20" w:lineRule="exact"/>
              <w:rPr>
                <w:sz w:val="1"/>
                <w:szCs w:val="1"/>
                <w:color w:val="auto"/>
              </w:rPr>
            </w:pPr>
          </w:p>
        </w:tc>
      </w:tr>
      <w:tr>
        <w:trPr>
          <w:trHeight w:val="211"/>
        </w:trPr>
        <w:tc>
          <w:tcPr>
            <w:tcW w:w="696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1,885,856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$0.2 million during the year ended December 31, 2015.</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estimated fair value of each stock option award was determined on the date of grant using the Black-Scholes option valuation model with the following weighted average assumptions for options granted to employees during the years ended December 31, 2014 and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5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0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10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900" w:type="dxa"/>
            <w:vAlign w:val="bottom"/>
            <w:vMerge w:val="continue"/>
          </w:tcPr>
          <w:p>
            <w:pPr>
              <w:spacing w:after="0"/>
              <w:rPr>
                <w:sz w:val="16"/>
                <w:szCs w:val="16"/>
                <w:color w:val="auto"/>
              </w:rPr>
            </w:pPr>
          </w:p>
        </w:tc>
        <w:tc>
          <w:tcPr>
            <w:tcW w:w="1660" w:type="dxa"/>
            <w:vAlign w:val="bottom"/>
            <w:gridSpan w:val="2"/>
          </w:tcPr>
          <w:p>
            <w:pPr>
              <w:jc w:val="right"/>
              <w:ind w:right="840"/>
              <w:spacing w:after="0" w:line="195"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6"/>
                <w:szCs w:val="16"/>
                <w:color w:val="auto"/>
              </w:rPr>
            </w:pPr>
          </w:p>
        </w:tc>
        <w:tc>
          <w:tcPr>
            <w:tcW w:w="6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Weighted-average grant date fair value per share</w:t>
            </w: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   1.05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non-cash stock-based compensation expense for all stock awards that was recognized in the statements of operations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100" w:type="dxa"/>
            <w:vAlign w:val="bottom"/>
          </w:tcPr>
          <w:p>
            <w:pPr>
              <w:spacing w:after="0" w:line="195" w:lineRule="exact"/>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6"/>
                <w:szCs w:val="16"/>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282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w:t>
            </w: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At December 31, 2015, there was $4.3 million of unrecognized compensation cost related to unvested stock option awards, which is expected to be recognized over a remaining weighted average vesting period of 3.6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2014 or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lease our facility under a non-cancellable operating lease for which we exercised our option to renew for an additional five-year period. The lease now expires in August 2021.</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Rent expense was $0.4 million during the years ended December 31, 2014 and 2015, respectively. At December 31, 2015, deferred rent aggregated $0.1 million, of which $21,000 is included in other current liabilities and $0.1 million is included in noncurrent liabilities in the accompanying consolidated balance sheet. At December 31, 2015, the future minimum annual obligations under non-cancellable operating lease commitments are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Years Ending December 31,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2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30"/>
        </w:trPr>
        <w:tc>
          <w:tcPr>
            <w:tcW w:w="108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23"/>
        </w:trPr>
        <w:tc>
          <w:tcPr>
            <w:tcW w:w="10820" w:type="dxa"/>
            <w:vAlign w:val="bottom"/>
          </w:tcPr>
          <w:p>
            <w:pPr>
              <w:spacing w:after="0"/>
              <w:rPr>
                <w:sz w:val="20"/>
                <w:szCs w:val="20"/>
                <w:color w:val="auto"/>
              </w:rPr>
            </w:pPr>
            <w:r>
              <w:rPr>
                <w:rFonts w:ascii="Arial" w:cs="Arial" w:eastAsia="Arial" w:hAnsi="Arial"/>
                <w:sz w:val="18"/>
                <w:szCs w:val="18"/>
                <w:color w:val="auto"/>
              </w:rPr>
              <w:t>Total minimum payments required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3,154</w:t>
            </w:r>
          </w:p>
        </w:tc>
      </w:tr>
      <w:tr>
        <w:trPr>
          <w:trHeight w:val="20"/>
        </w:trPr>
        <w:tc>
          <w:tcPr>
            <w:tcW w:w="10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$0.2 million during each of the years ended December 31, 2014 and 2015. Total cash paid under these agreements was $0.2 million during each of the years ended December 31, 2014 and 2015.</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Future minimum annual obligations under all such license agreements were $0.2 million in aggregate. These obligations are payable through ten years from the first commercial sale, if any, or expiration of the last patent to expire, the dates of which are not determinable at this time.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At December 31, 2014 and 2015, we were contingently liable for a standby letter of credit issued by a commercial bank for $85,000 and $60,000, respectively, for security on our lease. A restricted cash account with these amounts was held as cash collateral for the letter of credit.</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7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560" w:type="dxa"/>
            <w:vAlign w:val="bottom"/>
          </w:tcPr>
          <w:p>
            <w:pPr>
              <w:spacing w:after="0" w:line="182" w:lineRule="exact"/>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16,480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16,251</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5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9560" w:type="dxa"/>
            <w:vAlign w:val="bottom"/>
          </w:tcPr>
          <w:p>
            <w:pPr>
              <w:ind w:left="360"/>
              <w:spacing w:after="0"/>
              <w:rPr>
                <w:sz w:val="20"/>
                <w:szCs w:val="20"/>
                <w:color w:val="auto"/>
              </w:rPr>
            </w:pPr>
            <w:r>
              <w:rPr>
                <w:rFonts w:ascii="Arial" w:cs="Arial" w:eastAsia="Arial" w:hAnsi="Arial"/>
                <w:sz w:val="18"/>
                <w:szCs w:val="18"/>
                <w:color w:val="auto"/>
              </w:rPr>
              <w:t>Convertible promissory note</w:t>
            </w:r>
          </w:p>
        </w:tc>
        <w:tc>
          <w:tcPr>
            <w:tcW w:w="10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560" w:type="dxa"/>
            <w:vAlign w:val="bottom"/>
          </w:tcPr>
          <w:p>
            <w:pPr>
              <w:ind w:left="108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tcPr>
          <w:p>
            <w:pPr>
              <w:ind w:left="108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(18,836)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(20,090)</w:t>
            </w:r>
          </w:p>
        </w:tc>
        <w:tc>
          <w:tcPr>
            <w:tcW w:w="0" w:type="dxa"/>
            <w:vAlign w:val="bottom"/>
          </w:tcPr>
          <w:p>
            <w:pPr>
              <w:spacing w:after="0"/>
              <w:rPr>
                <w:sz w:val="1"/>
                <w:szCs w:val="1"/>
                <w:color w:val="auto"/>
              </w:rPr>
            </w:pPr>
          </w:p>
        </w:tc>
      </w:tr>
      <w:tr>
        <w:trPr>
          <w:trHeight w:val="223"/>
        </w:trPr>
        <w:tc>
          <w:tcPr>
            <w:tcW w:w="9560" w:type="dxa"/>
            <w:vAlign w:val="bottom"/>
          </w:tcPr>
          <w:p>
            <w:pPr>
              <w:ind w:left="1440"/>
              <w:spacing w:after="0"/>
              <w:rPr>
                <w:sz w:val="20"/>
                <w:szCs w:val="20"/>
                <w:color w:val="auto"/>
              </w:rPr>
            </w:pPr>
            <w:r>
              <w:rPr>
                <w:rFonts w:ascii="Arial" w:cs="Arial" w:eastAsia="Arial" w:hAnsi="Arial"/>
                <w:sz w:val="18"/>
                <w:szCs w:val="18"/>
                <w:color w:val="auto"/>
              </w:rPr>
              <w:t>Deferred tax assets, net of valuation allowance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2015, we had federal and state net operating loss carryforwards (“NOL”)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carryforward indefinitely.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State NOL carryforwards may be similarly limited.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40" w:type="dxa"/>
            <w:vAlign w:val="bottom"/>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240" w:type="dxa"/>
            <w:vAlign w:val="bottom"/>
          </w:tcPr>
          <w:p>
            <w:pPr>
              <w:spacing w:after="0" w:line="195" w:lineRule="exact"/>
              <w:rPr>
                <w:sz w:val="20"/>
                <w:szCs w:val="20"/>
                <w:color w:val="auto"/>
              </w:rPr>
            </w:pPr>
            <w:r>
              <w:rPr>
                <w:rFonts w:ascii="Arial" w:cs="Arial" w:eastAsia="Arial" w:hAnsi="Arial"/>
                <w:sz w:val="18"/>
                <w:szCs w:val="18"/>
                <w:color w:val="auto"/>
              </w:rPr>
              <w:t>Expected income tax expense (benefit) at federal statutory tax rate</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1,201</w:t>
            </w:r>
          </w:p>
        </w:tc>
        <w:tc>
          <w:tcPr>
            <w:tcW w:w="66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(1,790)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223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Permanent items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Change in fair value of preferred stock warrant liabilities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Return to provision adjustment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Rate differential</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Research credits</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(314)</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Change in the valuation allowance</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(1,235)</w:t>
            </w:r>
          </w:p>
        </w:tc>
        <w:tc>
          <w:tcPr>
            <w:tcW w:w="720" w:type="dxa"/>
            <w:vAlign w:val="bottom"/>
          </w:tcPr>
          <w:p>
            <w:pPr>
              <w:jc w:val="right"/>
              <w:spacing w:after="0"/>
              <w:rPr>
                <w:sz w:val="20"/>
                <w:szCs w:val="20"/>
                <w:color w:val="auto"/>
              </w:rPr>
            </w:pPr>
            <w:r>
              <w:rPr>
                <w:rFonts w:ascii="Arial" w:cs="Arial" w:eastAsia="Arial" w:hAnsi="Arial"/>
                <w:sz w:val="18"/>
                <w:szCs w:val="18"/>
                <w:color w:val="auto"/>
              </w:rPr>
              <w:t>1,253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2014 and 2015,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1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08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080" w:type="dxa"/>
            <w:vAlign w:val="bottom"/>
          </w:tcPr>
          <w:p>
            <w:pPr>
              <w:spacing w:after="0" w:line="195" w:lineRule="exact"/>
              <w:rPr>
                <w:sz w:val="20"/>
                <w:szCs w:val="20"/>
                <w:color w:val="auto"/>
              </w:rPr>
            </w:pPr>
            <w:r>
              <w:rPr>
                <w:rFonts w:ascii="Arial" w:cs="Arial" w:eastAsia="Arial" w:hAnsi="Arial"/>
                <w:sz w:val="18"/>
                <w:szCs w:val="18"/>
                <w:color w:val="auto"/>
              </w:rPr>
              <w:t>Balance at the beginning of the year</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289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140" w:type="dxa"/>
            <w:vAlign w:val="bottom"/>
          </w:tcPr>
          <w:p>
            <w:pPr>
              <w:spacing w:after="0"/>
              <w:rPr>
                <w:sz w:val="18"/>
                <w:szCs w:val="18"/>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2014 and 2015, there were no interest or penalties on uncertain tax benefits.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February 12, 2016, the date at which the consolidated financial statements were issued, except for the reverse stock split discussed below.</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Milestone Payment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January 2016, we earned a $4.0 million milestone payment from one of our collaborators. We expect to receive this $4.0 million milestone payment in February 2016.</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seven-to-one reverse stock split of every outstanding share of our preferred and common stock. The financial statements and accompanying footnotes have been retroactively restated to reflect the reverse stock split.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60"/>
          </w:cols>
          <w:pgMar w:left="240" w:top="459" w:right="2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par value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Equity at</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ASSETS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3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51,684</w:t>
            </w:r>
          </w:p>
        </w:tc>
        <w:tc>
          <w:tcPr>
            <w:tcW w:w="10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47,134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Receivable from collaborative partner</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Australian tax incentive receivable</w:t>
            </w:r>
          </w:p>
        </w:tc>
        <w:tc>
          <w:tcPr>
            <w:tcW w:w="18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3,293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53,464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52,352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56,280</w:t>
            </w:r>
          </w:p>
        </w:tc>
        <w:tc>
          <w:tcPr>
            <w:tcW w:w="10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55,837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LIABILITIES, CONVERTIBLE PREFERRED STOCK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60" w:type="dxa"/>
            <w:vAlign w:val="bottom"/>
          </w:tcPr>
          <w:p>
            <w:pPr>
              <w:jc w:val="center"/>
              <w:spacing w:after="0"/>
              <w:rPr>
                <w:sz w:val="20"/>
                <w:szCs w:val="20"/>
                <w:color w:val="auto"/>
              </w:rPr>
            </w:pPr>
            <w:r>
              <w:rPr>
                <w:rFonts w:ascii="Arial" w:cs="Arial" w:eastAsia="Arial" w:hAnsi="Arial"/>
                <w:sz w:val="16"/>
                <w:szCs w:val="16"/>
                <w:b w:val="1"/>
                <w:bCs w:val="1"/>
                <w:color w:val="auto"/>
              </w:rPr>
              <w:t>STOCKHOLDERS’ DEFICIT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2,753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2,974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Notes payable, current portion</w:t>
            </w:r>
          </w:p>
        </w:tc>
        <w:tc>
          <w:tcPr>
            <w:tcW w:w="18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7,376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7,539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Notes payable, net of current portion</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4,903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3,393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Deferred rent</w:t>
            </w:r>
          </w:p>
        </w:tc>
        <w:tc>
          <w:tcPr>
            <w:tcW w:w="1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Preferred stock warrant liabilities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1,214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2"/>
              </w:rPr>
              <w:t>Series B convertible preferred stock, $0.001 par value, 3,963 shares authorized, issued and outstanding at December 31, 2015</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rPr>
              <w:t>and September 30, 2016; aggregate liquidation preference at September 30, 2016 of $24,991</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28,220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28,220</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7"/>
              </w:rPr>
              <w:t>Series C convertible preferred stock, $0.001 par value, 1,887 shares authorized, 1,593 shares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rPr>
              <w:t>December 31, 2015 and September 30, 2016; aggregate liquidation preference at September 30, 2016 of $7,246</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6,452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6,452</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2"/>
              </w:rPr>
              <w:t>Series C-1 convertible preferred stock, $0.001 par value, 474 shares authorized, issued and outstanding at December 31, 2015</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rPr>
              <w:t>and September 30, 2016, respectively; aggregate liquidation preference at September 30, 2016 of $6,470</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2"/>
              </w:rPr>
              <w:t>Series D convertible preferred stock, $0.001 par value, 5,491 shares authorized, issued and outstanding at December 31, 2015</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rPr>
              <w:t>and September 30, 2016, respectively; aggregate liquidation preference at September 30, 2016 of $40,767</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40,688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40,688</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Stockholders’ deficit: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w w:val="99"/>
              </w:rPr>
              <w:t>Common stock, $0.001 par value, 17,214 shares authorized, 2,630 shares and 2,639 shares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w w:val="91"/>
              </w:rPr>
              <w:t>December 31, 2015 and September 30, 2016, respectively; 14,159 issued and outstanding, pro forma, at September 30, 2016</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15,482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16,369</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95,088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tcPr>
          <w:p>
            <w:pPr>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(50,664)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(50,345)</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(50,345)</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40"/>
              <w:spacing w:after="0"/>
              <w:rPr>
                <w:sz w:val="20"/>
                <w:szCs w:val="20"/>
                <w:color w:val="auto"/>
              </w:rPr>
            </w:pPr>
            <w:r>
              <w:rPr>
                <w:rFonts w:ascii="Arial" w:cs="Arial" w:eastAsia="Arial" w:hAnsi="Arial"/>
                <w:sz w:val="16"/>
                <w:szCs w:val="16"/>
                <w:color w:val="auto"/>
              </w:rPr>
              <w:t>Total stockholders’ (deficit) equity</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(35,179)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(33,973)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66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360" w:type="dxa"/>
            <w:vAlign w:val="bottom"/>
            <w:vMerge w:val="continue"/>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56,280</w:t>
            </w:r>
          </w:p>
        </w:tc>
        <w:tc>
          <w:tcPr>
            <w:tcW w:w="10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55,837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0" w:type="dxa"/>
            <w:vAlign w:val="bottom"/>
            <w:vMerge w:val="restart"/>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13,517</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10,732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13,247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13,781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Total other (expense) income, net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(2,113)</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ind w:left="108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(1,843)</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9800" w:type="dxa"/>
            <w:vAlign w:val="bottom"/>
          </w:tcPr>
          <w:p>
            <w:pPr>
              <w:ind w:left="108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20"/>
                <w:szCs w:val="20"/>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9800" w:type="dxa"/>
            <w:vAlign w:val="bottom"/>
          </w:tcPr>
          <w:p>
            <w:pPr>
              <w:ind w:left="72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Net loss per common share:</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(0.75)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2,528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Pro forma net loss per common share:</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360"/>
              <w:spacing w:after="0"/>
              <w:rPr>
                <w:sz w:val="20"/>
                <w:szCs w:val="20"/>
                <w:color w:val="auto"/>
              </w:rPr>
            </w:pPr>
            <w:r>
              <w:rPr>
                <w:rFonts w:ascii="Arial" w:cs="Arial" w:eastAsia="Arial" w:hAnsi="Arial"/>
                <w:sz w:val="18"/>
                <w:szCs w:val="18"/>
                <w:color w:val="auto"/>
              </w:rPr>
              <w:t>Pro forma weighted-average number of shares outstanding:</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14,154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14,988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(1,893)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Receivable from collaborative partners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Australian tax incentive receivable</w:t>
            </w:r>
          </w:p>
        </w:tc>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(3,293)</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980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98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(7,250)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(1,413)</w:t>
            </w: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(7,042)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Payments for repurchase of common stock</w:t>
            </w:r>
          </w:p>
        </w:tc>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Payments for deferred offering costs</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(1,056)</w:t>
            </w:r>
          </w:p>
        </w:tc>
        <w:tc>
          <w:tcPr>
            <w:tcW w:w="0" w:type="dxa"/>
            <w:vAlign w:val="bottom"/>
          </w:tcPr>
          <w:p>
            <w:pPr>
              <w:spacing w:after="0"/>
              <w:rPr>
                <w:sz w:val="1"/>
                <w:szCs w:val="1"/>
                <w:color w:val="auto"/>
              </w:rPr>
            </w:pPr>
          </w:p>
        </w:tc>
      </w:t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Proceeds from the issuance of preferred stock, net</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40,688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80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40,295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0" w:type="dxa"/>
            <w:vAlign w:val="bottom"/>
          </w:tcPr>
          <w:p>
            <w:pPr>
              <w:ind w:left="144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33,057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(4,550)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22,188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51,684</w:t>
            </w:r>
          </w:p>
        </w:tc>
        <w:tc>
          <w:tcPr>
            <w:tcW w:w="0" w:type="dxa"/>
            <w:vAlign w:val="bottom"/>
          </w:tcPr>
          <w:p>
            <w:pPr>
              <w:spacing w:after="0"/>
              <w:rPr>
                <w:sz w:val="1"/>
                <w:szCs w:val="1"/>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55,245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47,134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Amounts accrued for property and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Arial" w:cs="Arial" w:eastAsia="Arial" w:hAnsi="Arial"/>
                <w:sz w:val="18"/>
                <w:szCs w:val="18"/>
                <w:color w:val="auto"/>
              </w:rPr>
              <w:t>Amounts accrued for deferred financing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the natural process of antibody generation. We currently generate revenue from our collaborative research and development arrangements.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Actual results may materially differ from these estimates. Operating results for the nine months ended September 30, 2016 are not necessarily indicative of the results that may be expected for the year ending December 31, 2016. The financial statements should be read in conjunction with our audited financial statements for the year ended December 31, 2015, included elsewhere in this prospectus.</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at September 30, 2016, have an accumulated deficit of $50.3 million. Through September 30, 2016,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unaudited consolidated financial statements do not include any adjustments that might be necessary if we are unable to continue as a going concern.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September 30, 2016.</w:t>
      </w:r>
    </w:p>
    <w:p>
      <w:pPr>
        <w:spacing w:after="0" w:line="285" w:lineRule="exact"/>
        <w:rPr>
          <w:sz w:val="20"/>
          <w:szCs w:val="20"/>
          <w:color w:val="auto"/>
        </w:rPr>
      </w:pPr>
    </w:p>
    <w:p>
      <w:pPr>
        <w:ind w:left="240" w:right="8840" w:hanging="232"/>
        <w:spacing w:after="0" w:line="378" w:lineRule="auto"/>
        <w:tabs>
          <w:tab w:leader="none" w:pos="19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Use of Estimates</w:t>
      </w:r>
    </w:p>
    <w:p>
      <w:pPr>
        <w:ind w:right="700" w:firstLine="456"/>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GAAP. The preparation of consolidated financial statements in conformity with GAAP requires management to make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six months or less to be cash equivalents. Cash equivalents consist primarily of money market and mutual funds with original maturities of 90 days or less.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held restricted cash of $60,000 at December 31, 2015 and September 30, 2016, respectively, which we used to secure a letter of credit provided as security for our operating lease for our facility.</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2016, we have incurred an aggregate of $3.0 million in direct costs related to our anticipated public offering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deferred and recorded as a long-term asset at September 30, 2016.</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660" w:right="20" w:hanging="206"/>
        <w:spacing w:after="0" w:line="303" w:lineRule="auto"/>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License arrangements</w:t>
      </w:r>
      <w:r>
        <w:rPr>
          <w:rFonts w:ascii="Arial" w:cs="Arial" w:eastAsia="Arial" w:hAnsi="Arial"/>
          <w:sz w:val="16"/>
          <w:szCs w:val="16"/>
          <w:color w:val="auto"/>
        </w:rPr>
        <w:t>. The deliverables under our collaboration and license agreements generally include exclusive or nonexclusive licenses to one</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56" w:lineRule="exact"/>
        <w:rPr>
          <w:rFonts w:ascii="Arial" w:cs="Arial" w:eastAsia="Arial" w:hAnsi="Arial"/>
          <w:sz w:val="16"/>
          <w:szCs w:val="16"/>
          <w:color w:val="auto"/>
        </w:rPr>
      </w:pPr>
    </w:p>
    <w:p>
      <w:pPr>
        <w:ind w:left="660" w:right="40" w:hanging="206"/>
        <w:spacing w:after="0" w:line="298" w:lineRule="auto"/>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Research and Development Services</w:t>
      </w:r>
      <w:r>
        <w:rPr>
          <w:rFonts w:ascii="Arial" w:cs="Arial" w:eastAsia="Arial" w:hAnsi="Arial"/>
          <w:sz w:val="16"/>
          <w:szCs w:val="16"/>
          <w:color w:val="auto"/>
        </w:rPr>
        <w:t>. 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Australian Research and Development Tax Incentive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eligible under the Australian Research and Development Tax Incentive Program (the “Tax Incentive”) to obtain a cash refund from the Australian Taxation Office for eligible research and development expenditures. However, we must have revenue of less than AUD $20.0 million during the reimbursable period and cannot be controlled by income tax exempt entities. The Tax Incentive is recognized as a reduction to research and development expense when there is reasonable assurance that the Tax Incentive will be received, the relevant expenditure has been incurred, and the amount can be reliably measured. The Tax Incentive is denominated in Australian dollars and, therefore, the related receivable is remeasured into U.S. dollars as of each reporting date.</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$(0.3) million and $84,000 during the nine months ended September 30, 2015 and 2016.</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2016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16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60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0" w:type="dxa"/>
            <w:vAlign w:val="bottom"/>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(1,893)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20"/>
                <w:szCs w:val="20"/>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9"/>
        </w:trPr>
        <w:tc>
          <w:tcPr>
            <w:tcW w:w="9600" w:type="dxa"/>
            <w:vAlign w:val="bottom"/>
          </w:tcPr>
          <w:p>
            <w:pPr>
              <w:ind w:left="36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(1,893)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2,528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tcPr>
          <w:p>
            <w:pPr>
              <w:ind w:left="36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Diluted weighted-average common shares outstanding</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360"/>
              <w:spacing w:after="0"/>
              <w:rPr>
                <w:sz w:val="20"/>
                <w:szCs w:val="20"/>
                <w:color w:val="auto"/>
              </w:rPr>
            </w:pPr>
            <w:r>
              <w:rPr>
                <w:rFonts w:ascii="Arial" w:cs="Arial" w:eastAsia="Arial" w:hAnsi="Arial"/>
                <w:sz w:val="18"/>
                <w:szCs w:val="18"/>
                <w:color w:val="auto"/>
              </w:rPr>
              <w:t>Net income (loss) per share, basic and diluted</w:t>
            </w: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11,521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ind w:left="360"/>
              <w:spacing w:after="0"/>
              <w:rPr>
                <w:sz w:val="20"/>
                <w:szCs w:val="20"/>
                <w:color w:val="auto"/>
              </w:rPr>
            </w:pPr>
            <w:r>
              <w:rPr>
                <w:rFonts w:ascii="Arial" w:cs="Arial" w:eastAsia="Arial" w:hAnsi="Arial"/>
                <w:sz w:val="18"/>
                <w:szCs w:val="18"/>
                <w:color w:val="auto"/>
              </w:rPr>
              <w:t>Pro forma basic weighted-average common shares outstanding</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14,154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360"/>
              <w:spacing w:after="0"/>
              <w:rPr>
                <w:sz w:val="20"/>
                <w:szCs w:val="20"/>
                <w:color w:val="auto"/>
              </w:rPr>
            </w:pPr>
            <w:r>
              <w:rPr>
                <w:rFonts w:ascii="Arial" w:cs="Arial" w:eastAsia="Arial" w:hAnsi="Arial"/>
                <w:sz w:val="18"/>
                <w:szCs w:val="18"/>
                <w:color w:val="auto"/>
              </w:rPr>
              <w:t>Pro forma diluted weighted average common shares outstanding</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14,988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360"/>
              <w:spacing w:after="0"/>
              <w:rPr>
                <w:sz w:val="20"/>
                <w:szCs w:val="20"/>
                <w:color w:val="auto"/>
              </w:rPr>
            </w:pPr>
            <w:r>
              <w:rPr>
                <w:rFonts w:ascii="Arial" w:cs="Arial" w:eastAsia="Arial" w:hAnsi="Arial"/>
                <w:sz w:val="18"/>
                <w:szCs w:val="18"/>
                <w:color w:val="auto"/>
              </w:rPr>
              <w:t>Pro forma net income per share, basic and diluted</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68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640" w:type="dxa"/>
            <w:vAlign w:val="bottom"/>
            <w:vMerge w:val="continue"/>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5"/>
        </w:trPr>
        <w:tc>
          <w:tcPr>
            <w:tcW w:w="9640" w:type="dxa"/>
            <w:vAlign w:val="bottom"/>
          </w:tcPr>
          <w:p>
            <w:pPr>
              <w:spacing w:after="0" w:line="195" w:lineRule="exact"/>
              <w:rPr>
                <w:sz w:val="20"/>
                <w:szCs w:val="20"/>
                <w:color w:val="auto"/>
              </w:rPr>
            </w:pPr>
            <w:r>
              <w:rPr>
                <w:rFonts w:ascii="Arial" w:cs="Arial" w:eastAsia="Arial" w:hAnsi="Arial"/>
                <w:sz w:val="18"/>
                <w:szCs w:val="18"/>
                <w:color w:val="auto"/>
              </w:rPr>
              <w:t>Convertible preferred stock</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7,601</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ind w:left="32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1,352</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Warrants to purchase preferred stock</w:t>
            </w: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294</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117</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9,364</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eight specific cash flows issues for which it provides specific guidance on treatment within the cash flow statement, with the intent of reducing diversity in practice. As permitted by this ASU, we elected to early adopt the standard beginning with our quarterly reporting period ended September 30, 2016, with retrospective application of the amended guidance. Upon adoption, there was no effect to our consolidated financial statements.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In May 2014, the Financial Accounting Standards Board (the “FASB”) issued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outlines a single comprehensive model for entities to use in accounting for revenue from contracts with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supersedes most current revenue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is intended to simplify the accounting for share-based payments including forfeiture rates, expected option terms, intrinsic value,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92" w:lineRule="exact"/>
        <w:rPr>
          <w:sz w:val="20"/>
          <w:szCs w:val="20"/>
          <w:color w:val="auto"/>
        </w:rPr>
      </w:pPr>
    </w:p>
    <w:p>
      <w:pPr>
        <w:ind w:left="240" w:right="7040" w:hanging="232"/>
        <w:spacing w:after="0" w:line="378" w:lineRule="auto"/>
        <w:tabs>
          <w:tab w:leader="none" w:pos="19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rPr>
              <w:t>Laboratory equipment</w:t>
            </w:r>
          </w:p>
        </w:tc>
        <w:tc>
          <w:tcPr>
            <w:tcW w:w="420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3,243</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3,279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4,134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(3,583)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4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4380" w:type="dxa"/>
            <w:vAlign w:val="bottom"/>
            <w:gridSpan w:val="2"/>
          </w:tcPr>
          <w:p>
            <w:pPr>
              <w:ind w:left="100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8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820" w:type="dxa"/>
            <w:vAlign w:val="bottom"/>
          </w:tcPr>
          <w:p>
            <w:pPr>
              <w:spacing w:after="0" w:line="195" w:lineRule="exact"/>
              <w:rPr>
                <w:sz w:val="20"/>
                <w:szCs w:val="20"/>
                <w:color w:val="auto"/>
              </w:rPr>
            </w:pPr>
            <w:r>
              <w:rPr>
                <w:rFonts w:ascii="Arial" w:cs="Arial" w:eastAsia="Arial" w:hAnsi="Arial"/>
                <w:sz w:val="18"/>
                <w:szCs w:val="18"/>
                <w:color w:val="auto"/>
              </w:rPr>
              <w:t>Accrued compensation and related expenses</w:t>
            </w:r>
          </w:p>
        </w:tc>
        <w:tc>
          <w:tcPr>
            <w:tcW w:w="2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772</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737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1,319</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w:t>
            </w: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2,753</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40" w:right="7080" w:hanging="232"/>
        <w:spacing w:after="0" w:line="378" w:lineRule="auto"/>
        <w:tabs>
          <w:tab w:leader="none" w:pos="19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Research and Development Agreements </w:t>
      </w:r>
      <w:r>
        <w:rPr>
          <w:rFonts w:ascii="Arial" w:cs="Arial" w:eastAsia="Arial" w:hAnsi="Arial"/>
          <w:sz w:val="18"/>
          <w:szCs w:val="18"/>
          <w:b w:val="1"/>
          <w:bCs w:val="1"/>
          <w:i w:val="1"/>
          <w:iCs w:val="1"/>
          <w:color w:val="auto"/>
        </w:rPr>
        <w:t>TESARO Collaboration</w:t>
      </w:r>
    </w:p>
    <w:p>
      <w:pPr>
        <w:ind w:right="60" w:firstLine="456"/>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an Amendment No. 1 to the Agreement to add an antibody discovery program against an undisclosed fourth target for an upfront license fee of $2.0 million.</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During the year ended December 31, 2015, we achieved two $1.0 million milestones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(GLPs), for an AnaptysBio-generated anti-PD-1 antagonist antibody (TSR-042) and an AnaptysBio-generated anti-TIM-3 antagonist antibody (TSR-022), each being advanced by TESARO, for which we recognized revenue of $1.7 million. The remaining unrecognized milestone payments of $0.3 million at December 31, 2015 will be recognized ratably through December 2016, for which $0.2 million was recognized during the nine months ended September 30, 2016.</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February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June 2016.</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of approximately $0.9 million. The remaining unrecognized milestone payment of $0.1 million at September 30, 2016 will be recognized ratably through December 2016. The $1.0 million milestone payment was received in September 2016.</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recognized under this agreement aggregated $13.5 million during the nine months ended September 30, 2015, which primarily includes $8.2 million for the amortization of the upfront fee and $5.3 million in funding for research and development services. Revenue recognized under this agreement aggregated $13.4 million during the nine months ended September 30, 2016, which includes $8.4 million related to five milestones for which we are recognizing revenue pro rata over the collaboration term, $3.0 million in funding for research and development services, and $2.0 million for the amortization of the upfront fee, of which $0.9 million was receivable at September 30, 2016. Deferred revenue under this agreement totaled $1.5 million at September 30, 2016.</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8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for an AnaptysBio-generated antibody resulting in us earning a $0.5 million milestone payment in June 2016, which we recognized in full as revenue in June 2016. The $0.5 million milestone payment was received in June 2016.</w:t>
      </w:r>
    </w:p>
    <w:p>
      <w:pPr>
        <w:spacing w:after="0" w:line="285" w:lineRule="exact"/>
        <w:rPr>
          <w:sz w:val="20"/>
          <w:szCs w:val="20"/>
          <w:color w:val="auto"/>
        </w:rPr>
      </w:pPr>
    </w:p>
    <w:p>
      <w:pPr>
        <w:ind w:left="240" w:right="7420" w:hanging="232"/>
        <w:spacing w:after="0" w:line="378" w:lineRule="auto"/>
        <w:tabs>
          <w:tab w:leader="none" w:pos="19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and Convertible Promissory Notes </w:t>
      </w:r>
      <w:r>
        <w:rPr>
          <w:rFonts w:ascii="Arial" w:cs="Arial" w:eastAsia="Arial" w:hAnsi="Arial"/>
          <w:sz w:val="18"/>
          <w:szCs w:val="18"/>
          <w:b w:val="1"/>
          <w:bCs w:val="1"/>
          <w:i w:val="1"/>
          <w:iCs w:val="1"/>
          <w:color w:val="auto"/>
        </w:rPr>
        <w:t>Notes Payable</w:t>
      </w: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dose PK/toxicology studies on at least two development programs and the Term C Loans for an aggregate of $5.0 million are available for draw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became available for draw on July 1, 2016 which was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occurred in the first quarter of 2016) and (ii) July 1, 2016. The draw period will end upon the earlier of</w:t>
      </w:r>
    </w:p>
    <w:p>
      <w:pPr>
        <w:spacing w:after="0" w:line="2" w:lineRule="exact"/>
        <w:rPr>
          <w:sz w:val="20"/>
          <w:szCs w:val="20"/>
          <w:color w:val="auto"/>
        </w:rPr>
      </w:pPr>
    </w:p>
    <w:p>
      <w:pPr>
        <w:ind w:firstLine="8"/>
        <w:spacing w:after="0" w:line="254" w:lineRule="auto"/>
        <w:tabs>
          <w:tab w:leader="none" w:pos="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event of default as defined in the LSA Agreement and (ii) December 31, 2016. If the Term B Loans and Term C Loans are issued, they will bear interest at the greater of 6.95% or the 3-month LIBOR plus 6.72%, with principal payments beginning February 1, 2017 and with final maturity in January 2019. At September 30, 2016, the Term A Loans are due in 4 monthly interest-only payments through January 2017, followed by 24 equal monthly principal and interest payments, with final maturity in January 2019.</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September 30, 2016, the carrying amount of the Term A Loans was $5.0 million, which is net of discounts of $17,000, of which $1.6 million is classified as current liabilities, and $3.4 million is classified as noncurrent liabilities at September 30, 2016. The effective interest rate on the Term A Loans at September 30, 2016 was 9.29%. As of September 30, 2016, future principal maturities of the Term A Loans were $2.2 million, $2.6 million and $0.2 million in 2017, 2018 and 2019, respectively.</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September 30, 2016, we were in compliance with the covenants contained in the Loan and Security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60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99"/>
              </w:rPr>
              <w:t>Prices for</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7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2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90"/>
              </w:rPr>
              <w:t>At December 31, 2015</w:t>
            </w:r>
          </w:p>
        </w:tc>
        <w:tc>
          <w:tcPr>
            <w:tcW w:w="412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6,755</w:t>
            </w:r>
          </w:p>
        </w:tc>
        <w:tc>
          <w:tcPr>
            <w:tcW w:w="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6,755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Mutual funds(1)</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44,077</w:t>
            </w: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44,077</w:t>
            </w: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U.S. treasury security(2)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1,549</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1,549</w:t>
            </w:r>
          </w:p>
        </w:tc>
        <w:tc>
          <w:tcPr>
            <w:tcW w:w="0" w:type="dxa"/>
            <w:vAlign w:val="bottom"/>
          </w:tcPr>
          <w:p>
            <w:pPr>
              <w:spacing w:after="0"/>
              <w:rPr>
                <w:sz w:val="1"/>
                <w:szCs w:val="1"/>
                <w:color w:val="auto"/>
              </w:rPr>
            </w:pPr>
          </w:p>
        </w:tc>
      </w:tr>
      <w:tr>
        <w:trPr>
          <w:trHeight w:val="28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At September 30, 2016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Money market funds(1)</w:t>
            </w:r>
          </w:p>
        </w:tc>
        <w:tc>
          <w:tcPr>
            <w:tcW w:w="4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31,872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31,872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Mutual funds(2)</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13,139</w:t>
            </w: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13,139</w:t>
            </w: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U.S. treasury security(2)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1,214</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84"/>
              </w:rPr>
              <w:t>1,214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accompanying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1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8"/>
                <w:szCs w:val="18"/>
                <w:color w:val="auto"/>
              </w:rPr>
              <w:t>Fair value of preferred stock</w:t>
            </w:r>
          </w:p>
        </w:tc>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352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9.10</w:t>
            </w:r>
          </w:p>
        </w:tc>
        <w:tc>
          <w:tcPr>
            <w:tcW w:w="116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7.70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Exercise price</w:t>
            </w:r>
          </w:p>
        </w:tc>
        <w:tc>
          <w:tcPr>
            <w:tcW w:w="370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160"/>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Volatility</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Dividend Yield</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1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370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160"/>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365"/>
        </w:trPr>
        <w:tc>
          <w:tcPr>
            <w:tcW w:w="4820" w:type="dxa"/>
            <w:vAlign w:val="bottom"/>
          </w:tcPr>
          <w:p>
            <w:pPr>
              <w:spacing w:after="0"/>
              <w:rPr>
                <w:sz w:val="24"/>
                <w:szCs w:val="24"/>
                <w:color w:val="auto"/>
              </w:rPr>
            </w:pPr>
          </w:p>
        </w:tc>
        <w:tc>
          <w:tcPr>
            <w:tcW w:w="3700" w:type="dxa"/>
            <w:vAlign w:val="bottom"/>
            <w:gridSpan w:val="2"/>
          </w:tcPr>
          <w:p>
            <w:pPr>
              <w:ind w:left="720"/>
              <w:spacing w:after="0"/>
              <w:rPr>
                <w:sz w:val="20"/>
                <w:szCs w:val="20"/>
                <w:color w:val="auto"/>
              </w:rPr>
            </w:pPr>
            <w:r>
              <w:rPr>
                <w:rFonts w:ascii="Arial" w:cs="Arial" w:eastAsia="Arial" w:hAnsi="Arial"/>
                <w:sz w:val="18"/>
                <w:szCs w:val="18"/>
                <w:color w:val="auto"/>
              </w:rPr>
              <w:t>F-38</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2015 and September 30, 2016 would each result in increases in the estimated fair values of the preferred stock warrant liabilities of $0.2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6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line="182" w:lineRule="exact"/>
              <w:rPr>
                <w:sz w:val="20"/>
                <w:szCs w:val="20"/>
                <w:color w:val="auto"/>
              </w:rPr>
            </w:pPr>
            <w:r>
              <w:rPr>
                <w:rFonts w:ascii="Arial" w:cs="Arial" w:eastAsia="Arial" w:hAnsi="Arial"/>
                <w:sz w:val="18"/>
                <w:szCs w:val="18"/>
                <w:b w:val="1"/>
                <w:bCs w:val="1"/>
                <w:color w:val="auto"/>
              </w:rPr>
              <w:t>Preferred Stock Warrant Liabilities:</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Beginning balance</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  (569)</w:t>
            </w:r>
          </w:p>
        </w:tc>
        <w:tc>
          <w:tcPr>
            <w:tcW w:w="18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Unrealized net (losses) income included in other income (expense), net</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Reclassification of warrant liabilities to equity</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(1,214</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auto"/>
              </w:rPr>
              <w:t>Fair Value of Other Financial Instruments</w:t>
            </w: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580" w:type="dxa"/>
            <w:vAlign w:val="bottom"/>
            <w:gridSpan w:val="5"/>
          </w:tcPr>
          <w:p>
            <w:pPr>
              <w:ind w:left="460"/>
              <w:spacing w:after="0"/>
              <w:rPr>
                <w:sz w:val="20"/>
                <w:szCs w:val="20"/>
                <w:color w:val="auto"/>
              </w:rPr>
            </w:pPr>
            <w:r>
              <w:rPr>
                <w:rFonts w:ascii="Arial" w:cs="Arial" w:eastAsia="Arial" w:hAnsi="Arial"/>
                <w:sz w:val="18"/>
                <w:szCs w:val="18"/>
                <w:color w:val="auto"/>
                <w:w w:val="91"/>
              </w:rPr>
              <w:t>The fair value of our financial instruments estimated as of December 31, 2015 and September 30, 2016 are presented below:</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00" w:type="dxa"/>
            <w:vAlign w:val="bottom"/>
          </w:tcPr>
          <w:p>
            <w:pPr>
              <w:spacing w:after="0"/>
              <w:rPr>
                <w:sz w:val="24"/>
                <w:szCs w:val="24"/>
                <w:color w:val="auto"/>
              </w:rPr>
            </w:pPr>
          </w:p>
        </w:tc>
        <w:tc>
          <w:tcPr>
            <w:tcW w:w="168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19"/>
        </w:trPr>
        <w:tc>
          <w:tcPr>
            <w:tcW w:w="79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00" w:type="dxa"/>
            <w:vAlign w:val="bottom"/>
            <w:vMerge w:val="restart"/>
          </w:tcPr>
          <w:p>
            <w:pPr>
              <w:spacing w:after="0"/>
              <w:rPr>
                <w:sz w:val="20"/>
                <w:szCs w:val="20"/>
                <w:color w:val="auto"/>
              </w:rPr>
            </w:pPr>
            <w:r>
              <w:rPr>
                <w:rFonts w:ascii="Arial" w:cs="Arial" w:eastAsia="Arial" w:hAnsi="Arial"/>
                <w:sz w:val="18"/>
                <w:szCs w:val="18"/>
                <w:color w:val="auto"/>
              </w:rPr>
              <w:t>Notes Payable</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$ 4,903</w:t>
            </w:r>
          </w:p>
        </w:tc>
        <w:tc>
          <w:tcPr>
            <w:tcW w:w="42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$4,686</w:t>
            </w:r>
          </w:p>
        </w:tc>
        <w:tc>
          <w:tcPr>
            <w:tcW w:w="1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$ 4,983</w:t>
            </w:r>
          </w:p>
        </w:tc>
        <w:tc>
          <w:tcPr>
            <w:tcW w:w="1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$4,752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our financial instruments for which it is practicable to estimate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91" w:lineRule="exact"/>
        <w:rPr>
          <w:sz w:val="20"/>
          <w:szCs w:val="20"/>
          <w:color w:val="auto"/>
        </w:rPr>
      </w:pPr>
    </w:p>
    <w:p>
      <w:pPr>
        <w:ind w:left="240" w:right="8920" w:hanging="232"/>
        <w:spacing w:after="0" w:line="453" w:lineRule="auto"/>
        <w:tabs>
          <w:tab w:leader="none" w:pos="192" w:val="left"/>
        </w:tabs>
        <w:numPr>
          <w:ilvl w:val="0"/>
          <w:numId w:val="1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Repurchase of Common Stock</w:t>
      </w:r>
    </w:p>
    <w:p>
      <w:pPr>
        <w:spacing w:after="0" w:line="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Certain stock option grants under our 2006 Equity Incentive Plan (the “Plan”) are subject to an early exercise provision. Shares of common stock obtained upon early exercise of unvested options are subject to repurchase by us at the applicable original issue price. During the nine months ended September 30, 2016, we repurchased 1,457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common stock at an exercise price equal to no less than the estimated fair market value of such stock on the date of grant. The maximum term of options granted under the Plan is ten years. As of September 30, 2016, awards for up to 2,370,157 shares of common stock are reserved for issuance under the Plan, of which 1,856,750 are reserved for issuance upon exercise of granted and outstanding options and 513,407 shares are available for future grants.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us. A summary of the activity related to stock option awards during the nine months ended September 30, 2016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Weighted-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Remaining</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Price per</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Term</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8"/>
                <w:szCs w:val="18"/>
                <w:color w:val="auto"/>
              </w:rPr>
              <w:t>Outstanding at January 1, 2016</w:t>
            </w: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Share</w:t>
            </w: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(in years)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2,050,196</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w w:val="79"/>
              </w:rPr>
              <w:t>3.99</w:t>
            </w:r>
          </w:p>
        </w:tc>
        <w:tc>
          <w:tcPr>
            <w:tcW w:w="5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278,910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5.95</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Exercises</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(10,548)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1.55</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(461,808)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4.69</w:t>
            </w: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Outstanding and exercisable at September 30, 2016</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1,856,750</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4.13</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7.37</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$ 4,440.7</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September 30, 2016</w:t>
            </w: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220"/>
              <w:spacing w:after="0"/>
              <w:rPr>
                <w:sz w:val="20"/>
                <w:szCs w:val="20"/>
                <w:color w:val="auto"/>
              </w:rPr>
            </w:pPr>
            <w:r>
              <w:rPr>
                <w:rFonts w:ascii="Arial" w:cs="Arial" w:eastAsia="Arial" w:hAnsi="Arial"/>
                <w:sz w:val="18"/>
                <w:szCs w:val="18"/>
                <w:color w:val="auto"/>
              </w:rPr>
              <w:t>4.04</w:t>
            </w: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7.29</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7"/>
              </w:rPr>
              <w:t>$ 4,324.2</w:t>
            </w:r>
          </w:p>
        </w:tc>
        <w:tc>
          <w:tcPr>
            <w:tcW w:w="0" w:type="dxa"/>
            <w:vAlign w:val="bottom"/>
          </w:tcPr>
          <w:p>
            <w:pPr>
              <w:spacing w:after="0" w:line="20" w:lineRule="exact"/>
              <w:rPr>
                <w:sz w:val="1"/>
                <w:szCs w:val="1"/>
                <w:color w:val="auto"/>
              </w:rPr>
            </w:pPr>
          </w:p>
        </w:tc>
      </w:tr>
      <w:tr>
        <w:trPr>
          <w:trHeight w:val="211"/>
        </w:trPr>
        <w:tc>
          <w:tcPr>
            <w:tcW w:w="694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1,748,907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approximately $16,000 during the nine months ended September 30, 2016.</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8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Nine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6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28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360" w:type="dxa"/>
            <w:vAlign w:val="bottom"/>
            <w:vMerge w:val="continue"/>
          </w:tcPr>
          <w:p>
            <w:pPr>
              <w:spacing w:after="0"/>
              <w:rPr>
                <w:sz w:val="16"/>
                <w:szCs w:val="16"/>
                <w:color w:val="auto"/>
              </w:rPr>
            </w:pPr>
          </w:p>
        </w:tc>
        <w:tc>
          <w:tcPr>
            <w:tcW w:w="2880" w:type="dxa"/>
            <w:vAlign w:val="bottom"/>
          </w:tcPr>
          <w:p>
            <w:pPr>
              <w:spacing w:after="0"/>
              <w:rPr>
                <w:sz w:val="16"/>
                <w:szCs w:val="16"/>
                <w:color w:val="auto"/>
              </w:rPr>
            </w:pPr>
          </w:p>
        </w:tc>
        <w:tc>
          <w:tcPr>
            <w:tcW w:w="106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6"/>
                <w:szCs w:val="16"/>
                <w:color w:val="auto"/>
              </w:rPr>
            </w:pPr>
          </w:p>
        </w:tc>
        <w:tc>
          <w:tcPr>
            <w:tcW w:w="7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volatility</w:t>
            </w:r>
          </w:p>
        </w:tc>
        <w:tc>
          <w:tcPr>
            <w:tcW w:w="3940" w:type="dxa"/>
            <w:vAlign w:val="bottom"/>
            <w:gridSpan w:val="3"/>
          </w:tcPr>
          <w:p>
            <w:pPr>
              <w:jc w:val="right"/>
              <w:ind w:right="320"/>
              <w:spacing w:after="0"/>
              <w:rPr>
                <w:sz w:val="20"/>
                <w:szCs w:val="20"/>
                <w:color w:val="auto"/>
              </w:rPr>
            </w:pPr>
            <w:r>
              <w:rPr>
                <w:rFonts w:ascii="Arial" w:cs="Arial" w:eastAsia="Arial" w:hAnsi="Arial"/>
                <w:sz w:val="18"/>
                <w:szCs w:val="18"/>
                <w:color w:val="auto"/>
              </w:rPr>
              <w:t>71.1%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4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940" w:type="dxa"/>
            <w:vAlign w:val="bottom"/>
            <w:gridSpan w:val="3"/>
          </w:tcPr>
          <w:p>
            <w:pPr>
              <w:jc w:val="right"/>
              <w:ind w:right="480"/>
              <w:spacing w:after="0"/>
              <w:rPr>
                <w:sz w:val="20"/>
                <w:szCs w:val="20"/>
                <w:color w:val="auto"/>
              </w:rPr>
            </w:pPr>
            <w:r>
              <w:rPr>
                <w:rFonts w:ascii="Arial" w:cs="Arial" w:eastAsia="Arial" w:hAnsi="Arial"/>
                <w:sz w:val="18"/>
                <w:szCs w:val="18"/>
                <w:color w:val="auto"/>
              </w:rPr>
              <w:t>6.1</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Weighted average grant date fair value per share</w:t>
            </w:r>
          </w:p>
        </w:tc>
        <w:tc>
          <w:tcPr>
            <w:tcW w:w="3940" w:type="dxa"/>
            <w:vAlign w:val="bottom"/>
            <w:gridSpan w:val="3"/>
          </w:tcPr>
          <w:p>
            <w:pPr>
              <w:jc w:val="right"/>
              <w:ind w:right="480"/>
              <w:spacing w:after="0"/>
              <w:rPr>
                <w:sz w:val="20"/>
                <w:szCs w:val="20"/>
                <w:color w:val="auto"/>
              </w:rPr>
            </w:pPr>
            <w:r>
              <w:rPr>
                <w:rFonts w:ascii="Arial" w:cs="Arial" w:eastAsia="Arial" w:hAnsi="Arial"/>
                <w:sz w:val="18"/>
                <w:szCs w:val="18"/>
                <w:color w:val="auto"/>
              </w:rPr>
              <w:t>$  4.27</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  3.64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60"/>
          </w:cols>
          <w:pgMar w:left="240" w:top="460" w:right="2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non-cash stock-based compensation expense for all stock awards that was recognized in the consolidated statements of operations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9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520" w:type="dxa"/>
            <w:vAlign w:val="bottom"/>
          </w:tcPr>
          <w:p>
            <w:pPr>
              <w:spacing w:after="0" w:line="195" w:lineRule="exact"/>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ind w:left="200"/>
              <w:spacing w:after="0" w:line="195" w:lineRule="exact"/>
              <w:rPr>
                <w:sz w:val="20"/>
                <w:szCs w:val="20"/>
                <w:color w:val="auto"/>
              </w:rPr>
            </w:pPr>
            <w:r>
              <w:rPr>
                <w:rFonts w:ascii="Arial" w:cs="Arial" w:eastAsia="Arial" w:hAnsi="Arial"/>
                <w:sz w:val="18"/>
                <w:szCs w:val="18"/>
                <w:color w:val="auto"/>
                <w:w w:val="79"/>
              </w:rPr>
              <w:t>212</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282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w w:val="86"/>
              </w:rPr>
              <w:t>136</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95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86"/>
              </w:rPr>
              <w:t>348</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At September 30, 2016, there was $2.8 million of unrecognized compensation cost related to unvested stock option awards, which is expected to be recognized over a remaining weighted average vesting period of 2.8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Australian subsidiary, which conducts core research and development activities on our behalf, is eligible to receive a 45% refundable tax incentive for qualified research and development activities. For the nine months ended September 30, 2016, $6.2 million was recorded as a reduction to research and development expenses in the consolidated statements of operations, of which $3.0 million related to fiscal 2015. We received the $3.0 million in cash during the nine months ended September 30, 2016. In September 2016, we determined that we would meet the criteria for eligibility for fiscal 2016, therefore we recorded a reduction to research and development expenses of $3.2 million equal to 45% of our eligible expenditures for the nine-month period ended September 30, 2016, as collectability was considered reasonably assured.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November 10, 2016, the date at which the consolidated financial statements were issued, except for the items discussed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seven to one reverse stock split of every outstanding share of our preferred and common stock. The financial statements and accompanying footnotes have been retroactively restated to reflect the reverse stock split.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Amendment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2016, the Loan Agreement was further amended to (i) allow for the Term B Loans and Term C Loans to be drawn on December 30, 2016,</w:t>
      </w:r>
    </w:p>
    <w:p>
      <w:pPr>
        <w:spacing w:after="0" w:line="46" w:lineRule="exact"/>
        <w:rPr>
          <w:sz w:val="20"/>
          <w:szCs w:val="20"/>
          <w:color w:val="auto"/>
        </w:rPr>
      </w:pPr>
    </w:p>
    <w:p>
      <w:pPr>
        <w:ind w:left="280" w:hanging="272"/>
        <w:spacing w:after="0"/>
        <w:tabs>
          <w:tab w:leader="none" w:pos="2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delay principal repayments of all Term Loans until February 1, 2018 and (iii) amend the interest rate for each Loan. The Term B Loans and the Term C</w:t>
      </w:r>
    </w:p>
    <w:p>
      <w:pPr>
        <w:spacing w:after="0" w:line="32" w:lineRule="exact"/>
        <w:rPr>
          <w:rFonts w:ascii="Arial" w:cs="Arial" w:eastAsia="Arial" w:hAnsi="Arial"/>
          <w:sz w:val="16"/>
          <w:szCs w:val="16"/>
          <w:color w:val="auto"/>
        </w:rPr>
      </w:pPr>
    </w:p>
    <w:p>
      <w:pPr>
        <w:spacing w:after="0" w:line="273" w:lineRule="auto"/>
        <w:rPr>
          <w:rFonts w:ascii="Arial" w:cs="Arial" w:eastAsia="Arial" w:hAnsi="Arial"/>
          <w:sz w:val="16"/>
          <w:szCs w:val="16"/>
          <w:color w:val="auto"/>
        </w:rPr>
      </w:pPr>
      <w:r>
        <w:rPr>
          <w:rFonts w:ascii="Arial" w:cs="Arial" w:eastAsia="Arial" w:hAnsi="Arial"/>
          <w:sz w:val="17"/>
          <w:szCs w:val="17"/>
          <w:color w:val="auto"/>
        </w:rPr>
        <w:t>Loans were drawn on December 30, 2016. As of December 31, 2016, the Loans are due in 13 monthly interest-only payments through January 2018, followed by 24 equal monthly principal and interest payments, with final maturity in January 2020. Each Loan bears interest equal to 3-month U.S. LIBOR plus 6.37%, with principal payments beginning February 1, 2018 and final maturity in January 2020. In conjunction with the December 30, 2016 draw, we issued 82,416 Series C Preferred warrants to the lenders with an exercise price of $4.55 which expire December 30, 2026.</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259715</wp:posOffset>
            </wp:positionV>
            <wp:extent cx="2143760" cy="5829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437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20"/>
        <w:spacing w:after="0"/>
        <w:rPr>
          <w:sz w:val="20"/>
          <w:szCs w:val="20"/>
          <w:color w:val="auto"/>
        </w:rPr>
      </w:pPr>
      <w:r>
        <w:rPr>
          <w:rFonts w:ascii="Arial" w:cs="Arial" w:eastAsia="Arial" w:hAnsi="Arial"/>
          <w:sz w:val="43"/>
          <w:szCs w:val="43"/>
          <w:b w:val="1"/>
          <w:bCs w:val="1"/>
          <w:color w:val="auto"/>
        </w:rPr>
        <w:t>AnaptysBio, Inc.</w:t>
      </w: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411480</wp:posOffset>
            </wp:positionV>
            <wp:extent cx="10890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80"/>
        <w:spacing w:after="0"/>
        <w:rPr>
          <w:sz w:val="20"/>
          <w:szCs w:val="20"/>
          <w:color w:val="auto"/>
        </w:rPr>
      </w:pPr>
      <w:r>
        <w:rPr>
          <w:rFonts w:ascii="Arial" w:cs="Arial" w:eastAsia="Arial" w:hAnsi="Arial"/>
          <w:sz w:val="36"/>
          <w:szCs w:val="3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256540</wp:posOffset>
            </wp:positionV>
            <wp:extent cx="10890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Credit Suisse</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Stifel</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JMP Securities</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January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1061085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1104265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decimal"/>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lvl w:ilvl="1">
      <w:lvlJc w:val="left"/>
      <w:lvlText w:val="(%2)"/>
      <w:numFmt w:val="lowerLetter"/>
      <w:start w:val="3"/>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1)"/>
      <w:numFmt w:val="decimal"/>
      <w:start w:val="1"/>
    </w:lvl>
  </w:abstractNum>
  <w:abstractNum w:abstractNumId="15">
    <w:nsid w:val="5DC79EA8"/>
    <w:multiLevelType w:val="hybridMultilevel"/>
    <w:lvl w:ilvl="0">
      <w:lvlJc w:val="left"/>
      <w:lvlText w:val="(%1)"/>
      <w:numFmt w:val="decimal"/>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1)"/>
      <w:numFmt w:val="decimal"/>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1)"/>
      <w:numFmt w:val="lowerRoman"/>
      <w:start w:val="2"/>
    </w:lvl>
  </w:abstractNum>
  <w:abstractNum w:abstractNumId="42">
    <w:nsid w:val="4C04A8AF"/>
    <w:multiLevelType w:val="hybridMultilevel"/>
    <w:lvl w:ilvl="0">
      <w:lvlJc w:val="left"/>
      <w:lvlText w:val="(%1)"/>
      <w:numFmt w:val="lowerRoman"/>
      <w:start w:val="2"/>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1)"/>
      <w:numFmt w:val="decimal"/>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1)"/>
      <w:numFmt w:val="decimal"/>
      <w:start w:val="13"/>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1)"/>
      <w:numFmt w:val="lowerRoman"/>
      <w:start w:val="2"/>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
      <w:numFmt w:val="bullet"/>
      <w:start w:val="1"/>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
      <w:numFmt w:val="bullet"/>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1)"/>
      <w:numFmt w:val="decimal"/>
      <w:start w:val="1"/>
    </w:lvl>
  </w:abstractNum>
  <w:abstractNum w:abstractNumId="84">
    <w:nsid w:val="2A155DBC"/>
    <w:multiLevelType w:val="hybridMultilevel"/>
    <w:lvl w:ilvl="0">
      <w:lvlJc w:val="left"/>
      <w:lvlText w:val="(%1)"/>
      <w:numFmt w:val="decimal"/>
      <w:start w:val="1"/>
    </w:lvl>
  </w:abstractNum>
  <w:abstractNum w:abstractNumId="85">
    <w:nsid w:val="1D9F6E5F"/>
    <w:multiLevelType w:val="hybridMultilevel"/>
    <w:lvl w:ilvl="0">
      <w:lvlJc w:val="left"/>
      <w:lvlText w:val="(%1)"/>
      <w:numFmt w:val="decimal"/>
      <w:start w:val="3"/>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1)"/>
      <w:numFmt w:val="decimal"/>
      <w:start w:val="1"/>
    </w:lvl>
  </w:abstractNum>
  <w:abstractNum w:abstractNumId="90">
    <w:nsid w:val="415E286C"/>
    <w:multiLevelType w:val="hybridMultilevel"/>
    <w:lvl w:ilvl="0">
      <w:lvlJc w:val="left"/>
      <w:lvlText w:val="(%1)"/>
      <w:numFmt w:val="decimal"/>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1)"/>
      <w:numFmt w:val="decimal"/>
      <w:start w:val="1"/>
    </w:lvl>
    <w:lvl w:ilvl="1">
      <w:lvlJc w:val="left"/>
      <w:lvlText w:val="(%2)"/>
      <w:numFmt w:val="lowerLetter"/>
      <w:start w:val="2"/>
    </w:lvl>
  </w:abstractNum>
  <w:abstractNum w:abstractNumId="94">
    <w:nsid w:val="5C10FE21"/>
    <w:multiLevelType w:val="hybridMultilevel"/>
    <w:lvl w:ilvl="0">
      <w:lvlJc w:val="left"/>
      <w:lvlText w:val="(%1)"/>
      <w:numFmt w:val="decimal"/>
      <w:start w:val="9"/>
    </w:lvl>
    <w:lvl w:ilvl="1">
      <w:lvlJc w:val="left"/>
      <w:lvlText w:val="(%2)"/>
      <w:numFmt w:val="lowerLetter"/>
      <w:start w:val="4"/>
    </w:lvl>
  </w:abstractNum>
  <w:abstractNum w:abstractNumId="95">
    <w:nsid w:val="E7FFA2B"/>
    <w:multiLevelType w:val="hybridMultilevel"/>
    <w:lvl w:ilvl="0">
      <w:lvlJc w:val="left"/>
      <w:lvlText w:val="•"/>
      <w:numFmt w:val="bullet"/>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
      <w:numFmt w:val="bullet"/>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
      <w:numFmt w:val="bullet"/>
      <w:start w:val="1"/>
    </w:lvl>
  </w:abstractNum>
  <w:abstractNum w:abstractNumId="103">
    <w:nsid w:val="69E373"/>
    <w:multiLevelType w:val="hybridMultilevel"/>
    <w:lvl w:ilvl="0">
      <w:lvlJc w:val="left"/>
      <w:lvlText w:val="•"/>
      <w:numFmt w:val="bullet"/>
      <w:start w:val="1"/>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
      <w:numFmt w:val="bullet"/>
      <w:start w:val="1"/>
    </w:lvl>
  </w:abstractNum>
  <w:abstractNum w:abstractNumId="107">
    <w:nsid w:val="1DF029D3"/>
    <w:multiLevelType w:val="hybridMultilevel"/>
    <w:lvl w:ilvl="0">
      <w:lvlJc w:val="left"/>
      <w:lvlText w:val="•"/>
      <w:numFmt w:val="bullet"/>
      <w:start w:val="1"/>
    </w:lvl>
  </w:abstractNum>
  <w:abstractNum w:abstractNumId="108">
    <w:nsid w:val="5675FF36"/>
    <w:multiLevelType w:val="hybridMultilevel"/>
    <w:lvl w:ilvl="0">
      <w:lvlJc w:val="left"/>
      <w:lvlText w:val="•"/>
      <w:numFmt w:val="bullet"/>
      <w:start w:val="1"/>
    </w:lvl>
  </w:abstractNum>
  <w:abstractNum w:abstractNumId="109">
    <w:nsid w:val="3DD15094"/>
    <w:multiLevelType w:val="hybridMultilevel"/>
    <w:lvl w:ilvl="0">
      <w:lvlJc w:val="left"/>
      <w:lvlText w:val="•"/>
      <w:numFmt w:val="bullet"/>
      <w:start w:val="1"/>
    </w:lvl>
  </w:abstractNum>
  <w:abstractNum w:abstractNumId="110">
    <w:nsid w:val="3DB012B3"/>
    <w:multiLevelType w:val="hybridMultilevel"/>
    <w:lvl w:ilvl="0">
      <w:lvlJc w:val="left"/>
      <w:lvlText w:val="(%1)"/>
      <w:numFmt w:val="lowerLetter"/>
      <w:start w:val="2"/>
    </w:lvl>
  </w:abstractNum>
  <w:abstractNum w:abstractNumId="111">
    <w:nsid w:val="2708C9AF"/>
    <w:multiLevelType w:val="hybridMultilevel"/>
    <w:lvl w:ilvl="0">
      <w:lvlJc w:val="left"/>
      <w:lvlText w:val="•"/>
      <w:numFmt w:val="bullet"/>
      <w:start w:val="1"/>
    </w:lvl>
  </w:abstractNum>
  <w:abstractNum w:abstractNumId="112">
    <w:nsid w:val="5B25ACE2"/>
    <w:multiLevelType w:val="hybridMultilevel"/>
    <w:lvl w:ilvl="0">
      <w:lvlJc w:val="left"/>
      <w:lvlText w:val="•"/>
      <w:numFmt w:val="bullet"/>
      <w:start w:val="1"/>
    </w:lvl>
    <w:lvl w:ilvl="1">
      <w:lvlJc w:val="left"/>
      <w:lvlText w:val="•"/>
      <w:numFmt w:val="bullet"/>
      <w:start w:val="1"/>
    </w:lvl>
  </w:abstractNum>
  <w:abstractNum w:abstractNumId="113">
    <w:nsid w:val="175DFCF0"/>
    <w:multiLevelType w:val="hybridMultilevel"/>
    <w:lvl w:ilvl="0">
      <w:lvlJc w:val="left"/>
      <w:lvlText w:val="(%1)"/>
      <w:numFmt w:val="lowerLetter"/>
      <w:start w:val="2"/>
    </w:lvl>
  </w:abstractNum>
  <w:abstractNum w:abstractNumId="114">
    <w:nsid w:val="4F97E3E4"/>
    <w:multiLevelType w:val="hybridMultilevel"/>
    <w:lvl w:ilvl="0">
      <w:lvlJc w:val="left"/>
      <w:lvlText w:val="(%1)"/>
      <w:numFmt w:val="lowerRoman"/>
      <w:start w:val="2"/>
    </w:lvl>
  </w:abstractNum>
  <w:abstractNum w:abstractNumId="115">
    <w:nsid w:val="53B0A9E"/>
    <w:multiLevelType w:val="hybridMultilevel"/>
    <w:lvl w:ilvl="0">
      <w:lvlJc w:val="left"/>
      <w:lvlText w:val="•"/>
      <w:numFmt w:val="bullet"/>
      <w:start w:val="1"/>
    </w:lvl>
  </w:abstractNum>
  <w:abstractNum w:abstractNumId="116">
    <w:nsid w:val="34FD6B4F"/>
    <w:multiLevelType w:val="hybridMultilevel"/>
    <w:lvl w:ilvl="0">
      <w:lvlJc w:val="left"/>
      <w:lvlText w:val="%1."/>
      <w:numFmt w:val="decimal"/>
      <w:start w:val="2"/>
    </w:lvl>
  </w:abstractNum>
  <w:abstractNum w:abstractNumId="117">
    <w:nsid w:val="5915FF32"/>
    <w:multiLevelType w:val="hybridMultilevel"/>
    <w:lvl w:ilvl="0">
      <w:lvlJc w:val="left"/>
      <w:lvlText w:val="•"/>
      <w:numFmt w:val="bullet"/>
      <w:start w:val="1"/>
    </w:lvl>
  </w:abstractNum>
  <w:abstractNum w:abstractNumId="118">
    <w:nsid w:val="56438D15"/>
    <w:multiLevelType w:val="hybridMultilevel"/>
    <w:lvl w:ilvl="0">
      <w:lvlJc w:val="left"/>
      <w:lvlText w:val="%1."/>
      <w:numFmt w:val="decimal"/>
      <w:start w:val="3"/>
    </w:lvl>
  </w:abstractNum>
  <w:abstractNum w:abstractNumId="119">
    <w:nsid w:val="519E3149"/>
    <w:multiLevelType w:val="hybridMultilevel"/>
    <w:lvl w:ilvl="0">
      <w:lvlJc w:val="left"/>
      <w:lvlText w:val="%1."/>
      <w:numFmt w:val="decimal"/>
      <w:start w:val="4"/>
    </w:lvl>
  </w:abstractNum>
  <w:abstractNum w:abstractNumId="120">
    <w:nsid w:val="2C6E4AFD"/>
    <w:multiLevelType w:val="hybridMultilevel"/>
    <w:lvl w:ilvl="0">
      <w:lvlJc w:val="left"/>
      <w:lvlText w:val="%1."/>
      <w:numFmt w:val="decimal"/>
      <w:start w:val="5"/>
    </w:lvl>
  </w:abstractNum>
  <w:abstractNum w:abstractNumId="121">
    <w:nsid w:val="17A1B582"/>
    <w:multiLevelType w:val="hybridMultilevel"/>
    <w:lvl w:ilvl="0">
      <w:lvlJc w:val="left"/>
      <w:lvlText w:val="(%1)"/>
      <w:numFmt w:val="lowerRoman"/>
      <w:start w:val="2"/>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decimal"/>
      <w:start w:val="2"/>
    </w:lvl>
  </w:abstractNum>
  <w:abstractNum w:abstractNumId="124">
    <w:nsid w:val="5D888A08"/>
    <w:multiLevelType w:val="hybridMultilevel"/>
    <w:lvl w:ilvl="0">
      <w:lvlJc w:val="left"/>
      <w:lvlText w:val="•"/>
      <w:numFmt w:val="bullet"/>
      <w:start w:val="1"/>
    </w:lvl>
  </w:abstractNum>
  <w:abstractNum w:abstractNumId="125">
    <w:nsid w:val="2A082C70"/>
    <w:multiLevelType w:val="hybridMultilevel"/>
    <w:lvl w:ilvl="0">
      <w:lvlJc w:val="left"/>
      <w:lvlText w:val="%1."/>
      <w:numFmt w:val="decimal"/>
      <w:start w:val="3"/>
    </w:lvl>
  </w:abstractNum>
  <w:abstractNum w:abstractNumId="126">
    <w:nsid w:val="5EC6AFD4"/>
    <w:multiLevelType w:val="hybridMultilevel"/>
    <w:lvl w:ilvl="0">
      <w:lvlJc w:val="left"/>
      <w:lvlText w:val="%1."/>
      <w:numFmt w:val="decimal"/>
      <w:start w:val="4"/>
    </w:lvl>
  </w:abstractNum>
  <w:abstractNum w:abstractNumId="127">
    <w:nsid w:val="19E21BB2"/>
    <w:multiLevelType w:val="hybridMultilevel"/>
    <w:lvl w:ilvl="0">
      <w:lvlJc w:val="left"/>
      <w:lvlText w:val="%1."/>
      <w:numFmt w:val="decimal"/>
      <w:start w:val="5"/>
    </w:lvl>
  </w:abstractNum>
  <w:abstractNum w:abstractNumId="128">
    <w:nsid w:val="75E0858A"/>
    <w:multiLevelType w:val="hybridMultilevel"/>
    <w:lvl w:ilvl="0">
      <w:lvlJc w:val="left"/>
      <w:lvlText w:val="(%1)"/>
      <w:numFmt w:val="lowerRoman"/>
      <w:start w:val="1"/>
    </w:lvl>
  </w:abstractNum>
  <w:abstractNum w:abstractNumId="129">
    <w:nsid w:val="57A61A29"/>
    <w:multiLevelType w:val="hybridMultilevel"/>
    <w:lvl w:ilvl="0">
      <w:lvlJc w:val="left"/>
      <w:lvlText w:val="(%1)"/>
      <w:numFmt w:val="decimal"/>
      <w:start w:val="1"/>
    </w:lvl>
  </w:abstractNum>
  <w:abstractNum w:abstractNumId="130">
    <w:nsid w:val="5399C654"/>
    <w:multiLevelType w:val="hybridMultilevel"/>
    <w:lvl w:ilvl="0">
      <w:lvlJc w:val="left"/>
      <w:lvlText w:val="%1."/>
      <w:numFmt w:val="decimal"/>
      <w:start w:val="7"/>
    </w:lvl>
  </w:abstractNum>
  <w:abstractNum w:abstractNumId="131">
    <w:nsid w:val="20EE134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2019-12-07T03:53:30Z</dcterms:created>
  <dcterms:modified xsi:type="dcterms:W3CDTF">2019-12-07T03:53:30Z</dcterms:modified>
</cp:coreProperties>
</file>