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January 15, 2020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15" w:right="239" w:bottom="1440" w:gutter="0" w:footer="0" w:header="0"/>
        </w:sectPr>
      </w:pPr>
    </w:p>
    <w:p>
      <w:pPr>
        <w:spacing w:after="0" w:line="344"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001-37985</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20-3828755</w:t>
      </w:r>
    </w:p>
    <w:p>
      <w:pPr>
        <w:spacing w:after="0" w:line="60" w:lineRule="exact"/>
        <w:rPr>
          <w:sz w:val="24"/>
          <w:szCs w:val="24"/>
          <w:color w:val="auto"/>
        </w:rPr>
      </w:pPr>
    </w:p>
    <w:p>
      <w:pPr>
        <w:sectPr>
          <w:pgSz w:w="11900" w:h="16838" w:orient="portrait"/>
          <w:cols w:equalWidth="0" w:num="3">
            <w:col w:w="4660" w:space="720"/>
            <w:col w:w="2940" w:space="720"/>
            <w:col w:w="2380"/>
          </w:cols>
          <w:pgMar w:left="240" w:top="215"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40" w:space="720"/>
            <w:col w:w="3200"/>
          </w:cols>
          <w:pgMar w:left="240" w:top="215" w:right="23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jc w:val="center"/>
        <w:ind w:right="-19"/>
        <w:spacing w:after="0"/>
        <w:rPr>
          <w:sz w:val="20"/>
          <w:szCs w:val="20"/>
          <w:color w:val="auto"/>
        </w:rPr>
      </w:pPr>
      <w:r>
        <w:rPr>
          <w:rFonts w:ascii="Times New Roman" w:cs="Times New Roman" w:eastAsia="Times New Roman" w:hAnsi="Times New Roman"/>
          <w:sz w:val="13"/>
          <w:szCs w:val="13"/>
          <w:color w:val="auto"/>
        </w:rPr>
        <w:t>(Address of Principal Executive Offices, and Zip Code)</w:t>
      </w:r>
    </w:p>
    <w:p>
      <w:pPr>
        <w:sectPr>
          <w:pgSz w:w="11900" w:h="16838" w:orient="portrait"/>
          <w:cols w:equalWidth="0" w:num="1">
            <w:col w:w="11420"/>
          </w:cols>
          <w:pgMar w:left="240" w:top="215" w:right="239" w:bottom="1440" w:gutter="0" w:footer="0" w:header="0"/>
          <w:type w:val="continuous"/>
        </w:sectPr>
      </w:pP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9"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7"/>
          <w:szCs w:val="17"/>
          <w:color w:val="auto"/>
        </w:rPr>
        <w:t>Check the appropriate box below if the Form 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Written communications pursuant to Rule 425 under the Securities Act (17 CFR 230.425)</w:t>
      </w:r>
    </w:p>
    <w:p>
      <w:pPr>
        <w:spacing w:after="0" w:line="47"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Soliciting material pursuant to Rule 14a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12 under the Exchange Act (17 CFR 240.14a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12)</w:t>
      </w: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commencement communications pursuant to Rule 14d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2(b) under the Exchange Act (17 CFR 240.14d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2(b))</w:t>
      </w:r>
    </w:p>
    <w:p>
      <w:pPr>
        <w:spacing w:after="0" w:line="1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commencement communications pursuant to Rule 13e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4(c) under the Exchange Act (17 CFR 240.13e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4(c))</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6" w:lineRule="exact"/>
        <w:rPr>
          <w:sz w:val="24"/>
          <w:szCs w:val="24"/>
          <w:color w:val="auto"/>
        </w:rPr>
      </w:pPr>
    </w:p>
    <w:tbl>
      <w:tblPr>
        <w:tblLayout w:type="fixed"/>
        <w:tblInd w:w="190" w:type="dxa"/>
        <w:tblCellMar>
          <w:top w:w="0" w:type="dxa"/>
          <w:left w:w="0" w:type="dxa"/>
          <w:bottom w:w="0" w:type="dxa"/>
          <w:right w:w="0" w:type="dxa"/>
        </w:tblCellMar>
      </w:tblPr>
      <w:tr>
        <w:trPr>
          <w:trHeight w:val="238"/>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Trading Symbol(s)</w:t>
            </w:r>
          </w:p>
        </w:tc>
        <w:tc>
          <w:tcPr>
            <w:tcW w:w="4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Name of each exchange on which registered</w:t>
            </w:r>
          </w:p>
        </w:tc>
      </w:tr>
      <w:tr>
        <w:trPr>
          <w:trHeight w:val="50"/>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r>
      <w:tr>
        <w:trPr>
          <w:trHeight w:val="218"/>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 Stock, par value $0.001 per share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ANAB</w:t>
            </w:r>
          </w:p>
        </w:tc>
        <w:tc>
          <w:tcPr>
            <w:tcW w:w="4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The Nasdaq Stock Market LLC</w:t>
            </w:r>
          </w:p>
        </w:tc>
      </w:tr>
      <w:tr>
        <w:trPr>
          <w:trHeight w:val="50"/>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r>
    </w:tbl>
    <w:p>
      <w:pPr>
        <w:spacing w:after="0" w:line="184"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4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42" w:lineRule="exact"/>
        <w:rPr>
          <w:sz w:val="24"/>
          <w:szCs w:val="24"/>
          <w:color w:val="auto"/>
        </w:rPr>
      </w:pPr>
    </w:p>
    <w:p>
      <w:pPr>
        <w:ind w:right="460"/>
        <w:spacing w:after="0" w:line="21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420"/>
          </w:cols>
          <w:pgMar w:left="240" w:top="215"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AnaptysBio, Inc. plans to present the presentation attached hereto as Exhibit 99.1 at the J.P. Morgan Healthcare Conference on January 15, 2020.</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information furnished with this report,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180" w:type="dxa"/>
            <w:vAlign w:val="bottom"/>
            <w:gridSpan w:val="2"/>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AnaptysBio Presentation</w:t>
              </w:r>
            </w:hyperlink>
          </w:p>
        </w:tc>
      </w:tr>
      <w:tr>
        <w:trPr>
          <w:trHeight w:val="20"/>
        </w:trPr>
        <w:tc>
          <w:tcPr>
            <w:tcW w:w="138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411"/>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ectPr>
          <w:pgSz w:w="11900" w:h="16838" w:orient="portrait"/>
          <w:cols w:equalWidth="0" w:num="1">
            <w:col w:w="10980"/>
          </w:cols>
          <w:pgMar w:left="240" w:top="390" w:right="6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AnaptysBio, Inc.</w:t>
      </w:r>
    </w:p>
    <w:p>
      <w:pPr>
        <w:spacing w:after="0" w:line="56" w:lineRule="exact"/>
        <w:rPr>
          <w:sz w:val="20"/>
          <w:szCs w:val="20"/>
          <w:color w:val="auto"/>
        </w:rPr>
      </w:pPr>
    </w:p>
    <w:p>
      <w:pPr>
        <w:ind w:left="20"/>
        <w:spacing w:after="0"/>
        <w:tabs>
          <w:tab w:leader="none" w:pos="3900" w:val="left"/>
          <w:tab w:leader="none" w:pos="4480" w:val="left"/>
        </w:tabs>
        <w:rPr>
          <w:sz w:val="20"/>
          <w:szCs w:val="20"/>
          <w:color w:val="auto"/>
        </w:rPr>
      </w:pPr>
      <w:r>
        <w:rPr>
          <w:rFonts w:ascii="Times New Roman" w:cs="Times New Roman" w:eastAsia="Times New Roman" w:hAnsi="Times New Roman"/>
          <w:sz w:val="18"/>
          <w:szCs w:val="18"/>
          <w:color w:val="auto"/>
        </w:rPr>
        <w:t>Date: January 15,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32385</wp:posOffset>
            </wp:positionV>
            <wp:extent cx="3549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Eric Loumeau</w:t>
      </w:r>
    </w:p>
    <w:p>
      <w:pPr>
        <w:spacing w:after="0" w:line="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Interim Chief Financial Officer and General Counsel</w:t>
      </w:r>
    </w:p>
    <w:p>
      <w:pPr>
        <w:sectPr>
          <w:pgSz w:w="11900" w:h="16838" w:orient="portrait"/>
          <w:cols w:equalWidth="0" w:num="1">
            <w:col w:w="11400"/>
          </w:cols>
          <w:pgMar w:left="240" w:top="402" w:right="25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5494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315200" cy="5494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940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2020-01-15T09:14:21Z</dcterms:created>
  <dcterms:modified xsi:type="dcterms:W3CDTF">2020-01-15T09:14:21Z</dcterms:modified>
</cp:coreProperties>
</file>