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7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Lizzul Paul F.</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28,467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12/22/2025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26,967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1,500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83,500</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12/22/2025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1,500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07/29/2030</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acquisition of 1,324 shares acquired under the Company's ESPP.</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April 14,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83,500 shares of common stock as set forth in Table II, the Reporting Person also holds additional options to purchase up to an aggregate of 394,810 shares of common stock, which options vest according to their terms.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2"/>
          <w:szCs w:val="32"/>
          <w:color w:val="0000FF"/>
          <w:vertAlign w:val="subscript"/>
        </w:rPr>
        <w:t>12/23/2025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2025-12-23T16:42:51Z</dcterms:created>
  <dcterms:modified xsi:type="dcterms:W3CDTF">2025-12-23T16:42:51Z</dcterms:modified>
</cp:coreProperties>
</file>