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2070100</wp:posOffset>
            </wp:positionH>
            <wp:positionV relativeFrom="page">
              <wp:posOffset>157480</wp:posOffset>
            </wp:positionV>
            <wp:extent cx="3430270" cy="926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430270" cy="926465"/>
                    </a:xfrm>
                    <a:prstGeom prst="rect">
                      <a:avLst/>
                    </a:prstGeom>
                    <a:noFill/>
                  </pic:spPr>
                </pic:pic>
              </a:graphicData>
            </a:graphic>
          </wp:anchor>
        </w:drawing>
      </w:r>
    </w:p>
    <w:p>
      <w:pPr>
        <w:spacing w:after="0" w:line="295" w:lineRule="exact"/>
        <w:rPr>
          <w:sz w:val="24"/>
          <w:szCs w:val="24"/>
          <w:color w:val="auto"/>
        </w:rPr>
      </w:pPr>
    </w:p>
    <w:p>
      <w:pPr>
        <w:spacing w:after="0"/>
        <w:tabs>
          <w:tab w:leader="none" w:pos="5500" w:val="left"/>
          <w:tab w:leader="none" w:pos="8780" w:val="left"/>
        </w:tabs>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ATTHEW</w:t>
      </w:r>
      <w:r>
        <w:rPr>
          <w:rFonts w:ascii="Arial" w:cs="Arial" w:eastAsia="Arial" w:hAnsi="Arial"/>
          <w:sz w:val="18"/>
          <w:szCs w:val="18"/>
          <w:color w:val="auto"/>
        </w:rPr>
        <w:t xml:space="preserve"> R</w:t>
      </w:r>
      <w:r>
        <w:rPr>
          <w:rFonts w:ascii="Arial" w:cs="Arial" w:eastAsia="Arial" w:hAnsi="Arial"/>
          <w:sz w:val="15"/>
          <w:szCs w:val="15"/>
          <w:color w:val="auto"/>
        </w:rPr>
        <w:t>OSSITER</w:t>
      </w:r>
      <w:r>
        <w:rPr>
          <w:sz w:val="20"/>
          <w:szCs w:val="20"/>
          <w:color w:val="auto"/>
        </w:rPr>
        <w:tab/>
      </w:r>
      <w:r>
        <w:rPr>
          <w:rFonts w:ascii="Arial" w:cs="Arial" w:eastAsia="Arial" w:hAnsi="Arial"/>
          <w:sz w:val="18"/>
          <w:szCs w:val="18"/>
          <w:color w:val="auto"/>
        </w:rPr>
        <w:t>March 22, 2016</w:t>
      </w:r>
      <w:r>
        <w:rPr>
          <w:sz w:val="20"/>
          <w:szCs w:val="20"/>
          <w:color w:val="auto"/>
        </w:rPr>
        <w:tab/>
      </w:r>
      <w:r>
        <w:rPr>
          <w:rFonts w:ascii="Arial" w:cs="Arial" w:eastAsia="Arial" w:hAnsi="Arial"/>
          <w:sz w:val="17"/>
          <w:szCs w:val="17"/>
          <w:color w:val="auto"/>
        </w:rPr>
        <w:t>E</w:t>
      </w:r>
      <w:r>
        <w:rPr>
          <w:rFonts w:ascii="Arial" w:cs="Arial" w:eastAsia="Arial" w:hAnsi="Arial"/>
          <w:sz w:val="14"/>
          <w:szCs w:val="14"/>
          <w:color w:val="auto"/>
        </w:rPr>
        <w:t>MAIL MROSSITER</w:t>
      </w:r>
      <w:r>
        <w:rPr>
          <w:rFonts w:ascii="Arial" w:cs="Arial" w:eastAsia="Arial" w:hAnsi="Arial"/>
          <w:sz w:val="17"/>
          <w:szCs w:val="17"/>
          <w:color w:val="auto"/>
        </w:rPr>
        <w:t>@</w:t>
      </w:r>
      <w:r>
        <w:rPr>
          <w:rFonts w:ascii="Arial" w:cs="Arial" w:eastAsia="Arial" w:hAnsi="Arial"/>
          <w:sz w:val="14"/>
          <w:szCs w:val="14"/>
          <w:color w:val="auto"/>
        </w:rPr>
        <w:t>FENWICK</w:t>
      </w:r>
      <w:r>
        <w:rPr>
          <w:rFonts w:ascii="Arial" w:cs="Arial" w:eastAsia="Arial" w:hAnsi="Arial"/>
          <w:sz w:val="17"/>
          <w:szCs w:val="17"/>
          <w:color w:val="auto"/>
        </w:rPr>
        <w:t>.</w:t>
      </w:r>
      <w:r>
        <w:rPr>
          <w:rFonts w:ascii="Arial" w:cs="Arial" w:eastAsia="Arial" w:hAnsi="Arial"/>
          <w:sz w:val="14"/>
          <w:szCs w:val="14"/>
          <w:color w:val="auto"/>
        </w:rPr>
        <w:t>COM</w:t>
      </w:r>
    </w:p>
    <w:p>
      <w:pPr>
        <w:spacing w:after="0" w:line="17" w:lineRule="exact"/>
        <w:rPr>
          <w:sz w:val="24"/>
          <w:szCs w:val="24"/>
          <w:color w:val="auto"/>
        </w:rPr>
      </w:pPr>
    </w:p>
    <w:p>
      <w:pPr>
        <w:ind w:left="9840"/>
        <w:spacing w:after="0"/>
        <w:rPr>
          <w:sz w:val="20"/>
          <w:szCs w:val="20"/>
          <w:color w:val="auto"/>
        </w:rPr>
      </w:pPr>
      <w:r>
        <w:rPr>
          <w:rFonts w:ascii="Arial" w:cs="Arial" w:eastAsia="Arial" w:hAnsi="Arial"/>
          <w:sz w:val="13"/>
          <w:szCs w:val="13"/>
          <w:color w:val="auto"/>
        </w:rPr>
        <w:t>Direct Dial (415) 875-2372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492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92760"/>
                    </a:xfrm>
                    <a:prstGeom prst="rect">
                      <a:avLst/>
                    </a:prstGeom>
                    <a:noFill/>
                  </pic:spPr>
                </pic:pic>
              </a:graphicData>
            </a:graphic>
          </wp:anchor>
        </w:drawing>
      </w:r>
    </w:p>
    <w:p>
      <w:pPr>
        <w:spacing w:after="0" w:line="278" w:lineRule="exact"/>
        <w:rPr>
          <w:sz w:val="24"/>
          <w:szCs w:val="24"/>
          <w:color w:val="auto"/>
        </w:rPr>
      </w:pPr>
    </w:p>
    <w:p>
      <w:pPr>
        <w:jc w:val="both"/>
        <w:ind w:left="140" w:right="720"/>
        <w:spacing w:after="0" w:line="266"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FOR THE OMITTED PORTIONS, WHICH HAVE BEEN REPLACED WITH THE FOLLOWING PLACEHOLDER: “[*].”</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AND OVERNIGHT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40" w:right="2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Christian Windsor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Tabatha McCullom</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Mary Mast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Eric Envall</w:t>
      </w:r>
    </w:p>
    <w:p>
      <w:pPr>
        <w:spacing w:after="0" w:line="200" w:lineRule="exact"/>
        <w:rPr>
          <w:sz w:val="24"/>
          <w:szCs w:val="24"/>
          <w:color w:val="auto"/>
        </w:rPr>
      </w:pPr>
    </w:p>
    <w:p>
      <w:pPr>
        <w:sectPr>
          <w:pgSz w:w="11900" w:h="16838" w:orient="portrait"/>
          <w:cols w:equalWidth="0" w:num="2">
            <w:col w:w="740" w:space="640"/>
            <w:col w:w="10040"/>
          </w:cols>
          <w:pgMar w:left="240" w:top="1440" w:right="239" w:bottom="1440" w:gutter="0" w:footer="0" w:header="0"/>
          <w:type w:val="continuous"/>
        </w:sectPr>
      </w:pPr>
    </w:p>
    <w:p>
      <w:pPr>
        <w:spacing w:after="0" w:line="34"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Initially Filed September 9,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333-206849</w:t>
      </w:r>
    </w:p>
    <w:p>
      <w:pPr>
        <w:spacing w:after="0" w:line="200" w:lineRule="exact"/>
        <w:rPr>
          <w:sz w:val="24"/>
          <w:szCs w:val="24"/>
          <w:color w:val="auto"/>
        </w:rPr>
      </w:pPr>
    </w:p>
    <w:p>
      <w:pPr>
        <w:sectPr>
          <w:pgSz w:w="11900" w:h="16838" w:orient="portrait"/>
          <w:cols w:equalWidth="0" w:num="2">
            <w:col w:w="1160" w:space="220"/>
            <w:col w:w="10040"/>
          </w:cols>
          <w:pgMar w:left="240" w:top="144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00"/>
        <w:spacing w:after="0" w:line="273" w:lineRule="auto"/>
        <w:rPr>
          <w:sz w:val="20"/>
          <w:szCs w:val="20"/>
          <w:color w:val="auto"/>
        </w:rPr>
      </w:pPr>
      <w:r>
        <w:rPr>
          <w:rFonts w:ascii="Arial" w:cs="Arial" w:eastAsia="Arial" w:hAnsi="Arial"/>
          <w:sz w:val="17"/>
          <w:szCs w:val="17"/>
          <w:color w:val="auto"/>
        </w:rPr>
        <w:t>On behalf of AnaptysBio,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transmitting this letter to provide for the review of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portions of the above referenced Registration Statement on Form S-1 originally filed by the Company with the Commission on September 9, 2015, and most recently amended by Amendment No. 2 filed by the Company with the Commission on February 16, 2016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xml:space="preserve">”). These portions are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letter and contain certain proposed changes to be included in the preliminary prospectus that reflect the stock split, the price range and the estimated proceeds to the Company from the offering. The preliminary prospectus as filed with the Commission will also contain additional changes throughout the entire document to reflect, in particular, the stock split.</w:t>
      </w:r>
    </w:p>
    <w:p>
      <w:pPr>
        <w:spacing w:after="0" w:line="178"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Company appreciates the Staff’s willingness to accommodate the Company and respectfully requests that the Staff review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advance of the filing of the preliminary prospectus.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ANAPTYSBIO - 1</w:t>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Should the Staff have questions or comments regarding the foregoing, please do not hesitate to contact the undersigned at (415) 875-2372.</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Rossiter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Rossiter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Hamza Suria,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AnaptysBio,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Effie Toshav,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Freedman,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Melissa V. Frayer,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Fenwick &amp; West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Charles Kim,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13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ANAPTYSBIO - 2</w:t>
      </w:r>
    </w:p>
    <w:p>
      <w:pPr>
        <w:sectPr>
          <w:pgSz w:w="11900" w:h="16838" w:orient="portrait"/>
          <w:cols w:equalWidth="0" w:num="1">
            <w:col w:w="10219"/>
          </w:cols>
          <w:pgMar w:left="240" w:top="27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Confidential material redacted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ANAPTYSBIO - 3</w:t>
      </w:r>
    </w:p>
    <w:sectPr>
      <w:pgSz w:w="11900" w:h="16838" w:orient="portrait"/>
      <w:cols w:equalWidth="0" w:num="1">
        <w:col w:w="10220"/>
      </w:cols>
      <w:pgMar w:left="14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2019-12-08T12:41:16Z</dcterms:created>
  <dcterms:modified xsi:type="dcterms:W3CDTF">2019-12-08T12:41:16Z</dcterms:modified>
</cp:coreProperties>
</file>