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238"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Faga Daniel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ANAPTYSBIO,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04/20/2026</w:t>
      </w:r>
    </w:p>
    <w:p>
      <w:pPr>
        <w:spacing w:after="0" w:line="20" w:lineRule="exact"/>
        <w:rPr>
          <w:sz w:val="24"/>
          <w:szCs w:val="24"/>
          <w:color w:val="auto"/>
        </w:rPr>
      </w:pPr>
      <w:r>
        <w:rPr>
          <w:sz w:val="24"/>
          <w:szCs w:val="24"/>
          <w:color w:val="auto"/>
        </w:rPr>
        <w:br w:type="column"/>
      </w:r>
    </w:p>
    <w:p>
      <w:pPr>
        <w:ind w:left="5" w:right="720" w:hanging="5"/>
        <w:spacing w:after="0" w:line="284"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6"/>
          <w:szCs w:val="16"/>
          <w:color w:val="0000FF"/>
        </w:rPr>
        <w:t>President, CEO</w:t>
      </w:r>
    </w:p>
    <w:p>
      <w:pPr>
        <w:spacing w:after="0" w:line="523" w:lineRule="exact"/>
        <w:rPr>
          <w:sz w:val="24"/>
          <w:szCs w:val="24"/>
          <w:color w:val="auto"/>
        </w:rPr>
      </w:pPr>
    </w:p>
    <w:p>
      <w:pPr>
        <w:sectPr>
          <w:pgSz w:w="11900" w:h="16838" w:orient="portrait"/>
          <w:cols w:equalWidth="0" w:num="3">
            <w:col w:w="3180" w:space="720"/>
            <w:col w:w="3115" w:space="720"/>
            <w:col w:w="3345"/>
          </w:cols>
          <w:pgMar w:left="460" w:top="214" w:right="359" w:bottom="238"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6"/>
          </w:tcPr>
          <w:p>
            <w:pPr>
              <w:jc w:val="center"/>
              <w:ind w:right="220"/>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92121</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8"/>
          </w:tcPr>
          <w:p>
            <w:pPr>
              <w:ind w:left="16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1"/>
          </w:tcPr>
          <w:p>
            <w:pPr>
              <w:jc w:val="center"/>
              <w:ind w:right="18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3"/>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3"/>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60" w:type="dxa"/>
            <w:vAlign w:val="bottom"/>
            <w:tcBorders>
              <w:bottom w:val="single" w:sz="8" w:color="2C2C2C"/>
            </w:tcBorders>
            <w:gridSpan w:val="9"/>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1"/>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0"/>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23"/>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16,510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31.12</w:t>
            </w: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restart"/>
          </w:tcPr>
          <w:p>
            <w:pPr>
              <w:jc w:val="center"/>
              <w:ind w:right="19"/>
              <w:spacing w:after="0" w:line="137" w:lineRule="exact"/>
              <w:rPr>
                <w:sz w:val="20"/>
                <w:szCs w:val="20"/>
                <w:color w:val="auto"/>
              </w:rPr>
            </w:pPr>
            <w:r>
              <w:rPr>
                <w:rFonts w:ascii="Times New Roman" w:cs="Times New Roman" w:eastAsia="Times New Roman" w:hAnsi="Times New Roman"/>
                <w:sz w:val="12"/>
                <w:szCs w:val="12"/>
                <w:color w:val="0000FF"/>
              </w:rPr>
              <w:t>11,000</w:t>
            </w:r>
          </w:p>
        </w:tc>
        <w:tc>
          <w:tcPr>
            <w:tcW w:w="740" w:type="dxa"/>
            <w:vAlign w:val="bottom"/>
            <w:vMerge w:val="continue"/>
          </w:tcPr>
          <w:p>
            <w:pPr>
              <w:spacing w:after="0"/>
              <w:rPr>
                <w:sz w:val="5"/>
                <w:szCs w:val="5"/>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11/25/2031</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16,510</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22.8</w:t>
            </w: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60" w:type="dxa"/>
            <w:vAlign w:val="bottom"/>
            <w:vMerge w:val="restart"/>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11,000</w:t>
            </w:r>
          </w:p>
        </w:tc>
        <w:tc>
          <w:tcPr>
            <w:tcW w:w="5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11/25/2031</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11,000</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2,321</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31.12</w:t>
            </w: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restart"/>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2,321</w:t>
            </w:r>
          </w:p>
        </w:tc>
        <w:tc>
          <w:tcPr>
            <w:tcW w:w="740" w:type="dxa"/>
            <w:vAlign w:val="bottom"/>
            <w:vMerge w:val="continue"/>
          </w:tcPr>
          <w:p>
            <w:pPr>
              <w:spacing w:after="0"/>
              <w:rPr>
                <w:sz w:val="5"/>
                <w:szCs w:val="5"/>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11/25/2031</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2,321</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2,321</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22.8</w:t>
            </w: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60" w:type="dxa"/>
            <w:vAlign w:val="bottom"/>
            <w:vMerge w:val="restart"/>
          </w:tcPr>
          <w:p>
            <w:pPr>
              <w:jc w:val="center"/>
              <w:ind w:right="62"/>
              <w:spacing w:after="0" w:line="137" w:lineRule="exact"/>
              <w:rPr>
                <w:sz w:val="20"/>
                <w:szCs w:val="20"/>
                <w:color w:val="auto"/>
              </w:rPr>
            </w:pPr>
            <w:r>
              <w:rPr>
                <w:rFonts w:ascii="Times New Roman" w:cs="Times New Roman" w:eastAsia="Times New Roman" w:hAnsi="Times New Roman"/>
                <w:sz w:val="12"/>
                <w:szCs w:val="12"/>
                <w:color w:val="0000FF"/>
              </w:rPr>
              <w:t>2,321</w:t>
            </w:r>
          </w:p>
        </w:tc>
        <w:tc>
          <w:tcPr>
            <w:tcW w:w="5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11/25/2031</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2,321</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30.44</w:t>
            </w: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restart"/>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9,200</w:t>
            </w:r>
          </w:p>
        </w:tc>
        <w:tc>
          <w:tcPr>
            <w:tcW w:w="740" w:type="dxa"/>
            <w:vAlign w:val="bottom"/>
            <w:vMerge w:val="continue"/>
          </w:tcPr>
          <w:p>
            <w:pPr>
              <w:spacing w:after="0"/>
              <w:rPr>
                <w:sz w:val="5"/>
                <w:szCs w:val="5"/>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02/09/2032</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9,200</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22.31</w:t>
            </w: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60" w:type="dxa"/>
            <w:vAlign w:val="bottom"/>
            <w:vMerge w:val="restart"/>
          </w:tcPr>
          <w:p>
            <w:pPr>
              <w:jc w:val="center"/>
              <w:ind w:right="62"/>
              <w:spacing w:after="0" w:line="137" w:lineRule="exact"/>
              <w:rPr>
                <w:sz w:val="20"/>
                <w:szCs w:val="20"/>
                <w:color w:val="auto"/>
              </w:rPr>
            </w:pPr>
            <w:r>
              <w:rPr>
                <w:rFonts w:ascii="Times New Roman" w:cs="Times New Roman" w:eastAsia="Times New Roman" w:hAnsi="Times New Roman"/>
                <w:sz w:val="12"/>
                <w:szCs w:val="12"/>
                <w:color w:val="0000FF"/>
              </w:rPr>
              <w:t>9,200</w:t>
            </w:r>
          </w:p>
        </w:tc>
        <w:tc>
          <w:tcPr>
            <w:tcW w:w="5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02/09/2032</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jc w:val="center"/>
              <w:ind w:right="3"/>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9,200</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194,900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23.23</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jc w:val="center"/>
              <w:ind w:right="39"/>
              <w:spacing w:after="0" w:line="125" w:lineRule="exact"/>
              <w:rPr>
                <w:sz w:val="20"/>
                <w:szCs w:val="20"/>
                <w:color w:val="auto"/>
              </w:rPr>
            </w:pPr>
            <w:r>
              <w:rPr>
                <w:rFonts w:ascii="Times New Roman" w:cs="Times New Roman" w:eastAsia="Times New Roman" w:hAnsi="Times New Roman"/>
                <w:sz w:val="12"/>
                <w:szCs w:val="12"/>
                <w:color w:val="0000FF"/>
              </w:rPr>
              <w:t>194,900</w:t>
            </w: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01/05/2033</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center"/>
              <w:ind w:right="3"/>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194,900</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194,900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17.02</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6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2"/>
                <w:szCs w:val="12"/>
                <w:color w:val="0000FF"/>
              </w:rPr>
              <w:t>194,900</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01/05/2033</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center"/>
              <w:ind w:right="3"/>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194,900</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379,620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21.19</w:t>
            </w:r>
          </w:p>
        </w:tc>
        <w:tc>
          <w:tcPr>
            <w:tcW w:w="1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jc w:val="center"/>
              <w:ind w:right="39"/>
              <w:spacing w:after="0" w:line="125" w:lineRule="exact"/>
              <w:rPr>
                <w:sz w:val="20"/>
                <w:szCs w:val="20"/>
                <w:color w:val="auto"/>
              </w:rPr>
            </w:pPr>
            <w:r>
              <w:rPr>
                <w:rFonts w:ascii="Times New Roman" w:cs="Times New Roman" w:eastAsia="Times New Roman" w:hAnsi="Times New Roman"/>
                <w:sz w:val="12"/>
                <w:szCs w:val="12"/>
                <w:color w:val="0000FF"/>
              </w:rPr>
              <w:t>379,620</w:t>
            </w:r>
          </w:p>
        </w:tc>
        <w:tc>
          <w:tcPr>
            <w:tcW w:w="740" w:type="dxa"/>
            <w:vAlign w:val="bottom"/>
            <w:vMerge w:val="continue"/>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01/02/2034</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center"/>
              <w:ind w:right="3"/>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379,620</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ectPr>
          <w:pgSz w:w="11900" w:h="16838" w:orient="portrait"/>
          <w:cols w:equalWidth="0" w:num="1">
            <w:col w:w="11080"/>
          </w:cols>
          <w:pgMar w:left="460" w:top="214" w:right="359" w:bottom="23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385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385064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379,620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ind w:left="2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15.53</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379,620</w:t>
            </w: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01/02/2034</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ind w:left="260"/>
              <w:spacing w:after="0" w:line="125" w:lineRule="exact"/>
              <w:rPr>
                <w:sz w:val="20"/>
                <w:szCs w:val="20"/>
                <w:color w:val="auto"/>
              </w:rPr>
            </w:pPr>
            <w:r>
              <w:rPr>
                <w:rFonts w:ascii="Times New Roman" w:cs="Times New Roman" w:eastAsia="Times New Roman" w:hAnsi="Times New Roman"/>
                <w:sz w:val="12"/>
                <w:szCs w:val="12"/>
                <w:color w:val="0000FF"/>
              </w:rPr>
              <w:t>379,620</w:t>
            </w:r>
          </w:p>
        </w:tc>
        <w:tc>
          <w:tcPr>
            <w:tcW w:w="7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305,500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ind w:left="2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305,500</w:t>
            </w:r>
          </w:p>
        </w:tc>
        <w:tc>
          <w:tcPr>
            <w:tcW w:w="740" w:type="dxa"/>
            <w:vAlign w:val="bottom"/>
            <w:vMerge w:val="continue"/>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01/06/2035</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ind w:left="260"/>
              <w:spacing w:after="0" w:line="125" w:lineRule="exact"/>
              <w:rPr>
                <w:sz w:val="20"/>
                <w:szCs w:val="20"/>
                <w:color w:val="auto"/>
              </w:rPr>
            </w:pPr>
            <w:r>
              <w:rPr>
                <w:rFonts w:ascii="Times New Roman" w:cs="Times New Roman" w:eastAsia="Times New Roman" w:hAnsi="Times New Roman"/>
                <w:sz w:val="12"/>
                <w:szCs w:val="12"/>
                <w:color w:val="0000FF"/>
              </w:rPr>
              <w:t>305,500</w:t>
            </w:r>
          </w:p>
        </w:tc>
        <w:tc>
          <w:tcPr>
            <w:tcW w:w="7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305,500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ind w:left="2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10.87</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305,500</w:t>
            </w: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01/06/2035</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ind w:left="260"/>
              <w:spacing w:after="0" w:line="125" w:lineRule="exact"/>
              <w:rPr>
                <w:sz w:val="20"/>
                <w:szCs w:val="20"/>
                <w:color w:val="auto"/>
              </w:rPr>
            </w:pPr>
            <w:r>
              <w:rPr>
                <w:rFonts w:ascii="Times New Roman" w:cs="Times New Roman" w:eastAsia="Times New Roman" w:hAnsi="Times New Roman"/>
                <w:sz w:val="12"/>
                <w:szCs w:val="12"/>
                <w:color w:val="0000FF"/>
              </w:rPr>
              <w:t>305,500</w:t>
            </w:r>
          </w:p>
        </w:tc>
        <w:tc>
          <w:tcPr>
            <w:tcW w:w="7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133,400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ind w:left="2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43.91</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133,400</w:t>
            </w:r>
          </w:p>
        </w:tc>
        <w:tc>
          <w:tcPr>
            <w:tcW w:w="740" w:type="dxa"/>
            <w:vAlign w:val="bottom"/>
            <w:vMerge w:val="continue"/>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01/06/2036</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ind w:left="260"/>
              <w:spacing w:after="0" w:line="125" w:lineRule="exact"/>
              <w:rPr>
                <w:sz w:val="20"/>
                <w:szCs w:val="20"/>
                <w:color w:val="auto"/>
              </w:rPr>
            </w:pPr>
            <w:r>
              <w:rPr>
                <w:rFonts w:ascii="Times New Roman" w:cs="Times New Roman" w:eastAsia="Times New Roman" w:hAnsi="Times New Roman"/>
                <w:sz w:val="12"/>
                <w:szCs w:val="12"/>
                <w:color w:val="0000FF"/>
              </w:rPr>
              <w:t>133,400</w:t>
            </w:r>
          </w:p>
        </w:tc>
        <w:tc>
          <w:tcPr>
            <w:tcW w:w="7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restart"/>
          </w:tcPr>
          <w:p>
            <w:pPr>
              <w:ind w:left="100"/>
              <w:spacing w:after="0" w:line="262"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133,400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ind w:left="20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32.17</w:t>
            </w: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133,400</w:t>
            </w: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01/06/2036</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ind w:left="260"/>
              <w:spacing w:after="0" w:line="125" w:lineRule="exact"/>
              <w:rPr>
                <w:sz w:val="20"/>
                <w:szCs w:val="20"/>
                <w:color w:val="auto"/>
              </w:rPr>
            </w:pPr>
            <w:r>
              <w:rPr>
                <w:rFonts w:ascii="Times New Roman" w:cs="Times New Roman" w:eastAsia="Times New Roman" w:hAnsi="Times New Roman"/>
                <w:sz w:val="12"/>
                <w:szCs w:val="12"/>
                <w:color w:val="0000FF"/>
              </w:rPr>
              <w:t>133,400</w:t>
            </w:r>
          </w:p>
        </w:tc>
        <w:tc>
          <w:tcPr>
            <w:tcW w:w="7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jc w:val="both"/>
        <w:ind w:left="20" w:right="220" w:hanging="3"/>
        <w:spacing w:after="0" w:line="253"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AnaptysBio shares of common stock in an amount determined in accordance with the Separation Agreement.</w:t>
      </w:r>
    </w:p>
    <w:p>
      <w:pPr>
        <w:spacing w:after="0" w:line="160"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is fully vested and exercisable.</w:t>
      </w:r>
    </w:p>
    <w:p>
      <w:pPr>
        <w:spacing w:after="0" w:line="48" w:lineRule="exact"/>
        <w:rPr>
          <w:rFonts w:ascii="Times New Roman" w:cs="Times New Roman" w:eastAsia="Times New Roman" w:hAnsi="Times New Roman"/>
          <w:sz w:val="12"/>
          <w:szCs w:val="12"/>
          <w:color w:val="008000"/>
        </w:rPr>
      </w:pPr>
    </w:p>
    <w:p>
      <w:pPr>
        <w:ind w:left="20" w:right="2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vests as to 25% of the total shares on January 6, 2024, and thereafter vests as to 1/48 of the total shares monthly until fully vested, subject to the Reporting Person's provision of service to the Issuer on each vesting date.</w:t>
      </w:r>
    </w:p>
    <w:p>
      <w:pPr>
        <w:ind w:left="20" w:right="2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vests as to 25% of the total shares on January 3, 2025, and thereafter vests as to 1/48 of the total shares monthly until fully vested, subject to the Reporting Person's provision of service to the Issuer on each vesting date.</w:t>
      </w:r>
    </w:p>
    <w:p>
      <w:pPr>
        <w:ind w:left="20" w:right="2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vests as to 25% of the total shares on January 7, 2026, and thereafter vests as to 1/48 of the total shares monthly until fully vested, subject to the Reporting Person's provision of service to the Issuer on each vesting date.</w:t>
      </w:r>
    </w:p>
    <w:p>
      <w:pPr>
        <w:ind w:left="20" w:right="2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vests as to 25% of the total shares on January 6, 2027, and thereafter vests as to 1/48 of the total shares monthly until fully vested, subject to the Reporting Person's provision of service to the Issuer on each vesting date.</w:t>
      </w:r>
    </w:p>
    <w:p>
      <w:pPr>
        <w:spacing w:after="0" w:line="16"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Dan Faga</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04/22/2026</w:t>
            </w:r>
          </w:p>
        </w:tc>
      </w:tr>
      <w:tr>
        <w:trPr>
          <w:trHeight w:val="20"/>
        </w:trPr>
        <w:tc>
          <w:tcPr>
            <w:tcW w:w="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352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2026-04-22T17:36:18Z</dcterms:created>
  <dcterms:modified xsi:type="dcterms:W3CDTF">2026-04-22T17:36:18Z</dcterms:modified>
</cp:coreProperties>
</file>