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4566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456692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Lizzul Paul F.</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ANAPTYSBIO,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10770 WATERIDGE CIRCLE,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ANAPTYSBIO,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ANAB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09/14/2022</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197"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837"/>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383"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700" w:type="dxa"/>
            <w:vAlign w:val="bottom"/>
            <w:gridSpan w:val="8"/>
          </w:tcPr>
          <w:p>
            <w:pPr>
              <w:jc w:val="center"/>
              <w:ind w:right="41"/>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0"/>
            <w:vMerge w:val="restart"/>
          </w:tcPr>
          <w:p>
            <w:pPr>
              <w:ind w:left="4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92121</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21"/>
                <w:szCs w:val="21"/>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09/14/2022</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12,000</w:t>
            </w:r>
          </w:p>
        </w:tc>
        <w:tc>
          <w:tcPr>
            <w:tcW w:w="340" w:type="dxa"/>
            <w:vAlign w:val="bottom"/>
          </w:tcPr>
          <w:p>
            <w:pPr>
              <w:spacing w:after="0"/>
              <w:rPr>
                <w:sz w:val="21"/>
                <w:szCs w:val="21"/>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21"/>
                <w:szCs w:val="21"/>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12,000</w:t>
            </w:r>
          </w:p>
        </w:tc>
        <w:tc>
          <w:tcPr>
            <w:tcW w:w="60" w:type="dxa"/>
            <w:vAlign w:val="bottom"/>
          </w:tcPr>
          <w:p>
            <w:pPr>
              <w:spacing w:after="0"/>
              <w:rPr>
                <w:sz w:val="21"/>
                <w:szCs w:val="21"/>
                <w:color w:val="auto"/>
              </w:rPr>
            </w:pPr>
          </w:p>
        </w:tc>
        <w:tc>
          <w:tcPr>
            <w:tcW w:w="72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0000FF"/>
              </w:rPr>
              <w:t>12,000</w:t>
            </w:r>
            <w:r>
              <w:rPr>
                <w:rFonts w:ascii="Times New Roman" w:cs="Times New Roman" w:eastAsia="Times New Roman" w:hAnsi="Times New Roman"/>
                <w:sz w:val="21"/>
                <w:szCs w:val="21"/>
                <w:color w:val="008000"/>
                <w:vertAlign w:val="superscript"/>
              </w:rPr>
              <w:t>(3)</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one-time retention grant of restricted stock units ("RSUs"). Each RSU represents a contingent right to receive 1 share of the Issuer's Common Stock upon settlement for no consideration.</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50% of the total RSUs vest on September 14, 2023 and September 14, 2024, subject to the Reporting Person's provision of service to the Issuer on each vesting date.</w:t>
      </w:r>
    </w:p>
    <w:p>
      <w:pPr>
        <w:spacing w:after="0" w:line="44" w:lineRule="exact"/>
        <w:rPr>
          <w:rFonts w:ascii="Times New Roman" w:cs="Times New Roman" w:eastAsia="Times New Roman" w:hAnsi="Times New Roman"/>
          <w:sz w:val="13"/>
          <w:szCs w:val="13"/>
          <w:color w:val="008000"/>
        </w:rPr>
      </w:pPr>
    </w:p>
    <w:p>
      <w:pPr>
        <w:ind w:left="40" w:right="2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addition to the remaining options to purchase 12,000 shares of common stock as set forth in Table II above, the Reporting Person also holds (i) additional options to purchase up to an aggregate of 215,000 shares of common stock, which options vest according to their terms, and (ii) 1,751 shares of common stock held directly.</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Eric Loumeau, Attorney-in-  </w:t>
      </w:r>
      <w:r>
        <w:rPr>
          <w:rFonts w:ascii="Times New Roman" w:cs="Times New Roman" w:eastAsia="Times New Roman" w:hAnsi="Times New Roman"/>
          <w:sz w:val="33"/>
          <w:szCs w:val="33"/>
          <w:color w:val="0000FF"/>
          <w:vertAlign w:val="subscript"/>
        </w:rPr>
        <w:t>09/16/2022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19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11462"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2022-09-16T16:11:39Z</dcterms:created>
  <dcterms:modified xsi:type="dcterms:W3CDTF">2022-09-16T16:11:39Z</dcterms:modified>
</cp:coreProperties>
</file>