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 PURSUANT TO</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13 OR 15(d) OF THE SECURITIES EXCHANGE ACT OF 1934</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January 18, 2021</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earliest event reported)</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09"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9"/>
          <w:szCs w:val="19"/>
          <w:b w:val="1"/>
          <w:bCs w:val="1"/>
          <w:color w:val="auto"/>
        </w:rPr>
        <w:t>001-37985</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20-3828755</w:t>
      </w:r>
    </w:p>
    <w:p>
      <w:pPr>
        <w:spacing w:after="0" w:line="44" w:lineRule="exact"/>
        <w:rPr>
          <w:sz w:val="24"/>
          <w:szCs w:val="24"/>
          <w:color w:val="auto"/>
        </w:rPr>
      </w:pPr>
    </w:p>
    <w:p>
      <w:pPr>
        <w:sectPr>
          <w:pgSz w:w="11900" w:h="16838" w:orient="portrait"/>
          <w:cols w:equalWidth="0" w:num="3">
            <w:col w:w="4480" w:space="720"/>
            <w:col w:w="2900" w:space="720"/>
            <w:col w:w="2420"/>
          </w:cols>
          <w:pgMar w:left="320" w:top="1440"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9"/>
          <w:szCs w:val="19"/>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(IRS Employer Identification No.)</w:t>
      </w:r>
    </w:p>
    <w:p>
      <w:pPr>
        <w:spacing w:after="0" w:line="200" w:lineRule="exact"/>
        <w:rPr>
          <w:sz w:val="24"/>
          <w:szCs w:val="24"/>
          <w:color w:val="auto"/>
        </w:rPr>
      </w:pPr>
    </w:p>
    <w:p>
      <w:pPr>
        <w:sectPr>
          <w:pgSz w:w="11900" w:h="16838" w:orient="portrait"/>
          <w:cols w:equalWidth="0" w:num="3">
            <w:col w:w="3820" w:space="720"/>
            <w:col w:w="2660" w:space="720"/>
            <w:col w:w="3320"/>
          </w:cols>
          <w:pgMar w:left="320" w:top="1440" w:right="339" w:bottom="1440" w:gutter="0" w:footer="0" w:header="0"/>
          <w:type w:val="continuous"/>
        </w:sectPr>
      </w:pP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10421 Pacific Center Court,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San Diego, CA 92121</w:t>
      </w: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p>
      <w:pPr>
        <w:sectPr>
          <w:pgSz w:w="11900" w:h="16838" w:orient="portrait"/>
          <w:cols w:equalWidth="0" w:num="1">
            <w:col w:w="11240"/>
          </w:cols>
          <w:pgMar w:left="320" w:top="1440" w:right="339" w:bottom="1440" w:gutter="0" w:footer="0" w:header="0"/>
          <w:type w:val="continuous"/>
        </w:sect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(858) 362-6295</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200" w:lineRule="exact"/>
        <w:rPr>
          <w:sz w:val="24"/>
          <w:szCs w:val="24"/>
          <w:color w:val="auto"/>
        </w:rPr>
      </w:pPr>
    </w:p>
    <w:p>
      <w:pPr>
        <w:spacing w:after="0" w:line="239" w:lineRule="exact"/>
        <w:rPr>
          <w:sz w:val="24"/>
          <w:szCs w:val="24"/>
          <w:color w:val="auto"/>
        </w:rPr>
      </w:pPr>
    </w:p>
    <w:p>
      <w:pPr>
        <w:ind w:right="680"/>
        <w:spacing w:after="0" w:line="239" w:lineRule="exact"/>
        <w:rPr>
          <w:sz w:val="20"/>
          <w:szCs w:val="20"/>
          <w:color w:val="auto"/>
        </w:rPr>
      </w:pPr>
      <w:r>
        <w:rPr>
          <w:rFonts w:ascii="Times New Roman" w:cs="Times New Roman" w:eastAsia="Times New Roman" w:hAnsi="Times New Roman"/>
          <w:sz w:val="18"/>
          <w:szCs w:val="18"/>
          <w:color w:val="auto"/>
        </w:rPr>
        <w:t>Check the appropriate box below if the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communications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under the Exchange Act (17 CFR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commencement communications pursuant to Rule 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 under the Exchange Act (17 CFR 240.14d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commencement communications pursuant to Rule 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 under the Exchange Act (17 CFR 240.13e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210" w:type="dxa"/>
        <w:tblCellMar>
          <w:top w:w="0" w:type="dxa"/>
          <w:left w:w="0" w:type="dxa"/>
          <w:bottom w:w="0" w:type="dxa"/>
          <w:right w:w="0" w:type="dxa"/>
        </w:tblCellMar>
      </w:tblPr>
      <w:tr>
        <w:trPr>
          <w:trHeight w:val="248"/>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8"/>
        </w:trPr>
        <w:tc>
          <w:tcPr>
            <w:tcW w:w="3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4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1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9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1000" w:right="560" w:hanging="1052"/>
        <w:spacing w:after="0" w:line="259" w:lineRule="auto"/>
        <w:tabs>
          <w:tab w:leader="none" w:pos="980" w:val="left"/>
        </w:tabs>
        <w:rPr>
          <w:sz w:val="20"/>
          <w:szCs w:val="20"/>
          <w:color w:val="auto"/>
        </w:rPr>
      </w:pPr>
      <w:r>
        <w:rPr>
          <w:rFonts w:ascii="Times New Roman" w:cs="Times New Roman" w:eastAsia="Times New Roman" w:hAnsi="Times New Roman"/>
          <w:sz w:val="20"/>
          <w:szCs w:val="20"/>
          <w:b w:val="1"/>
          <w:bCs w:val="1"/>
          <w:color w:val="auto"/>
        </w:rPr>
        <w:t>Item 5.02</w:t>
        <w:tab/>
        <w:t>Departure of Directors or Certain Officers; Election of Directors; Appointment of Certain Officers; Compensatory Arragements of Certain Officers.</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January 18, 2021, AnaptysBio, Inc. (the “Company”) appointed Magda Marquet, Ph.D. as a Class III director on its board of directors (the “Board”), effective immediately. In addition, upon her appointment to the Board, Dr. Marquet was appointed to serve on the Audit Committee of the Board (the “Audit Committee”), and the Board determined that Dennis Fenton, Ph.D. would no longer serve on the Audit Committee.</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connection with her appointment as a non-employee director of the Board, and in accordance with the Company’s existing compensation policy for non-employee directors, Dr. Marquet received a stock option to purchase 784 shares of common stock at an exercise price equal to the closing sale price of the common stock on January 15, 2021, as reported by the Nasdaq Global Market, which shall vest in full on February 12, 2021, representing a pro rata portion of the annual retainer for service as a director for the remaining portion of the year. In addition, the Board granted to Dr. Marquet, a stock option to purchase 11,000 shares of common stock at an exercise price equal to the closing sale price of the common stock on January 15, 2021, as reported by the Nasdaq Global Market, which will vest monthly over three years, subject to Dr. Marquet’s continued service to the Company.</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has entered into its standard form of indemnification agreement with Dr. Marquet. The form of the indemnification agreement was previously filed by the Company as Exhibit 10.1 to the Company’s Registration Statement on Form S-1 filed with the Securities and Exchange Commission on September 9, 2015 and incorporated by reference herein.</w:t>
      </w:r>
    </w:p>
    <w:p>
      <w:pPr>
        <w:spacing w:after="0" w:line="2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There are no arrangements or understandings between Dr. Marquet and any other persons, pursuant to which Dr. Marquet was selected as a member of the Board. There are also no family relationships among any of the Company’s other directors or executive officers and Dr. Marquet, and Dr. Marquet does not have any direct or indirect material interest in any transaction required to be disclosed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1242695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 w:name="page3"/>
    <w:bookmarkEnd w:id="2"/>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3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AnaptysBio, Inc.</w:t>
      </w:r>
    </w:p>
    <w:p>
      <w:pPr>
        <w:spacing w:after="0" w:line="28" w:lineRule="exact"/>
        <w:rPr>
          <w:sz w:val="20"/>
          <w:szCs w:val="20"/>
          <w:color w:val="auto"/>
        </w:rPr>
      </w:pPr>
    </w:p>
    <w:p>
      <w:pPr>
        <w:ind w:left="20"/>
        <w:spacing w:after="0"/>
        <w:tabs>
          <w:tab w:leader="none" w:pos="4200" w:val="left"/>
          <w:tab w:leader="none" w:pos="4780" w:val="left"/>
        </w:tabs>
        <w:rPr>
          <w:sz w:val="20"/>
          <w:szCs w:val="20"/>
          <w:color w:val="auto"/>
        </w:rPr>
      </w:pPr>
      <w:r>
        <w:rPr>
          <w:rFonts w:ascii="Times New Roman" w:cs="Times New Roman" w:eastAsia="Times New Roman" w:hAnsi="Times New Roman"/>
          <w:sz w:val="20"/>
          <w:szCs w:val="20"/>
          <w:color w:val="auto"/>
        </w:rPr>
        <w:t>Date: January 19, 2021</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4445</wp:posOffset>
            </wp:positionV>
            <wp:extent cx="4105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05910" cy="8890"/>
                    </a:xfrm>
                    <a:prstGeom prst="rect">
                      <a:avLst/>
                    </a:prstGeom>
                    <a:noFill/>
                  </pic:spPr>
                </pic:pic>
              </a:graphicData>
            </a:graphic>
          </wp:anchor>
        </w:drawing>
      </w:r>
    </w:p>
    <w:p>
      <w:pPr>
        <w:ind w:left="4800"/>
        <w:spacing w:after="0"/>
        <w:rPr>
          <w:sz w:val="20"/>
          <w:szCs w:val="20"/>
          <w:color w:val="auto"/>
        </w:rPr>
      </w:pPr>
      <w:r>
        <w:rPr>
          <w:rFonts w:ascii="Times New Roman" w:cs="Times New Roman" w:eastAsia="Times New Roman" w:hAnsi="Times New Roman"/>
          <w:sz w:val="20"/>
          <w:szCs w:val="20"/>
          <w:color w:val="auto"/>
        </w:rPr>
        <w:t>Name: Eric Loumeau</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Title: Chief Operating Officer and General Counsel</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2021-01-19T15:07:18Z</dcterms:created>
  <dcterms:modified xsi:type="dcterms:W3CDTF">2021-01-19T15:07:18Z</dcterms:modified>
</cp:coreProperties>
</file>