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40"/>
        <w:spacing w:after="0"/>
        <w:rPr>
          <w:sz w:val="20"/>
          <w:szCs w:val="20"/>
          <w:color w:val="auto"/>
        </w:rPr>
      </w:pPr>
      <w:r>
        <w:rPr>
          <w:rFonts w:ascii="Arial" w:cs="Arial" w:eastAsia="Arial" w:hAnsi="Arial"/>
          <w:sz w:val="20"/>
          <w:szCs w:val="20"/>
          <w:b w:val="1"/>
          <w:bCs w:val="1"/>
          <w:color w:val="auto"/>
        </w:rPr>
        <w:t>Date of Report: April 27, 2022</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8"/>
          <w:szCs w:val="18"/>
          <w:b w:val="1"/>
          <w:bCs w:val="1"/>
          <w:color w:val="auto"/>
        </w:rPr>
        <w:t>Regulation FD.</w:t>
      </w:r>
    </w:p>
    <w:p>
      <w:pPr>
        <w:spacing w:after="0" w:line="208"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color w:val="auto"/>
        </w:rPr>
        <w:t>On April 27, 2022, AnaptysBio, Inc. issued a press release announcing ANB032 (anti-BTLA agonist) top-line phase 1 data. A copy of the press release is attached as Exhibit 99.1 to this report and incorporated herein by reference.</w:t>
      </w:r>
    </w:p>
    <w:p>
      <w:pPr>
        <w:spacing w:after="0" w:line="20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0"/>
              </w:rPr>
              <w:t>Press release issued by AnaptysBio, Inc. regarding ANB032 (anti-BTLA agonist) top-line phase 1 data, dated</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April 27, 2022.</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940" w:type="dxa"/>
            <w:vAlign w:val="bottom"/>
          </w:tcPr>
          <w:p>
            <w:pPr>
              <w:spacing w:after="0"/>
              <w:rPr>
                <w:sz w:val="21"/>
                <w:szCs w:val="21"/>
                <w:color w:val="auto"/>
              </w:rPr>
            </w:pPr>
          </w:p>
        </w:tc>
        <w:tc>
          <w:tcPr>
            <w:tcW w:w="8280" w:type="dxa"/>
            <w:vAlign w:val="bottom"/>
            <w:gridSpan w:val="2"/>
          </w:tcPr>
          <w:p>
            <w:pPr>
              <w:ind w:left="1280"/>
              <w:spacing w:after="0"/>
              <w:rPr>
                <w:sz w:val="20"/>
                <w:szCs w:val="20"/>
                <w:color w:val="auto"/>
              </w:rPr>
            </w:pPr>
            <w:r>
              <w:rPr>
                <w:rFonts w:ascii="Arial" w:cs="Arial" w:eastAsia="Arial" w:hAnsi="Arial"/>
                <w:sz w:val="20"/>
                <w:szCs w:val="20"/>
                <w:color w:val="auto"/>
              </w:rPr>
              <w:t>AnaptysBio, Inc.</w:t>
            </w:r>
          </w:p>
        </w:tc>
      </w:tr>
      <w:tr>
        <w:trPr>
          <w:trHeight w:val="246"/>
        </w:trPr>
        <w:tc>
          <w:tcPr>
            <w:tcW w:w="2940" w:type="dxa"/>
            <w:vAlign w:val="bottom"/>
          </w:tcPr>
          <w:p>
            <w:pPr>
              <w:spacing w:after="0"/>
              <w:rPr>
                <w:sz w:val="20"/>
                <w:szCs w:val="20"/>
                <w:color w:val="auto"/>
              </w:rPr>
            </w:pPr>
            <w:r>
              <w:rPr>
                <w:rFonts w:ascii="Arial" w:cs="Arial" w:eastAsia="Arial" w:hAnsi="Arial"/>
                <w:sz w:val="20"/>
                <w:szCs w:val="20"/>
                <w:color w:val="auto"/>
              </w:rPr>
              <w:t>Date: April 27, 2022</w:t>
            </w:r>
          </w:p>
        </w:tc>
        <w:tc>
          <w:tcPr>
            <w:tcW w:w="8280" w:type="dxa"/>
            <w:vAlign w:val="bottom"/>
            <w:gridSpan w:val="2"/>
          </w:tcPr>
          <w:p>
            <w:pPr>
              <w:ind w:left="1280"/>
              <w:spacing w:after="0"/>
              <w:rPr>
                <w:sz w:val="20"/>
                <w:szCs w:val="20"/>
                <w:color w:val="auto"/>
              </w:rPr>
            </w:pPr>
            <w:r>
              <w:rPr>
                <w:rFonts w:ascii="Arial" w:cs="Arial" w:eastAsia="Arial" w:hAnsi="Arial"/>
                <w:sz w:val="20"/>
                <w:szCs w:val="20"/>
                <w:color w:val="auto"/>
              </w:rPr>
              <w:t>By:   /s/Dennis Mulroy</w:t>
            </w:r>
          </w:p>
        </w:tc>
      </w:tr>
      <w:tr>
        <w:trPr>
          <w:trHeight w:val="254"/>
        </w:trPr>
        <w:tc>
          <w:tcPr>
            <w:tcW w:w="29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29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ind w:left="400" w:right="80"/>
        <w:spacing w:after="0" w:line="236" w:lineRule="auto"/>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AnaptysBio Announces Positive ANB032 (anti-BTLA agonist) Top-Line Phase 1 Data and Provides Pipeline Updates</w:t>
      </w:r>
    </w:p>
    <w:p>
      <w:pPr>
        <w:spacing w:after="0" w:line="219" w:lineRule="exact"/>
        <w:rPr>
          <w:sz w:val="20"/>
          <w:szCs w:val="20"/>
          <w:color w:val="auto"/>
        </w:rPr>
      </w:pPr>
    </w:p>
    <w:p>
      <w:pPr>
        <w:ind w:left="660" w:right="120" w:hanging="328"/>
        <w:spacing w:after="0" w:line="249"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ANB032, our wholly owned anti-BTLA agonist antibody, demonstrated favorable safety, tolerability and a rapid and sustained pharmacokinetic and pharmacodynamic profile that supports advancement of ANB032 into subsequent patient trials</w:t>
      </w: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ANB032 IND filing in an initial proof-of-concept Phase 2 trial is anticipated in the second half of 2022</w:t>
      </w:r>
    </w:p>
    <w:p>
      <w:pPr>
        <w:spacing w:after="0" w:line="3" w:lineRule="exact"/>
        <w:rPr>
          <w:rFonts w:ascii="Arial" w:cs="Arial" w:eastAsia="Arial" w:hAnsi="Arial"/>
          <w:sz w:val="22"/>
          <w:szCs w:val="22"/>
          <w:color w:val="auto"/>
        </w:rPr>
      </w:pPr>
    </w:p>
    <w:p>
      <w:pPr>
        <w:ind w:left="660" w:right="560" w:hanging="328"/>
        <w:spacing w:after="0" w:line="246"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Imsidolimab (anti-IL-36R Ab) top-line data from the Phase 2 trial in moderate-to-severe hidradenitis suppurativa is anticipated in the third quarter of 2022</w:t>
      </w:r>
    </w:p>
    <w:p>
      <w:pPr>
        <w:spacing w:after="0" w:line="213" w:lineRule="exact"/>
        <w:rPr>
          <w:sz w:val="20"/>
          <w:szCs w:val="20"/>
          <w:color w:val="auto"/>
        </w:rPr>
      </w:pPr>
    </w:p>
    <w:p>
      <w:pPr>
        <w:ind w:right="20"/>
        <w:spacing w:after="0" w:line="298" w:lineRule="auto"/>
        <w:rPr>
          <w:sz w:val="20"/>
          <w:szCs w:val="20"/>
          <w:color w:val="auto"/>
        </w:rPr>
      </w:pPr>
      <w:r>
        <w:rPr>
          <w:rFonts w:ascii="Arial" w:cs="Arial" w:eastAsia="Arial" w:hAnsi="Arial"/>
          <w:sz w:val="19"/>
          <w:szCs w:val="19"/>
          <w:b w:val="1"/>
          <w:bCs w:val="1"/>
          <w:color w:val="auto"/>
        </w:rPr>
        <w:t xml:space="preserve">SAN DIEGO, April 27, 2022 </w:t>
      </w:r>
      <w:r>
        <w:rPr>
          <w:rFonts w:ascii="Arial" w:cs="Arial" w:eastAsia="Arial" w:hAnsi="Arial"/>
          <w:sz w:val="19"/>
          <w:szCs w:val="19"/>
          <w:color w:val="auto"/>
        </w:rPr>
        <w:t>- AnaptysBio, Inc. (Nasdaq: ANAB), a clinical-stage biotechnology company developing first-in-class antibody product candidates focused on emerging immune control mechanisms applicable to inflammation and immuno-oncology indications, today announced positive top-line data from a Phase 1 trial of ANB032, its investigational wholly owned anti-BTLA agonist antibody. Top-line data demonstrated favorable safety, tolerability, and a rapid and sustained pharmacokinetic and pharmacodynamic profile that supports advancement of ANB032 into subsequent patient trials.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AnaptysBio has a strategic portfolio review ongoing while continuing to execute on the development of its three wholly owned clinical stage antibody programs:</w:t>
      </w:r>
    </w:p>
    <w:p>
      <w:pPr>
        <w:spacing w:after="0" w:line="202" w:lineRule="exact"/>
        <w:rPr>
          <w:sz w:val="20"/>
          <w:szCs w:val="20"/>
          <w:color w:val="auto"/>
        </w:rPr>
      </w:pPr>
    </w:p>
    <w:p>
      <w:pPr>
        <w:ind w:left="660" w:right="1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Imsidolimab (anti-IL-36R Ab) top-line data from the GEMINI-1 Phase 3 trial in GPP is anticipated in the fourth quarter of 2023</w:t>
      </w:r>
    </w:p>
    <w:p>
      <w:pPr>
        <w:spacing w:after="0" w:line="39" w:lineRule="exact"/>
        <w:rPr>
          <w:rFonts w:ascii="Arial" w:cs="Arial" w:eastAsia="Arial" w:hAnsi="Arial"/>
          <w:sz w:val="22"/>
          <w:szCs w:val="22"/>
          <w:color w:val="auto"/>
        </w:rPr>
      </w:pPr>
    </w:p>
    <w:p>
      <w:pPr>
        <w:ind w:left="660" w:right="26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Imsidolimab top-line data from the HARP Phase 2 trial in moderate-to-severe hidradenitis suppurativa is anticipated in the third quarter of 2022</w:t>
      </w:r>
    </w:p>
    <w:p>
      <w:pPr>
        <w:spacing w:after="0" w:line="53" w:lineRule="exact"/>
        <w:rPr>
          <w:rFonts w:ascii="Arial" w:cs="Arial" w:eastAsia="Arial" w:hAnsi="Arial"/>
          <w:sz w:val="22"/>
          <w:szCs w:val="22"/>
          <w:color w:val="auto"/>
        </w:rPr>
      </w:pPr>
    </w:p>
    <w:p>
      <w:pPr>
        <w:ind w:left="660" w:right="180" w:hanging="328"/>
        <w:spacing w:after="0" w:line="26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Rosnilimab (anti-PD-1 agonist Ab) top-line data from the AZURE Phase 2 trial in moderate-to-severe alopecia areata is anticipated in the first half of 2023</w:t>
      </w:r>
    </w:p>
    <w:p>
      <w:pPr>
        <w:spacing w:after="0" w:line="53"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ANB032 (anti-BTLA agonist Ab) IND filing of a Phase 2 clinical trial is anticipated in the second half of 2022</w:t>
      </w:r>
    </w:p>
    <w:p>
      <w:pPr>
        <w:spacing w:after="0" w:line="85" w:lineRule="exact"/>
        <w:rPr>
          <w:sz w:val="20"/>
          <w:szCs w:val="20"/>
          <w:color w:val="auto"/>
        </w:rPr>
      </w:pPr>
    </w:p>
    <w:p>
      <w:pPr>
        <w:jc w:val="both"/>
        <w:ind w:right="200"/>
        <w:spacing w:after="0" w:line="263" w:lineRule="auto"/>
        <w:rPr>
          <w:sz w:val="20"/>
          <w:szCs w:val="20"/>
          <w:color w:val="auto"/>
        </w:rPr>
      </w:pPr>
      <w:r>
        <w:rPr>
          <w:rFonts w:ascii="Arial" w:cs="Arial" w:eastAsia="Arial" w:hAnsi="Arial"/>
          <w:sz w:val="21"/>
          <w:szCs w:val="21"/>
          <w:color w:val="auto"/>
        </w:rPr>
        <w:t>“We are pleased to report promising results for ANB032 in this Phase 1 trial, as we continue to execute across our three wholly owned clinical stage antibody programs,” said Dr. Paul F. Lizzul, chief medical officer of AnaptysBio. “We</w:t>
      </w:r>
    </w:p>
    <w:p>
      <w:pPr>
        <w:spacing w:after="0" w:line="2" w:lineRule="exact"/>
        <w:rPr>
          <w:sz w:val="20"/>
          <w:szCs w:val="20"/>
          <w:color w:val="auto"/>
        </w:rPr>
      </w:pPr>
    </w:p>
    <w:p>
      <w:pPr>
        <w:ind w:right="360"/>
        <w:spacing w:after="0" w:line="246" w:lineRule="auto"/>
        <w:rPr>
          <w:sz w:val="20"/>
          <w:szCs w:val="20"/>
          <w:color w:val="auto"/>
        </w:rPr>
      </w:pPr>
      <w:r>
        <w:rPr>
          <w:rFonts w:ascii="Arial" w:cs="Arial" w:eastAsia="Arial" w:hAnsi="Arial"/>
          <w:sz w:val="22"/>
          <w:szCs w:val="22"/>
          <w:color w:val="auto"/>
        </w:rPr>
        <w:t>believe ANB032’s mechanism is broadly applicable to T and B cell driven inflammatory diseases and look forward to further clinical development with this important immune checkpoint modulator.”</w:t>
      </w:r>
    </w:p>
    <w:p>
      <w:pPr>
        <w:spacing w:after="0" w:line="219" w:lineRule="exact"/>
        <w:rPr>
          <w:sz w:val="20"/>
          <w:szCs w:val="20"/>
          <w:color w:val="auto"/>
        </w:rPr>
      </w:pPr>
    </w:p>
    <w:p>
      <w:pPr>
        <w:jc w:val="both"/>
        <w:ind w:right="180"/>
        <w:spacing w:after="0" w:line="312" w:lineRule="auto"/>
        <w:rPr>
          <w:sz w:val="20"/>
          <w:szCs w:val="20"/>
          <w:color w:val="auto"/>
        </w:rPr>
      </w:pPr>
      <w:r>
        <w:rPr>
          <w:rFonts w:ascii="Arial" w:cs="Arial" w:eastAsia="Arial" w:hAnsi="Arial"/>
          <w:sz w:val="19"/>
          <w:szCs w:val="19"/>
          <w:color w:val="auto"/>
        </w:rPr>
        <w:t>A total of 96 subjects were enrolled in the randomized, double-blind, placebo-controlled healthy volunteer Phase 1 trial, where single ascending dose (SAD) cohorts received subcutaneous or intravenous single doses of ANB032 or placebo, while multiple ascending dose (MAD) cohorts received four weekly subcutaneous doses of ANB032 or placebo.</w:t>
      </w:r>
    </w:p>
    <w:p>
      <w:pPr>
        <w:spacing w:after="0" w:line="16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ANB032 was generally well-tolerated, no dose limiting toxicities were observed and there were no discontinuations due to adverse events, other than one patient quarantined for potential COVID infection. No serious adverse events (SAEs) were reported. Most adverse events were considered to be mild-to-moderate, of short duration, resolved without sequelae and occurred sporadically in a dose-independent manner. Three severe adverse events (2 blood creatine phosphokinase (CPK) increase and 1 aspartate</w:t>
      </w:r>
    </w:p>
    <w:p>
      <w:pPr>
        <w:sectPr>
          <w:pgSz w:w="11900" w:h="16838" w:orient="portrait"/>
          <w:cols w:equalWidth="0" w:num="1">
            <w:col w:w="11180"/>
          </w:cols>
          <w:pgMar w:left="320" w:top="1228" w:right="399" w:bottom="1440" w:gutter="0" w:footer="0" w:header="0"/>
        </w:sectPr>
      </w:pPr>
    </w:p>
    <w:bookmarkStart w:id="4" w:name="page5"/>
    <w:bookmarkEnd w:id="4"/>
    <w:p>
      <w:pPr>
        <w:ind w:right="100"/>
        <w:spacing w:after="0" w:line="3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aminotransferase (AST) increase), none of which were treatment-related, were reported in two subjects in the lowest dose MAD cohort. Three subjects had mild-to-moderate single injection site reactions (ecchymosis; erythema; and pain) of short duration.</w:t>
      </w:r>
    </w:p>
    <w:p>
      <w:pPr>
        <w:spacing w:after="0" w:line="131" w:lineRule="exact"/>
        <w:rPr>
          <w:sz w:val="20"/>
          <w:szCs w:val="20"/>
          <w:color w:val="auto"/>
        </w:rPr>
      </w:pPr>
    </w:p>
    <w:p>
      <w:pPr>
        <w:ind w:right="700"/>
        <w:spacing w:after="0" w:line="271" w:lineRule="auto"/>
        <w:rPr>
          <w:sz w:val="20"/>
          <w:szCs w:val="20"/>
          <w:color w:val="auto"/>
        </w:rPr>
      </w:pPr>
      <w:r>
        <w:rPr>
          <w:rFonts w:ascii="Arial" w:cs="Arial" w:eastAsia="Arial" w:hAnsi="Arial"/>
          <w:sz w:val="21"/>
          <w:szCs w:val="21"/>
          <w:color w:val="auto"/>
        </w:rPr>
        <w:t>Pharmacokinetic analyses demonstrated a favorable profile for ANB032 including an approximate two-week half-life for subcutaneous and intravenous routes of administration. Full BTLA receptor occupancy was observed rapidly within hours and was maintained for greater than 30 days following IV or subcutaneous ANB032 dosing.</w:t>
      </w:r>
    </w:p>
    <w:p>
      <w:pPr>
        <w:spacing w:after="0" w:line="194"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ANB032 pharmacodynamic activity resulted in reduction of cell surface BTLA expression on T cells and B cells following dosing. A portion of the cell surface BTLA was shed from the cells as soluble BTLA (sBTLA), while the residual approximately 60% of baseline BTLA on T cells and B cells remained occupied by ANB032. The duration of reduced BTLA expression correlated with receptor occupancy in a dose-dependent manner and was maintained for greater than 30 days following IV or subcutaneous ANB032 dosing.</w:t>
      </w:r>
    </w:p>
    <w:p>
      <w:pPr>
        <w:spacing w:after="0" w:line="219"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“ANB032 demonstrated rapid and sustained target engagement on both T cells and B cells. Importantly, reduction of cell surface BTLA expression and the shedding of a portion of the cell surface BTLA as soluble BTLA, which was previously demonstrated to occur with ANB032 treatment in animal models of inflammation where robust efficacy was observed, confirmed the pharmacodynamic activity of ANB032 in humans,” said Dr. Martin Dahl, SVP Discovery Biology of AnaptysBio. “Based upon these data, we believe ANB032’s in vivo mechanism has the potential to broadly treat T and B-cell driven human inflammatory diseases.”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ANB032</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ANB032, a wholly owned anti-BTLA agonist antibody developed by AnaptysBio, demonstrated favorable safety, tolerability and a rapid and sustained pharmacokinetic and pharmacodynamic profile in a Phase 1 healthy volunteer trial. ANB032 is anticipated to down-modulate the activity of T cells, B cells and BTLA expressing myeloid dendritic cells via several potential mechanisms: direct BTLA agonistic activity, stabilization of the interaction of BTLA and HVEM in cis which prevents pro-inflammatory signaling mediated by HVEM ligands such as LIGHT, and abrogation of pro-inflammatory HVEM signaling mediated by BTLA in trans. Genetic studies have demonstrated that BTLA pathway mutations increase human susceptibility to multiple autoimmune diseases and insufficient BTLA signaling can lead to dysregulated T or B cell responses.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AnaptysBio</w:t>
      </w:r>
    </w:p>
    <w:p>
      <w:pPr>
        <w:spacing w:after="0" w:line="27"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and moderate-to-severe hidradenitis suppurativa; rosnilimab, its anti-PD-1 agonist program, previously referred to as ANB030, for the treatment of moderate-to-severe alopecia areata; and its anti-BTLA agonist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w:t>
      </w:r>
    </w:p>
    <w:p>
      <w:pPr>
        <w:sectPr>
          <w:pgSz w:w="11900" w:h="16838" w:orient="portrait"/>
          <w:cols w:equalWidth="0" w:num="1">
            <w:col w:w="11180"/>
          </w:cols>
          <w:pgMar w:left="320" w:top="1279" w:right="399" w:bottom="1440" w:gutter="0" w:footer="0" w:header="0"/>
        </w:sectPr>
      </w:pPr>
    </w:p>
    <w:bookmarkStart w:id="5" w:name="page6"/>
    <w:bookmarkEnd w:id="5"/>
    <w:p>
      <w:pPr>
        <w:ind w:right="240"/>
        <w:spacing w:after="0" w:line="26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5900420</wp:posOffset>
            </wp:positionH>
            <wp:positionV relativeFrom="page">
              <wp:posOffset>88900</wp:posOffset>
            </wp:positionV>
            <wp:extent cx="14401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t>antibody (JEMPERLI (dostarlimab-gxly) GSK4057190), an anti-TIM-3 antagonist antibody (cobolimab, GSK4069889) and an anti-LAG-3 antagonist antibody (GSK4074386).</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top-line data for our Phase 2 clinical trial of imsidolimab in moderate-to-severe hidradenitis suppurativa, our Phase 3 clinical trial of imsidolimab in GPP and our Phase 2 clinical trial of rosnilimab in moderate-to-severe alopecia areata; the timing of an IND filing for ANB032; and the potential of ANB032 to treat T and/or B cell-mediated human inflammatory diseases.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Dennis Mulroy</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AnaptysBio,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858-732-0201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dmulroy@anaptysbio.com</w:t>
      </w:r>
    </w:p>
    <w:sectPr>
      <w:pgSz w:w="11900" w:h="16838" w:orient="portrait"/>
      <w:cols w:equalWidth="0" w:num="1">
        <w:col w:w="11240"/>
      </w:cols>
      <w:pgMar w:left="320" w:top="1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2022-04-27T15:38:31Z</dcterms:created>
  <dcterms:modified xsi:type="dcterms:W3CDTF">2022-04-27T15:38:31Z</dcterms:modified>
</cp:coreProperties>
</file>