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032724106</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26, 2017</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ind w:left="60"/>
              <w:spacing w:after="0"/>
              <w:rPr>
                <w:sz w:val="20"/>
                <w:szCs w:val="20"/>
                <w:color w:val="auto"/>
              </w:rPr>
            </w:pPr>
            <w:r>
              <w:rPr>
                <w:rFonts w:ascii="Arial" w:cs="Arial" w:eastAsia="Arial" w:hAnsi="Arial"/>
                <w:sz w:val="18"/>
                <w:szCs w:val="18"/>
                <w:color w:val="auto"/>
              </w:rPr>
              <w:t>CUSIP No. 032724106</w:t>
            </w:r>
          </w:p>
        </w:tc>
        <w:tc>
          <w:tcPr>
            <w:tcW w:w="7660" w:type="dxa"/>
            <w:vAlign w:val="bottom"/>
          </w:tcPr>
          <w:p>
            <w:pPr>
              <w:ind w:left="2020"/>
              <w:spacing w:after="0"/>
              <w:rPr>
                <w:sz w:val="20"/>
                <w:szCs w:val="20"/>
                <w:color w:val="auto"/>
              </w:rPr>
            </w:pPr>
            <w:r>
              <w:rPr>
                <w:rFonts w:ascii="Arial" w:cs="Arial" w:eastAsia="Arial" w:hAnsi="Arial"/>
                <w:sz w:val="18"/>
                <w:szCs w:val="18"/>
                <w:b w:val="1"/>
                <w:bCs w:val="1"/>
                <w:color w:val="auto"/>
              </w:rPr>
              <w:t>13G</w:t>
            </w:r>
          </w:p>
        </w:tc>
      </w:tr>
      <w:tr>
        <w:trPr>
          <w:trHeight w:val="54"/>
        </w:trPr>
        <w:tc>
          <w:tcPr>
            <w:tcW w:w="3760" w:type="dxa"/>
            <w:vAlign w:val="bottom"/>
            <w:tcBorders>
              <w:bottom w:val="single" w:sz="8" w:color="auto"/>
            </w:tcBorders>
          </w:tcPr>
          <w:p>
            <w:pPr>
              <w:spacing w:after="0"/>
              <w:rPr>
                <w:sz w:val="4"/>
                <w:szCs w:val="4"/>
                <w:color w:val="auto"/>
              </w:rPr>
            </w:pPr>
          </w:p>
        </w:tc>
        <w:tc>
          <w:tcPr>
            <w:tcW w:w="7660" w:type="dxa"/>
            <w:vAlign w:val="bottom"/>
            <w:tcBorders>
              <w:bottom w:val="single" w:sz="8" w:color="auto"/>
            </w:tcBorders>
          </w:tcPr>
          <w:p>
            <w:pPr>
              <w:spacing w:after="0"/>
              <w:rPr>
                <w:sz w:val="4"/>
                <w:szCs w:val="4"/>
                <w:color w:val="auto"/>
              </w:rPr>
            </w:pPr>
          </w:p>
        </w:tc>
      </w:tr>
    </w:tbl>
    <w:p>
      <w:pPr>
        <w:spacing w:after="0" w:line="364" w:lineRule="exact"/>
        <w:rPr>
          <w:sz w:val="24"/>
          <w:szCs w:val="24"/>
          <w:color w:val="auto"/>
        </w:rPr>
      </w:pPr>
    </w:p>
    <w:p>
      <w:pPr>
        <w:ind w:left="1440" w:hanging="608"/>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HBM Healthcare Investments (Cayman) Ltd.</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440" w:hanging="608"/>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040" w:hanging="600"/>
        <w:spacing w:after="0"/>
        <w:tabs>
          <w:tab w:leader="none" w:pos="2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040" w:hanging="600"/>
        <w:spacing w:after="0"/>
        <w:tabs>
          <w:tab w:leader="none" w:pos="2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40" w:hanging="608"/>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440" w:right="7360" w:hanging="608"/>
        <w:spacing w:after="0" w:line="342" w:lineRule="auto"/>
        <w:tabs>
          <w:tab w:leader="none" w:pos="1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Citizenship or Place of Organization Cayman Islands, British West Indies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880110</wp:posOffset>
            </wp:positionH>
            <wp:positionV relativeFrom="paragraph">
              <wp:posOffset>-14605</wp:posOffset>
            </wp:positionV>
            <wp:extent cx="6371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-563245</wp:posOffset>
            </wp:positionV>
            <wp:extent cx="6371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-974725</wp:posOffset>
            </wp:positionV>
            <wp:extent cx="5994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-1189355</wp:posOffset>
            </wp:positionV>
            <wp:extent cx="5994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-1806575</wp:posOffset>
            </wp:positionV>
            <wp:extent cx="63715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333"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89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9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942,835 </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452"/>
        </w:trPr>
        <w:tc>
          <w:tcPr>
            <w:tcW w:w="1460" w:type="dxa"/>
            <w:vAlign w:val="bottom"/>
          </w:tcPr>
          <w:p>
            <w:pPr>
              <w:spacing w:after="0"/>
              <w:rPr>
                <w:sz w:val="20"/>
                <w:szCs w:val="20"/>
                <w:color w:val="auto"/>
              </w:rPr>
            </w:pPr>
            <w:r>
              <w:rPr>
                <w:rFonts w:ascii="Arial" w:cs="Arial" w:eastAsia="Arial" w:hAnsi="Arial"/>
                <w:sz w:val="18"/>
                <w:szCs w:val="18"/>
                <w:color w:val="auto"/>
              </w:rPr>
              <w:t>Number of</w:t>
            </w:r>
          </w:p>
        </w:tc>
        <w:tc>
          <w:tcPr>
            <w:tcW w:w="980" w:type="dxa"/>
            <w:vAlign w:val="bottom"/>
            <w:vMerge w:val="restart"/>
          </w:tcPr>
          <w:p>
            <w:pPr>
              <w:jc w:val="right"/>
              <w:ind w:right="250"/>
              <w:spacing w:after="0"/>
              <w:rPr>
                <w:sz w:val="20"/>
                <w:szCs w:val="20"/>
                <w:color w:val="auto"/>
              </w:rPr>
            </w:pPr>
            <w:r>
              <w:rPr>
                <w:rFonts w:ascii="Arial" w:cs="Arial" w:eastAsia="Arial" w:hAnsi="Arial"/>
                <w:sz w:val="18"/>
                <w:szCs w:val="18"/>
                <w:color w:val="auto"/>
              </w:rPr>
              <w:t>6.</w:t>
            </w:r>
          </w:p>
        </w:tc>
        <w:tc>
          <w:tcPr>
            <w:tcW w:w="89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4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98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9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46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980" w:type="dxa"/>
            <w:vAlign w:val="bottom"/>
          </w:tcPr>
          <w:p>
            <w:pPr>
              <w:spacing w:after="0"/>
              <w:rPr>
                <w:sz w:val="10"/>
                <w:szCs w:val="10"/>
                <w:color w:val="auto"/>
              </w:rPr>
            </w:pPr>
          </w:p>
        </w:tc>
        <w:tc>
          <w:tcPr>
            <w:tcW w:w="8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4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8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rPr>
                <w:sz w:val="20"/>
                <w:szCs w:val="20"/>
                <w:color w:val="auto"/>
              </w:rPr>
            </w:pPr>
            <w:r>
              <w:rPr>
                <w:rFonts w:ascii="Arial" w:cs="Arial" w:eastAsia="Arial" w:hAnsi="Arial"/>
                <w:sz w:val="18"/>
                <w:szCs w:val="18"/>
                <w:color w:val="auto"/>
              </w:rPr>
              <w:t>Owned by</w:t>
            </w:r>
          </w:p>
        </w:tc>
        <w:tc>
          <w:tcPr>
            <w:tcW w:w="98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Each</w:t>
            </w:r>
          </w:p>
        </w:tc>
        <w:tc>
          <w:tcPr>
            <w:tcW w:w="980" w:type="dxa"/>
            <w:vAlign w:val="bottom"/>
            <w:vMerge w:val="restart"/>
          </w:tcPr>
          <w:p>
            <w:pPr>
              <w:jc w:val="right"/>
              <w:ind w:right="250"/>
              <w:spacing w:after="0"/>
              <w:rPr>
                <w:sz w:val="20"/>
                <w:szCs w:val="20"/>
                <w:color w:val="auto"/>
              </w:rPr>
            </w:pPr>
            <w:r>
              <w:rPr>
                <w:rFonts w:ascii="Arial" w:cs="Arial" w:eastAsia="Arial" w:hAnsi="Arial"/>
                <w:sz w:val="18"/>
                <w:szCs w:val="18"/>
                <w:color w:val="auto"/>
              </w:rPr>
              <w:t>7.</w:t>
            </w:r>
          </w:p>
        </w:tc>
        <w:tc>
          <w:tcPr>
            <w:tcW w:w="89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4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98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920" w:type="dxa"/>
            <w:vAlign w:val="bottom"/>
            <w:vMerge w:val="restart"/>
          </w:tcPr>
          <w:p>
            <w:pPr>
              <w:ind w:left="60"/>
              <w:spacing w:after="0"/>
              <w:rPr>
                <w:sz w:val="20"/>
                <w:szCs w:val="20"/>
                <w:color w:val="auto"/>
              </w:rPr>
            </w:pPr>
            <w:r>
              <w:rPr>
                <w:rFonts w:ascii="Arial" w:cs="Arial" w:eastAsia="Arial" w:hAnsi="Arial"/>
                <w:sz w:val="18"/>
                <w:szCs w:val="18"/>
                <w:color w:val="auto"/>
              </w:rPr>
              <w:t xml:space="preserve">942,835 </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195"/>
        </w:trPr>
        <w:tc>
          <w:tcPr>
            <w:tcW w:w="1460" w:type="dxa"/>
            <w:vAlign w:val="bottom"/>
          </w:tcPr>
          <w:p>
            <w:pPr>
              <w:spacing w:after="0" w:line="190" w:lineRule="exact"/>
              <w:rPr>
                <w:sz w:val="20"/>
                <w:szCs w:val="20"/>
                <w:color w:val="auto"/>
              </w:rPr>
            </w:pPr>
            <w:r>
              <w:rPr>
                <w:rFonts w:ascii="Arial" w:cs="Arial" w:eastAsia="Arial" w:hAnsi="Arial"/>
                <w:sz w:val="18"/>
                <w:szCs w:val="18"/>
                <w:color w:val="auto"/>
              </w:rPr>
              <w:t>Person With:</w:t>
            </w:r>
          </w:p>
        </w:tc>
        <w:tc>
          <w:tcPr>
            <w:tcW w:w="980" w:type="dxa"/>
            <w:vAlign w:val="bottom"/>
          </w:tcPr>
          <w:p>
            <w:pPr>
              <w:spacing w:after="0"/>
              <w:rPr>
                <w:sz w:val="16"/>
                <w:szCs w:val="16"/>
                <w:color w:val="auto"/>
              </w:rPr>
            </w:pPr>
          </w:p>
        </w:tc>
        <w:tc>
          <w:tcPr>
            <w:tcW w:w="8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6"/>
        </w:trPr>
        <w:tc>
          <w:tcPr>
            <w:tcW w:w="1460" w:type="dxa"/>
            <w:vAlign w:val="bottom"/>
          </w:tcPr>
          <w:p>
            <w:pPr>
              <w:spacing w:after="0"/>
              <w:rPr>
                <w:sz w:val="24"/>
                <w:szCs w:val="24"/>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89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9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6" w:right="239" w:bottom="22" w:gutter="0" w:footer="0" w:header="0"/>
        </w:sectPr>
      </w:pPr>
    </w:p>
    <w:bookmarkStart w:id="1" w:name="page2"/>
    <w:bookmarkEnd w:id="1"/>
    <w:p>
      <w:pPr>
        <w:ind w:left="1440" w:right="5220" w:hanging="608"/>
        <w:spacing w:after="0" w:line="292" w:lineRule="auto"/>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942,835 </w:t>
      </w:r>
      <w:r>
        <w:rPr>
          <w:rFonts w:ascii="Arial" w:cs="Arial" w:eastAsia="Arial" w:hAnsi="Arial"/>
          <w:sz w:val="23"/>
          <w:szCs w:val="23"/>
          <w:color w:val="auto"/>
          <w:vertAlign w:val="superscript"/>
        </w:rPr>
        <w:t>(1)</w:t>
      </w:r>
    </w:p>
    <w:p>
      <w:pPr>
        <w:spacing w:after="0" w:line="290" w:lineRule="exact"/>
        <w:rPr>
          <w:rFonts w:ascii="Arial" w:cs="Arial" w:eastAsia="Arial" w:hAnsi="Arial"/>
          <w:sz w:val="18"/>
          <w:szCs w:val="18"/>
          <w:color w:val="auto"/>
        </w:rPr>
      </w:pPr>
    </w:p>
    <w:p>
      <w:pPr>
        <w:ind w:left="1440" w:hanging="608"/>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40" w:right="6360" w:hanging="608"/>
        <w:spacing w:after="0" w:line="292" w:lineRule="auto"/>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4.67%</w:t>
      </w:r>
      <w:r>
        <w:rPr>
          <w:rFonts w:ascii="Arial" w:cs="Arial" w:eastAsia="Arial" w:hAnsi="Arial"/>
          <w:sz w:val="23"/>
          <w:szCs w:val="23"/>
          <w:color w:val="auto"/>
          <w:vertAlign w:val="superscript"/>
        </w:rPr>
        <w:t>(2)</w:t>
      </w:r>
    </w:p>
    <w:p>
      <w:pPr>
        <w:spacing w:after="0" w:line="290" w:lineRule="exact"/>
        <w:rPr>
          <w:rFonts w:ascii="Arial" w:cs="Arial" w:eastAsia="Arial" w:hAnsi="Arial"/>
          <w:sz w:val="18"/>
          <w:szCs w:val="18"/>
          <w:color w:val="auto"/>
        </w:rPr>
      </w:pPr>
    </w:p>
    <w:p>
      <w:pPr>
        <w:ind w:left="1440" w:hanging="608"/>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580" w:right="160" w:hanging="572"/>
        <w:spacing w:after="0" w:line="312"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Voting and investment power over the shares held by HBM Healthcare Investments (Cayman) Ltd. is exercised by the board of directors of HBM Healthcare Investments (Cayman) Ltd. The board of directors of HBM Healthcare Investments (Cayman) Ltd. consists of Jean Marc Lesieur, Sophia Harris, Richard Coles, Dr. Andreas Wicki and Paul Woodhouse, none of whom has individual voting or investment power with respect to the shares.</w:t>
      </w:r>
    </w:p>
    <w:p>
      <w:pPr>
        <w:spacing w:after="0" w:line="146" w:lineRule="exact"/>
        <w:rPr>
          <w:rFonts w:ascii="Arial" w:cs="Arial" w:eastAsia="Arial" w:hAnsi="Arial"/>
          <w:sz w:val="16"/>
          <w:szCs w:val="16"/>
          <w:color w:val="auto"/>
        </w:rPr>
      </w:pPr>
    </w:p>
    <w:p>
      <w:pPr>
        <w:ind w:left="580" w:right="10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percentage is based upon 20,173,740 shares of the Issuer’s Common Stock, par value $0.001 per share (“Shares”), as set forth in the Issuer’s 10-K, dated March 8, 2017, and filed with the Securities and Exchange Commission on March 8, 2017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-1134110</wp:posOffset>
            </wp:positionV>
            <wp:extent cx="6371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-1682750</wp:posOffset>
            </wp:positionV>
            <wp:extent cx="63715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-2232025</wp:posOffset>
            </wp:positionV>
            <wp:extent cx="6371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-2643505</wp:posOffset>
            </wp:positionV>
            <wp:extent cx="63715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-919480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15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720" w:type="dxa"/>
            <w:vAlign w:val="bottom"/>
          </w:tcPr>
          <w:p>
            <w:pPr>
              <w:ind w:left="40"/>
              <w:spacing w:after="0"/>
              <w:rPr>
                <w:sz w:val="20"/>
                <w:szCs w:val="20"/>
                <w:color w:val="auto"/>
              </w:rPr>
            </w:pPr>
            <w:r>
              <w:rPr>
                <w:rFonts w:ascii="Arial" w:cs="Arial" w:eastAsia="Arial" w:hAnsi="Arial"/>
                <w:sz w:val="18"/>
                <w:szCs w:val="18"/>
                <w:color w:val="auto"/>
              </w:rPr>
              <w:t>Name of Issuer:</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9720" w:type="dxa"/>
            <w:vAlign w:val="bottom"/>
          </w:tcPr>
          <w:p>
            <w:pPr>
              <w:ind w:left="40"/>
              <w:spacing w:after="0"/>
              <w:rPr>
                <w:sz w:val="20"/>
                <w:szCs w:val="20"/>
                <w:color w:val="auto"/>
              </w:rPr>
            </w:pPr>
            <w:r>
              <w:rPr>
                <w:rFonts w:ascii="Arial" w:cs="Arial" w:eastAsia="Arial" w:hAnsi="Arial"/>
                <w:sz w:val="18"/>
                <w:szCs w:val="18"/>
                <w:color w:val="auto"/>
              </w:rPr>
              <w:t>AnaptysBio, Inc.</w:t>
            </w:r>
          </w:p>
        </w:tc>
        <w:tc>
          <w:tcPr>
            <w:tcW w:w="0" w:type="dxa"/>
            <w:vAlign w:val="bottom"/>
          </w:tcPr>
          <w:p>
            <w:pPr>
              <w:spacing w:after="0"/>
              <w:rPr>
                <w:sz w:val="1"/>
                <w:szCs w:val="1"/>
                <w:color w:val="auto"/>
              </w:rPr>
            </w:pPr>
          </w:p>
        </w:tc>
      </w:tr>
      <w:tr>
        <w:trPr>
          <w:trHeight w:val="54"/>
        </w:trPr>
        <w:tc>
          <w:tcPr>
            <w:tcW w:w="1500" w:type="dxa"/>
            <w:vAlign w:val="bottom"/>
            <w:vMerge w:val="restart"/>
          </w:tcPr>
          <w:p>
            <w:pPr>
              <w:spacing w:after="0"/>
              <w:rPr>
                <w:sz w:val="20"/>
                <w:szCs w:val="20"/>
                <w:color w:val="auto"/>
              </w:rPr>
            </w:pPr>
            <w:r>
              <w:rPr>
                <w:rFonts w:ascii="Arial" w:cs="Arial" w:eastAsia="Arial" w:hAnsi="Arial"/>
                <w:sz w:val="18"/>
                <w:szCs w:val="18"/>
                <w:b w:val="1"/>
                <w:bCs w:val="1"/>
                <w:color w:val="auto"/>
              </w:rPr>
              <w:t>Item 1(b).</w:t>
            </w:r>
          </w:p>
        </w:tc>
        <w:tc>
          <w:tcPr>
            <w:tcW w:w="9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500" w:type="dxa"/>
            <w:vAlign w:val="bottom"/>
            <w:vMerge w:val="continue"/>
          </w:tcPr>
          <w:p>
            <w:pPr>
              <w:spacing w:after="0"/>
              <w:rPr>
                <w:sz w:val="21"/>
                <w:szCs w:val="21"/>
                <w:color w:val="auto"/>
              </w:rPr>
            </w:pPr>
          </w:p>
        </w:tc>
        <w:tc>
          <w:tcPr>
            <w:tcW w:w="9720" w:type="dxa"/>
            <w:vAlign w:val="bottom"/>
          </w:tcPr>
          <w:p>
            <w:pPr>
              <w:ind w:left="40"/>
              <w:spacing w:after="0"/>
              <w:rPr>
                <w:sz w:val="20"/>
                <w:szCs w:val="20"/>
                <w:color w:val="auto"/>
              </w:rPr>
            </w:pPr>
            <w:r>
              <w:rPr>
                <w:rFonts w:ascii="Arial" w:cs="Arial" w:eastAsia="Arial" w:hAnsi="Arial"/>
                <w:sz w:val="18"/>
                <w:szCs w:val="18"/>
                <w:color w:val="auto"/>
              </w:rPr>
              <w:t>Address of Issuer’s Principal Executive Offices:</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720" w:type="dxa"/>
            <w:vAlign w:val="bottom"/>
          </w:tcPr>
          <w:p>
            <w:pPr>
              <w:ind w:left="40"/>
              <w:spacing w:after="0"/>
              <w:rPr>
                <w:sz w:val="20"/>
                <w:szCs w:val="20"/>
                <w:color w:val="auto"/>
              </w:rPr>
            </w:pPr>
            <w:r>
              <w:rPr>
                <w:rFonts w:ascii="Arial" w:cs="Arial" w:eastAsia="Arial" w:hAnsi="Arial"/>
                <w:sz w:val="18"/>
                <w:szCs w:val="18"/>
                <w:color w:val="auto"/>
              </w:rPr>
              <w:t>10421 Pacific Center Ct., Ste. 200</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9720" w:type="dxa"/>
            <w:vAlign w:val="bottom"/>
          </w:tcPr>
          <w:p>
            <w:pPr>
              <w:ind w:left="40"/>
              <w:spacing w:after="0"/>
              <w:rPr>
                <w:sz w:val="20"/>
                <w:szCs w:val="20"/>
                <w:color w:val="auto"/>
              </w:rPr>
            </w:pPr>
            <w:r>
              <w:rPr>
                <w:rFonts w:ascii="Arial" w:cs="Arial" w:eastAsia="Arial" w:hAnsi="Arial"/>
                <w:sz w:val="18"/>
                <w:szCs w:val="18"/>
                <w:color w:val="auto"/>
              </w:rPr>
              <w:t>San Diego, CA 92121</w:t>
            </w:r>
          </w:p>
        </w:tc>
        <w:tc>
          <w:tcPr>
            <w:tcW w:w="0" w:type="dxa"/>
            <w:vAlign w:val="bottom"/>
          </w:tcPr>
          <w:p>
            <w:pPr>
              <w:spacing w:after="0"/>
              <w:rPr>
                <w:sz w:val="1"/>
                <w:szCs w:val="1"/>
                <w:color w:val="auto"/>
              </w:rPr>
            </w:pPr>
          </w:p>
        </w:tc>
      </w:tr>
      <w:tr>
        <w:trPr>
          <w:trHeight w:val="54"/>
        </w:trPr>
        <w:tc>
          <w:tcPr>
            <w:tcW w:w="1500" w:type="dxa"/>
            <w:vAlign w:val="bottom"/>
            <w:vMerge w:val="restart"/>
          </w:tcPr>
          <w:p>
            <w:pPr>
              <w:spacing w:after="0"/>
              <w:rPr>
                <w:sz w:val="20"/>
                <w:szCs w:val="20"/>
                <w:color w:val="auto"/>
              </w:rPr>
            </w:pPr>
            <w:r>
              <w:rPr>
                <w:rFonts w:ascii="Arial" w:cs="Arial" w:eastAsia="Arial" w:hAnsi="Arial"/>
                <w:sz w:val="18"/>
                <w:szCs w:val="18"/>
                <w:b w:val="1"/>
                <w:bCs w:val="1"/>
                <w:color w:val="auto"/>
              </w:rPr>
              <w:t>Item 2(a).</w:t>
            </w:r>
          </w:p>
        </w:tc>
        <w:tc>
          <w:tcPr>
            <w:tcW w:w="9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500" w:type="dxa"/>
            <w:vAlign w:val="bottom"/>
            <w:vMerge w:val="continue"/>
          </w:tcPr>
          <w:p>
            <w:pPr>
              <w:spacing w:after="0"/>
              <w:rPr>
                <w:sz w:val="24"/>
                <w:szCs w:val="24"/>
                <w:color w:val="auto"/>
              </w:rPr>
            </w:pPr>
          </w:p>
        </w:tc>
        <w:tc>
          <w:tcPr>
            <w:tcW w:w="9720" w:type="dxa"/>
            <w:vAlign w:val="bottom"/>
          </w:tcPr>
          <w:p>
            <w:pPr>
              <w:ind w:left="40"/>
              <w:spacing w:after="0"/>
              <w:rPr>
                <w:sz w:val="20"/>
                <w:szCs w:val="20"/>
                <w:color w:val="auto"/>
              </w:rPr>
            </w:pPr>
            <w:r>
              <w:rPr>
                <w:rFonts w:ascii="Arial" w:cs="Arial" w:eastAsia="Arial" w:hAnsi="Arial"/>
                <w:sz w:val="18"/>
                <w:szCs w:val="18"/>
                <w:color w:val="auto"/>
              </w:rPr>
              <w:t>Name of Person Filing:</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9720" w:type="dxa"/>
            <w:vAlign w:val="bottom"/>
          </w:tcPr>
          <w:p>
            <w:pPr>
              <w:ind w:left="40"/>
              <w:spacing w:after="0"/>
              <w:rPr>
                <w:sz w:val="20"/>
                <w:szCs w:val="20"/>
                <w:color w:val="auto"/>
              </w:rPr>
            </w:pPr>
            <w:r>
              <w:rPr>
                <w:rFonts w:ascii="Arial" w:cs="Arial" w:eastAsia="Arial" w:hAnsi="Arial"/>
                <w:sz w:val="18"/>
                <w:szCs w:val="18"/>
                <w:color w:val="auto"/>
              </w:rPr>
              <w:t>HBM Healthcare Investments (Cayman) Ltd.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34290</wp:posOffset>
            </wp:positionV>
            <wp:extent cx="61747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9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Address of Principal Business Office or, if none, Residence: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Governors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#4-212-2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 Lime Tree Bay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Bay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40005</wp:posOffset>
            </wp:positionV>
            <wp:extent cx="61747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 British West Indies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40005</wp:posOffset>
            </wp:positionV>
            <wp:extent cx="61747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940" w:space="720"/>
            <w:col w:w="9800"/>
          </w:cols>
          <w:pgMar w:left="240" w:top="125" w:right="199" w:bottom="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2(d).</w:t>
            </w:r>
          </w:p>
        </w:tc>
        <w:tc>
          <w:tcPr>
            <w:tcW w:w="460" w:type="dxa"/>
            <w:vAlign w:val="bottom"/>
          </w:tcPr>
          <w:p>
            <w:pPr>
              <w:spacing w:after="0"/>
              <w:rPr>
                <w:sz w:val="20"/>
                <w:szCs w:val="20"/>
                <w:color w:val="auto"/>
              </w:rPr>
            </w:pPr>
          </w:p>
        </w:tc>
        <w:tc>
          <w:tcPr>
            <w:tcW w:w="9720" w:type="dxa"/>
            <w:vAlign w:val="bottom"/>
          </w:tcPr>
          <w:p>
            <w:pPr>
              <w:ind w:left="40"/>
              <w:spacing w:after="0"/>
              <w:rPr>
                <w:sz w:val="20"/>
                <w:szCs w:val="20"/>
                <w:color w:val="auto"/>
              </w:rPr>
            </w:pPr>
            <w:r>
              <w:rPr>
                <w:rFonts w:ascii="Arial" w:cs="Arial" w:eastAsia="Arial" w:hAnsi="Arial"/>
                <w:sz w:val="18"/>
                <w:szCs w:val="18"/>
                <w:color w:val="auto"/>
              </w:rPr>
              <w:t>Title of Class of Securities: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2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1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Item 2(e).</w:t>
            </w:r>
          </w:p>
        </w:tc>
        <w:tc>
          <w:tcPr>
            <w:tcW w:w="460" w:type="dxa"/>
            <w:vAlign w:val="bottom"/>
          </w:tcPr>
          <w:p>
            <w:pPr>
              <w:spacing w:after="0"/>
              <w:rPr>
                <w:sz w:val="4"/>
                <w:szCs w:val="4"/>
                <w:color w:val="auto"/>
              </w:rPr>
            </w:pPr>
          </w:p>
        </w:tc>
        <w:tc>
          <w:tcPr>
            <w:tcW w:w="9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16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9720" w:type="dxa"/>
            <w:vAlign w:val="bottom"/>
          </w:tcPr>
          <w:p>
            <w:pPr>
              <w:ind w:left="40"/>
              <w:spacing w:after="0"/>
              <w:rPr>
                <w:sz w:val="20"/>
                <w:szCs w:val="20"/>
                <w:color w:val="auto"/>
              </w:rPr>
            </w:pPr>
            <w:r>
              <w:rPr>
                <w:rFonts w:ascii="Arial" w:cs="Arial" w:eastAsia="Arial" w:hAnsi="Arial"/>
                <w:sz w:val="18"/>
                <w:szCs w:val="18"/>
                <w:color w:val="auto"/>
              </w:rPr>
              <w:t>CUSIP Number:</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180" w:type="dxa"/>
            <w:vAlign w:val="bottom"/>
            <w:gridSpan w:val="2"/>
          </w:tcPr>
          <w:p>
            <w:pPr>
              <w:ind w:left="500"/>
              <w:spacing w:after="0"/>
              <w:rPr>
                <w:sz w:val="20"/>
                <w:szCs w:val="20"/>
                <w:color w:val="auto"/>
              </w:rPr>
            </w:pPr>
            <w:r>
              <w:rPr>
                <w:rFonts w:ascii="Arial" w:cs="Arial" w:eastAsia="Arial" w:hAnsi="Arial"/>
                <w:sz w:val="18"/>
                <w:szCs w:val="18"/>
                <w:color w:val="auto"/>
              </w:rPr>
              <w:t>032724106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4"/>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3.</w:t>
            </w:r>
          </w:p>
        </w:tc>
        <w:tc>
          <w:tcPr>
            <w:tcW w:w="10180" w:type="dxa"/>
            <w:vAlign w:val="bottom"/>
            <w:gridSpan w:val="2"/>
          </w:tcPr>
          <w:p>
            <w:pPr>
              <w:ind w:left="280"/>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10180" w:type="dxa"/>
            <w:vAlign w:val="bottom"/>
            <w:gridSpan w:val="2"/>
          </w:tcPr>
          <w:p>
            <w:pPr>
              <w:ind w:left="280"/>
              <w:spacing w:after="0"/>
              <w:rPr>
                <w:sz w:val="20"/>
                <w:szCs w:val="20"/>
                <w:color w:val="auto"/>
              </w:rPr>
            </w:pPr>
            <w:r>
              <w:rPr>
                <w:rFonts w:ascii="Arial" w:cs="Arial" w:eastAsia="Arial" w:hAnsi="Arial"/>
                <w:sz w:val="18"/>
                <w:szCs w:val="18"/>
                <w:color w:val="auto"/>
              </w:rPr>
              <w:t>Not applicable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4"/>
                <w:szCs w:val="24"/>
                <w:color w:val="auto"/>
              </w:rPr>
            </w:pPr>
          </w:p>
        </w:tc>
        <w:tc>
          <w:tcPr>
            <w:tcW w:w="10180" w:type="dxa"/>
            <w:vAlign w:val="bottom"/>
            <w:gridSpan w:val="2"/>
          </w:tcPr>
          <w:p>
            <w:pPr>
              <w:jc w:val="right"/>
              <w:ind w:right="54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7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75" w:lineRule="exact"/>
        <w:rPr>
          <w:sz w:val="20"/>
          <w:szCs w:val="20"/>
          <w:color w:val="auto"/>
        </w:rPr>
      </w:pPr>
    </w:p>
    <w:p>
      <w:pPr>
        <w:ind w:left="1660" w:hanging="394"/>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942,835</w:t>
      </w:r>
      <w:r>
        <w:rPr>
          <w:rFonts w:ascii="Arial" w:cs="Arial" w:eastAsia="Arial" w:hAnsi="Arial"/>
          <w:sz w:val="23"/>
          <w:szCs w:val="23"/>
          <w:color w:val="auto"/>
          <w:vertAlign w:val="superscript"/>
        </w:rPr>
        <w:t>(1)</w:t>
      </w:r>
    </w:p>
    <w:p>
      <w:pPr>
        <w:spacing w:after="0" w:line="181" w:lineRule="exact"/>
        <w:rPr>
          <w:rFonts w:ascii="Arial" w:cs="Arial" w:eastAsia="Arial" w:hAnsi="Arial"/>
          <w:sz w:val="18"/>
          <w:szCs w:val="18"/>
          <w:color w:val="auto"/>
        </w:rPr>
      </w:pPr>
    </w:p>
    <w:p>
      <w:pPr>
        <w:ind w:left="1660" w:hanging="400"/>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4.67%</w:t>
      </w:r>
      <w:r>
        <w:rPr>
          <w:rFonts w:ascii="Arial" w:cs="Arial" w:eastAsia="Arial" w:hAnsi="Arial"/>
          <w:sz w:val="23"/>
          <w:szCs w:val="23"/>
          <w:color w:val="auto"/>
          <w:vertAlign w:val="superscript"/>
        </w:rPr>
        <w:t>(2)</w:t>
      </w:r>
    </w:p>
    <w:p>
      <w:pPr>
        <w:spacing w:after="0" w:line="181" w:lineRule="exact"/>
        <w:rPr>
          <w:rFonts w:ascii="Arial" w:cs="Arial" w:eastAsia="Arial" w:hAnsi="Arial"/>
          <w:sz w:val="18"/>
          <w:szCs w:val="18"/>
          <w:color w:val="auto"/>
        </w:rPr>
      </w:pPr>
    </w:p>
    <w:p>
      <w:pPr>
        <w:ind w:left="1660" w:hanging="394"/>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2280" w:right="6380" w:hanging="453"/>
        <w:spacing w:after="0" w:line="341" w:lineRule="auto"/>
        <w:tabs>
          <w:tab w:leader="none" w:pos="2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942,835</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-38100</wp:posOffset>
            </wp:positionV>
            <wp:extent cx="58400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-492760</wp:posOffset>
            </wp:positionV>
            <wp:extent cx="6234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-947420</wp:posOffset>
            </wp:positionV>
            <wp:extent cx="6234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-1402080</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2" w:name="page3"/>
    <w:bookmarkEnd w:id="2"/>
    <w:p>
      <w:pPr>
        <w:ind w:left="2280" w:right="6040" w:hanging="478"/>
        <w:spacing w:after="0" w:line="340" w:lineRule="auto"/>
        <w:tabs>
          <w:tab w:leader="none" w:pos="2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13970</wp:posOffset>
            </wp:positionV>
            <wp:extent cx="5840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80" w:right="5320" w:hanging="503"/>
        <w:spacing w:after="0" w:line="341" w:lineRule="auto"/>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942,835</w:t>
      </w:r>
      <w:r>
        <w:rPr>
          <w:rFonts w:ascii="Arial" w:cs="Arial" w:eastAsia="Arial" w:hAnsi="Arial"/>
          <w:sz w:val="23"/>
          <w:szCs w:val="23"/>
          <w:color w:val="auto"/>
          <w:vertAlign w:val="superscript"/>
        </w:rPr>
        <w:t>(1)</w:t>
      </w:r>
    </w:p>
    <w:p>
      <w:pPr>
        <w:spacing w:after="0" w:line="45" w:lineRule="exact"/>
        <w:rPr>
          <w:rFonts w:ascii="Arial" w:cs="Arial" w:eastAsia="Arial" w:hAnsi="Arial"/>
          <w:sz w:val="18"/>
          <w:szCs w:val="18"/>
          <w:color w:val="auto"/>
        </w:rPr>
      </w:pPr>
    </w:p>
    <w:p>
      <w:pPr>
        <w:ind w:left="2280" w:right="5140" w:hanging="498"/>
        <w:spacing w:after="0" w:line="340" w:lineRule="auto"/>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13970</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-440055</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2"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x.</w:t>
      </w:r>
    </w:p>
    <w:p>
      <w:pPr>
        <w:spacing w:after="0" w:line="38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80" w:right="2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720" w:right="2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as not held for the purpose of or with the effect of changing or influencing the control of the issuer of the securities and were not acquired and are not held in conneciton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60" w:hanging="652"/>
        <w:spacing w:after="0" w:line="312" w:lineRule="auto"/>
        <w:tabs>
          <w:tab w:leader="none" w:pos="717" w:val="left"/>
        </w:tabs>
        <w:numPr>
          <w:ilvl w:val="0"/>
          <w:numId w:val="8"/>
        </w:numPr>
        <w:rPr>
          <w:rFonts w:ascii="Arial" w:cs="Arial" w:eastAsia="Arial" w:hAnsi="Arial"/>
          <w:sz w:val="16"/>
          <w:szCs w:val="16"/>
          <w:color w:val="auto"/>
        </w:rPr>
      </w:pPr>
      <w:r>
        <w:rPr>
          <w:rFonts w:ascii="Arial" w:cs="Arial" w:eastAsia="Arial" w:hAnsi="Arial"/>
          <w:sz w:val="16"/>
          <w:szCs w:val="16"/>
          <w:color w:val="auto"/>
        </w:rPr>
        <w:t>Voting and investment power over the shares held by HBM Healthcare Investments (Cayman) Ltd. is exercised by the board of directors of HBM Healthcare Investments (Cayman) Ltd. The board of directors of HBM Healthcare Investments (Cayman) Ltd. consists of Jean Marc Lesieur, Sophia Harris, Richard Coles, Dr. Andreas Wicki and Paul Woodhouse, none of whom has individual voting or investment power with respect to the shares.</w:t>
      </w:r>
    </w:p>
    <w:p>
      <w:pPr>
        <w:spacing w:after="0" w:line="146" w:lineRule="exact"/>
        <w:rPr>
          <w:rFonts w:ascii="Arial" w:cs="Arial" w:eastAsia="Arial" w:hAnsi="Arial"/>
          <w:sz w:val="16"/>
          <w:szCs w:val="16"/>
          <w:color w:val="auto"/>
        </w:rPr>
      </w:pPr>
    </w:p>
    <w:p>
      <w:pPr>
        <w:ind w:left="660" w:right="80" w:hanging="652"/>
        <w:spacing w:after="0" w:line="277" w:lineRule="auto"/>
        <w:tabs>
          <w:tab w:leader="none" w:pos="71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is based upon 20,173,740 shares of the Issuer’s Common Stock, par value $0.001 per share (“Shares”), as set forth in the Issuer’s 10-K, dated March 8, 2017, and filed with the Securities and Exchange Commission on March 8, 2017.</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March 13, 2017</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HBM HEALTHCARE INVESTMENTS (CAYMAN) LTD.</w:t>
      </w:r>
    </w:p>
    <w:p>
      <w:pPr>
        <w:spacing w:after="0" w:line="256"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/s/Jean-Marc Lesieur</w:t>
      </w:r>
    </w:p>
    <w:p>
      <w:pPr>
        <w:spacing w:after="0" w:line="23" w:lineRule="exact"/>
        <w:rPr>
          <w:sz w:val="20"/>
          <w:szCs w:val="20"/>
          <w:color w:val="auto"/>
        </w:rPr>
      </w:pPr>
    </w:p>
    <w:p>
      <w:pPr>
        <w:jc w:val="center"/>
        <w:ind w:left="6200"/>
        <w:spacing w:after="0"/>
        <w:rPr>
          <w:sz w:val="20"/>
          <w:szCs w:val="20"/>
          <w:color w:val="auto"/>
        </w:rPr>
      </w:pPr>
      <w:r>
        <w:rPr>
          <w:rFonts w:ascii="Arial" w:cs="Arial" w:eastAsia="Arial" w:hAnsi="Arial"/>
          <w:sz w:val="18"/>
          <w:szCs w:val="18"/>
          <w:color w:val="auto"/>
        </w:rPr>
        <w:t>Jean-Marc Lesieur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jc w:val="center"/>
        <w:ind w:left="62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ectPr>
          <w:pgSz w:w="11900" w:h="16838" w:orient="portrait"/>
          <w:cols w:equalWidth="0" w:num="1">
            <w:col w:w="11360"/>
          </w:cols>
          <w:pgMar w:left="240" w:top="125" w:right="299" w:bottom="651" w:gutter="0" w:footer="0" w:header="0"/>
        </w:sect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5" w:right="299" w:bottom="6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abstractNum>
  <w:abstractNum w:abstractNumId="2">
    <w:nsid w:val="3D1B58BA"/>
    <w:multiLevelType w:val="hybridMultilevel"/>
    <w:lvl w:ilvl="0">
      <w:lvlJc w:val="left"/>
      <w:lvlText w:val="%1"/>
      <w:numFmt w:val="decimal"/>
      <w:start w:val="1"/>
    </w:lvl>
    <w:lvl w:ilvl="1">
      <w:lvlJc w:val="left"/>
      <w:lvlText w:val="%2."/>
      <w:numFmt w:val="decimal"/>
      <w:start w:val="9"/>
    </w:lvl>
  </w:abstractNum>
  <w:abstractNum w:abstractNumId="3">
    <w:nsid w:val="507ED7AB"/>
    <w:multiLevelType w:val="hybridMultilevel"/>
    <w:lvl w:ilvl="0">
      <w:lvlJc w:val="left"/>
      <w:lvlText w:val="(%1)"/>
      <w:numFmt w:val="decimal"/>
      <w:start w:val="1"/>
    </w:lvl>
    <w:lvl w:ilvl="1">
      <w:lvlJc w:val="left"/>
      <w:lvlText w:val="%2"/>
      <w:numFmt w:val="decimal"/>
      <w:start w:val="1"/>
    </w:lvl>
  </w:abstractNum>
  <w:abstractNum w:abstractNumId="4">
    <w:nsid w:val="2EB141F2"/>
    <w:multiLevelType w:val="hybridMultilevel"/>
    <w:lvl w:ilvl="0">
      <w:lvlJc w:val="left"/>
      <w:lvlText w:val="(%1)"/>
      <w:numFmt w:val="lowerLetter"/>
      <w:start w:val="1"/>
    </w:lvl>
    <w:lvl w:ilvl="1">
      <w:lvlJc w:val="left"/>
      <w:lvlText w:val="(%2)"/>
      <w:numFmt w:val="lowerRoman"/>
      <w:start w:val="1"/>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1)"/>
      <w:numFmt w:val="lowerRoman"/>
      <w:start w:val="3"/>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2019-12-16T22:04:42Z</dcterms:created>
  <dcterms:modified xsi:type="dcterms:W3CDTF">2019-12-16T22:04:42Z</dcterms:modified>
</cp:coreProperties>
</file>