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7, 2022</w:t>
      </w:r>
    </w:p>
    <w:p>
      <w:pPr>
        <w:spacing w:after="0" w:line="77" w:lineRule="exact"/>
        <w:rPr>
          <w:sz w:val="24"/>
          <w:szCs w:val="24"/>
          <w:color w:val="auto"/>
        </w:rPr>
      </w:pPr>
    </w:p>
    <w:p>
      <w:pPr>
        <w:ind w:left="9160"/>
        <w:spacing w:after="0"/>
        <w:rPr>
          <w:sz w:val="20"/>
          <w:szCs w:val="20"/>
          <w:color w:val="auto"/>
        </w:rPr>
      </w:pPr>
      <w:r>
        <w:rPr>
          <w:rFonts w:ascii="Arial" w:cs="Arial" w:eastAsia="Arial" w:hAnsi="Arial"/>
          <w:sz w:val="16"/>
          <w:szCs w:val="16"/>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126365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jc w:val="center"/>
        <w:spacing w:after="0" w:line="212" w:lineRule="auto"/>
        <w:rPr>
          <w:sz w:val="20"/>
          <w:szCs w:val="20"/>
          <w:color w:val="auto"/>
        </w:rPr>
      </w:pPr>
      <w:r>
        <w:rPr>
          <w:rFonts w:ascii="Arial" w:cs="Arial" w:eastAsia="Arial" w:hAnsi="Arial"/>
          <w:sz w:val="32"/>
          <w:szCs w:val="32"/>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124460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ANAPTYSBIO, INC.</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137160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tbl>
      <w:tblPr>
        <w:tblLayout w:type="fixed"/>
        <w:tblInd w:w="1840" w:type="dxa"/>
        <w:tblCellMar>
          <w:top w:w="0" w:type="dxa"/>
          <w:left w:w="0" w:type="dxa"/>
          <w:bottom w:w="0" w:type="dxa"/>
          <w:right w:w="0" w:type="dxa"/>
        </w:tblCellMar>
      </w:tblPr>
      <w:tr>
        <w:trPr>
          <w:trHeight w:val="225"/>
        </w:trPr>
        <w:tc>
          <w:tcPr>
            <w:tcW w:w="3940" w:type="dxa"/>
            <w:vAlign w:val="bottom"/>
          </w:tcPr>
          <w:p>
            <w:pPr>
              <w:jc w:val="center"/>
              <w:ind w:right="1982"/>
              <w:spacing w:after="0"/>
              <w:rPr>
                <w:sz w:val="20"/>
                <w:szCs w:val="20"/>
                <w:color w:val="auto"/>
              </w:rPr>
            </w:pPr>
            <w:r>
              <w:rPr>
                <w:rFonts w:ascii="Arial" w:cs="Arial" w:eastAsia="Arial" w:hAnsi="Arial"/>
                <w:sz w:val="18"/>
                <w:szCs w:val="18"/>
                <w:b w:val="1"/>
                <w:bCs w:val="1"/>
                <w:color w:val="auto"/>
                <w:w w:val="91"/>
              </w:rPr>
              <w:t>Delaware</w:t>
            </w:r>
          </w:p>
        </w:tc>
        <w:tc>
          <w:tcPr>
            <w:tcW w:w="3500" w:type="dxa"/>
            <w:vAlign w:val="bottom"/>
          </w:tcPr>
          <w:p>
            <w:pPr>
              <w:jc w:val="center"/>
              <w:ind w:left="2002"/>
              <w:spacing w:after="0"/>
              <w:rPr>
                <w:sz w:val="20"/>
                <w:szCs w:val="20"/>
                <w:color w:val="auto"/>
              </w:rPr>
            </w:pPr>
            <w:r>
              <w:rPr>
                <w:rFonts w:ascii="Arial" w:cs="Arial" w:eastAsia="Arial" w:hAnsi="Arial"/>
                <w:sz w:val="18"/>
                <w:szCs w:val="18"/>
                <w:b w:val="1"/>
                <w:bCs w:val="1"/>
                <w:color w:val="auto"/>
                <w:w w:val="89"/>
              </w:rPr>
              <w:t>20-3828755</w:t>
            </w:r>
          </w:p>
        </w:tc>
      </w:tr>
      <w:tr>
        <w:trPr>
          <w:trHeight w:val="144"/>
        </w:trPr>
        <w:tc>
          <w:tcPr>
            <w:tcW w:w="3940" w:type="dxa"/>
            <w:vAlign w:val="bottom"/>
          </w:tcPr>
          <w:p>
            <w:pPr>
              <w:jc w:val="center"/>
              <w:ind w:right="198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500" w:type="dxa"/>
            <w:vAlign w:val="bottom"/>
          </w:tcPr>
          <w:p>
            <w:pPr>
              <w:jc w:val="center"/>
              <w:ind w:left="202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4"/>
              </w:rPr>
              <w:t>incorporation or organization)</w:t>
            </w:r>
          </w:p>
        </w:tc>
        <w:tc>
          <w:tcPr>
            <w:tcW w:w="3500" w:type="dxa"/>
            <w:vAlign w:val="bottom"/>
          </w:tcPr>
          <w:p>
            <w:pPr>
              <w:jc w:val="center"/>
              <w:ind w:left="200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10770 Wateridge Circle, Suite 210</w:t>
      </w:r>
    </w:p>
    <w:p>
      <w:pPr>
        <w:jc w:val="center"/>
        <w:spacing w:after="0" w:line="203" w:lineRule="auto"/>
        <w:rPr>
          <w:sz w:val="20"/>
          <w:szCs w:val="20"/>
          <w:color w:val="auto"/>
        </w:rPr>
      </w:pPr>
      <w:r>
        <w:rPr>
          <w:rFonts w:ascii="Arial" w:cs="Arial" w:eastAsia="Arial" w:hAnsi="Arial"/>
          <w:sz w:val="18"/>
          <w:szCs w:val="18"/>
          <w:b w:val="1"/>
          <w:bCs w:val="1"/>
          <w:color w:val="auto"/>
        </w:rPr>
        <w:t>San Diego, CA 92121</w:t>
      </w:r>
    </w:p>
    <w:p>
      <w:pPr>
        <w:jc w:val="center"/>
        <w:spacing w:after="0" w:line="194" w:lineRule="auto"/>
        <w:rPr>
          <w:sz w:val="20"/>
          <w:szCs w:val="20"/>
          <w:color w:val="auto"/>
        </w:rPr>
      </w:pPr>
      <w:r>
        <w:rPr>
          <w:rFonts w:ascii="Arial" w:cs="Arial" w:eastAsia="Arial" w:hAnsi="Arial"/>
          <w:sz w:val="18"/>
          <w:szCs w:val="18"/>
          <w:b w:val="1"/>
          <w:bCs w:val="1"/>
          <w:color w:val="auto"/>
        </w:rPr>
        <w:t>(858) 362-6295</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jc w:val="center"/>
        <w:spacing w:after="0" w:line="193" w:lineRule="auto"/>
        <w:rPr>
          <w:sz w:val="20"/>
          <w:szCs w:val="20"/>
          <w:color w:val="auto"/>
        </w:rPr>
      </w:pPr>
      <w:r>
        <w:rPr>
          <w:rFonts w:ascii="Arial" w:cs="Arial" w:eastAsia="Arial" w:hAnsi="Arial"/>
          <w:sz w:val="18"/>
          <w:szCs w:val="18"/>
          <w:b w:val="1"/>
          <w:bCs w:val="1"/>
          <w:color w:val="auto"/>
        </w:rPr>
        <w:t>2017 Employee Stock Purchase Plan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Hamza Suria</w:t>
      </w:r>
    </w:p>
    <w:p>
      <w:pPr>
        <w:jc w:val="center"/>
        <w:spacing w:after="0" w:line="203" w:lineRule="auto"/>
        <w:rPr>
          <w:sz w:val="20"/>
          <w:szCs w:val="20"/>
          <w:color w:val="auto"/>
        </w:rPr>
      </w:pPr>
      <w:r>
        <w:rPr>
          <w:rFonts w:ascii="Arial" w:cs="Arial" w:eastAsia="Arial" w:hAnsi="Arial"/>
          <w:sz w:val="18"/>
          <w:szCs w:val="18"/>
          <w:b w:val="1"/>
          <w:bCs w:val="1"/>
          <w:color w:val="auto"/>
        </w:rPr>
        <w:t>Chief Executive Officer</w:t>
      </w:r>
    </w:p>
    <w:p>
      <w:pPr>
        <w:jc w:val="center"/>
        <w:spacing w:after="0" w:line="203" w:lineRule="auto"/>
        <w:rPr>
          <w:sz w:val="20"/>
          <w:szCs w:val="20"/>
          <w:color w:val="auto"/>
        </w:rPr>
      </w:pPr>
      <w:r>
        <w:rPr>
          <w:rFonts w:ascii="Arial" w:cs="Arial" w:eastAsia="Arial" w:hAnsi="Arial"/>
          <w:sz w:val="18"/>
          <w:szCs w:val="18"/>
          <w:b w:val="1"/>
          <w:bCs w:val="1"/>
          <w:color w:val="auto"/>
        </w:rPr>
        <w:t>AnaptysBio, Inc.</w:t>
      </w:r>
    </w:p>
    <w:p>
      <w:pPr>
        <w:jc w:val="center"/>
        <w:spacing w:after="0" w:line="204" w:lineRule="auto"/>
        <w:rPr>
          <w:sz w:val="20"/>
          <w:szCs w:val="20"/>
          <w:color w:val="auto"/>
        </w:rPr>
      </w:pPr>
      <w:r>
        <w:rPr>
          <w:rFonts w:ascii="Arial" w:cs="Arial" w:eastAsia="Arial" w:hAnsi="Arial"/>
          <w:sz w:val="18"/>
          <w:szCs w:val="18"/>
          <w:b w:val="1"/>
          <w:bCs w:val="1"/>
          <w:color w:val="auto"/>
        </w:rPr>
        <w:t>10770 Wateridge Circle, Suite 210</w:t>
      </w:r>
    </w:p>
    <w:p>
      <w:pPr>
        <w:jc w:val="center"/>
        <w:spacing w:after="0" w:line="203" w:lineRule="auto"/>
        <w:rPr>
          <w:sz w:val="20"/>
          <w:szCs w:val="20"/>
          <w:color w:val="auto"/>
        </w:rPr>
      </w:pPr>
      <w:r>
        <w:rPr>
          <w:rFonts w:ascii="Arial" w:cs="Arial" w:eastAsia="Arial" w:hAnsi="Arial"/>
          <w:sz w:val="18"/>
          <w:szCs w:val="18"/>
          <w:b w:val="1"/>
          <w:bCs w:val="1"/>
          <w:color w:val="auto"/>
        </w:rPr>
        <w:t>San Diego, CA 92121</w:t>
      </w:r>
    </w:p>
    <w:p>
      <w:pPr>
        <w:jc w:val="center"/>
        <w:spacing w:after="0" w:line="194" w:lineRule="auto"/>
        <w:rPr>
          <w:sz w:val="20"/>
          <w:szCs w:val="20"/>
          <w:color w:val="auto"/>
        </w:rPr>
      </w:pPr>
      <w:r>
        <w:rPr>
          <w:rFonts w:ascii="Arial" w:cs="Arial" w:eastAsia="Arial" w:hAnsi="Arial"/>
          <w:sz w:val="18"/>
          <w:szCs w:val="18"/>
          <w:b w:val="1"/>
          <w:bCs w:val="1"/>
          <w:color w:val="auto"/>
        </w:rPr>
        <w:t>(858) 362-6295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Please send copies of all communications to:</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Freedman, Esq.</w:t>
      </w:r>
    </w:p>
    <w:p>
      <w:pPr>
        <w:jc w:val="center"/>
        <w:spacing w:after="0" w:line="203" w:lineRule="auto"/>
        <w:rPr>
          <w:sz w:val="20"/>
          <w:szCs w:val="20"/>
          <w:color w:val="auto"/>
        </w:rPr>
      </w:pPr>
      <w:r>
        <w:rPr>
          <w:rFonts w:ascii="Arial" w:cs="Arial" w:eastAsia="Arial" w:hAnsi="Arial"/>
          <w:sz w:val="18"/>
          <w:szCs w:val="18"/>
          <w:b w:val="1"/>
          <w:bCs w:val="1"/>
          <w:color w:val="auto"/>
        </w:rPr>
        <w:t>Ryan Mitteness, Esq.</w:t>
      </w:r>
    </w:p>
    <w:p>
      <w:pPr>
        <w:jc w:val="center"/>
        <w:spacing w:after="0" w:line="203" w:lineRule="auto"/>
        <w:rPr>
          <w:sz w:val="20"/>
          <w:szCs w:val="20"/>
          <w:color w:val="auto"/>
        </w:rPr>
      </w:pPr>
      <w:r>
        <w:rPr>
          <w:rFonts w:ascii="Arial" w:cs="Arial" w:eastAsia="Arial" w:hAnsi="Arial"/>
          <w:sz w:val="18"/>
          <w:szCs w:val="18"/>
          <w:b w:val="1"/>
          <w:bCs w:val="1"/>
          <w:color w:val="auto"/>
        </w:rPr>
        <w:t>Fenwick &amp; West LLP</w:t>
      </w:r>
    </w:p>
    <w:p>
      <w:pPr>
        <w:jc w:val="center"/>
        <w:spacing w:after="0" w:line="204" w:lineRule="auto"/>
        <w:rPr>
          <w:sz w:val="20"/>
          <w:szCs w:val="20"/>
          <w:color w:val="auto"/>
        </w:rPr>
      </w:pPr>
      <w:r>
        <w:rPr>
          <w:rFonts w:ascii="Arial" w:cs="Arial" w:eastAsia="Arial" w:hAnsi="Arial"/>
          <w:sz w:val="18"/>
          <w:szCs w:val="18"/>
          <w:b w:val="1"/>
          <w:bCs w:val="1"/>
          <w:color w:val="auto"/>
        </w:rPr>
        <w:t>555 California Street</w:t>
      </w:r>
    </w:p>
    <w:p>
      <w:pPr>
        <w:jc w:val="center"/>
        <w:spacing w:after="0" w:line="203" w:lineRule="auto"/>
        <w:rPr>
          <w:sz w:val="20"/>
          <w:szCs w:val="20"/>
          <w:color w:val="auto"/>
        </w:rPr>
      </w:pPr>
      <w:r>
        <w:rPr>
          <w:rFonts w:ascii="Arial" w:cs="Arial" w:eastAsia="Arial" w:hAnsi="Arial"/>
          <w:sz w:val="18"/>
          <w:szCs w:val="18"/>
          <w:b w:val="1"/>
          <w:bCs w:val="1"/>
          <w:color w:val="auto"/>
        </w:rPr>
        <w:t>San Francisco, CA 94104</w:t>
      </w:r>
    </w:p>
    <w:p>
      <w:pPr>
        <w:ind w:left="5500" w:hanging="438"/>
        <w:spacing w:after="0" w:line="207" w:lineRule="auto"/>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875-2300</w:t>
      </w:r>
    </w:p>
    <w:p>
      <w:pPr>
        <w:ind w:left="4740"/>
        <w:spacing w:after="0"/>
        <w:rPr>
          <w:rFonts w:ascii="Arial" w:cs="Arial" w:eastAsia="Arial" w:hAnsi="Arial"/>
          <w:sz w:val="18"/>
          <w:szCs w:val="18"/>
          <w:b w:val="1"/>
          <w:bCs w:val="1"/>
          <w:color w:val="auto"/>
        </w:rPr>
      </w:pPr>
      <w:r>
        <w:rPr>
          <w:rFonts w:ascii="Arial" w:cs="Arial" w:eastAsia="Arial" w:hAnsi="Arial"/>
          <w:sz w:val="16"/>
          <w:szCs w:val="16"/>
          <w:b w:val="1"/>
          <w:bCs w:val="1"/>
          <w:u w:val="single" w:color="auto"/>
          <w:color w:val="auto"/>
        </w:rPr>
        <w:t>______________________</w:t>
      </w:r>
    </w:p>
    <w:p>
      <w:pPr>
        <w:spacing w:after="0" w:line="28" w:lineRule="exact"/>
        <w:rPr>
          <w:sz w:val="24"/>
          <w:szCs w:val="24"/>
          <w:color w:val="auto"/>
        </w:rPr>
      </w:pPr>
    </w:p>
    <w:p>
      <w:pPr>
        <w:jc w:val="both"/>
        <w:spacing w:after="0" w:line="232"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bookmarkStart w:id="1" w:name="page2"/>
    <w:bookmarkEnd w:id="1"/>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tcPr>
          <w:p>
            <w:pPr>
              <w:ind w:left="254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3380" w:type="dxa"/>
            <w:vAlign w:val="bottom"/>
          </w:tcPr>
          <w:p>
            <w:pPr>
              <w:ind w:left="740"/>
              <w:spacing w:after="0"/>
              <w:rPr>
                <w:sz w:val="20"/>
                <w:szCs w:val="20"/>
                <w:color w:val="auto"/>
              </w:rPr>
            </w:pPr>
            <w:r>
              <w:rPr>
                <w:rFonts w:ascii="Arial" w:cs="Arial" w:eastAsia="Arial" w:hAnsi="Arial"/>
                <w:sz w:val="14"/>
                <w:szCs w:val="14"/>
                <w:color w:val="auto"/>
              </w:rPr>
              <w:t>x</w:t>
            </w:r>
          </w:p>
        </w:tc>
        <w:tc>
          <w:tcPr>
            <w:tcW w:w="4740" w:type="dxa"/>
            <w:vAlign w:val="bottom"/>
          </w:tcPr>
          <w:p>
            <w:pPr>
              <w:ind w:left="254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40"/>
              <w:spacing w:after="0"/>
              <w:rPr>
                <w:sz w:val="20"/>
                <w:szCs w:val="20"/>
                <w:color w:val="auto"/>
              </w:rPr>
            </w:pPr>
            <w:r>
              <w:rPr>
                <w:rFonts w:ascii="Arial" w:cs="Arial" w:eastAsia="Arial" w:hAnsi="Arial"/>
                <w:sz w:val="14"/>
                <w:szCs w:val="14"/>
                <w:color w:val="auto"/>
              </w:rPr>
              <w:t>x</w:t>
            </w:r>
          </w:p>
        </w:tc>
      </w:tr>
      <w:tr>
        <w:trPr>
          <w:trHeight w:val="259"/>
        </w:trPr>
        <w:tc>
          <w:tcPr>
            <w:tcW w:w="20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740" w:type="dxa"/>
            <w:vAlign w:val="bottom"/>
          </w:tcPr>
          <w:p>
            <w:pPr>
              <w:ind w:left="2540"/>
              <w:spacing w:after="0"/>
              <w:rPr>
                <w:sz w:val="20"/>
                <w:szCs w:val="20"/>
                <w:color w:val="auto"/>
              </w:rPr>
            </w:pPr>
            <w:r>
              <w:rPr>
                <w:rFonts w:ascii="Arial" w:cs="Arial" w:eastAsia="Arial" w:hAnsi="Arial"/>
                <w:sz w:val="14"/>
                <w:szCs w:val="14"/>
                <w:color w:val="auto"/>
              </w:rPr>
              <w:t>Emerging growth company</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64"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7(a)(2)(B) of the Securities Act. [ ]</w:t>
      </w:r>
    </w:p>
    <w:p>
      <w:pPr>
        <w:sectPr>
          <w:pgSz w:w="11900" w:h="16838" w:orient="portrait"/>
          <w:cols w:equalWidth="0" w:num="1">
            <w:col w:w="10940"/>
          </w:cols>
          <w:pgMar w:left="360" w:top="1440" w:right="599" w:bottom="1440" w:gutter="0" w:footer="0" w:header="0"/>
        </w:sectPr>
      </w:pPr>
    </w:p>
    <w:bookmarkStart w:id="2" w:name="page3"/>
    <w:bookmarkEnd w:id="2"/>
    <w:p>
      <w:pPr>
        <w:spacing w:after="0" w:line="19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REGISTRATION OF ADDITIONAL SHARES</w:t>
      </w:r>
    </w:p>
    <w:p>
      <w:pPr>
        <w:ind w:left="3980"/>
        <w:spacing w:after="0"/>
        <w:rPr>
          <w:sz w:val="20"/>
          <w:szCs w:val="20"/>
          <w:color w:val="auto"/>
        </w:rPr>
      </w:pPr>
      <w:r>
        <w:rPr>
          <w:rFonts w:ascii="Arial" w:cs="Arial" w:eastAsia="Arial" w:hAnsi="Arial"/>
          <w:sz w:val="18"/>
          <w:szCs w:val="18"/>
          <w:b w:val="1"/>
          <w:bCs w:val="1"/>
          <w:color w:val="auto"/>
        </w:rPr>
        <w:t>PURSUANT TO GENERAL INSTRUCTION E</w:t>
      </w:r>
    </w:p>
    <w:p>
      <w:pPr>
        <w:spacing w:after="0" w:line="196" w:lineRule="exact"/>
        <w:rPr>
          <w:sz w:val="20"/>
          <w:szCs w:val="20"/>
          <w:color w:val="auto"/>
        </w:rPr>
      </w:pPr>
    </w:p>
    <w:p>
      <w:pPr>
        <w:ind w:firstLine="405"/>
        <w:spacing w:after="0" w:line="242" w:lineRule="auto"/>
        <w:rPr>
          <w:sz w:val="20"/>
          <w:szCs w:val="20"/>
          <w:color w:val="auto"/>
        </w:rPr>
      </w:pPr>
      <w:r>
        <w:rPr>
          <w:rFonts w:ascii="Arial" w:cs="Arial" w:eastAsia="Arial" w:hAnsi="Arial"/>
          <w:sz w:val="16"/>
          <w:szCs w:val="16"/>
          <w:color w:val="auto"/>
        </w:rPr>
        <w:t>Pursuant to General Instruction E of Form S-8, AnaptysBio, Inc. (the “Registrant”) is filing this Registration Statement with the Securities and Exchange Commission (the “Commission”) to register 1,105,890 additional shares of Common Stock under the Registrant’s 2017 Equity Incentive Plan (“EIP”), pursuant to the provisions of the EIP providing for an automatic increase in the number of shares reserved for issuance under the EIP, and 276,472 additional shares of Common Stock under the Registrant’s 2017 Employee Stock Purchase Plan (“ESPP”), pursuant to the provisions of the ESPP</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providing for an automatic increase in the number of shares reserved for issuance under the ESPP. This Registration Statement hereby incorporates by</w:t>
      </w:r>
    </w:p>
    <w:p>
      <w:pPr>
        <w:spacing w:after="0" w:line="5" w:lineRule="exact"/>
        <w:rPr>
          <w:sz w:val="20"/>
          <w:szCs w:val="20"/>
          <w:color w:val="auto"/>
        </w:rPr>
      </w:pPr>
    </w:p>
    <w:p>
      <w:pPr>
        <w:ind w:right="60"/>
        <w:spacing w:after="0" w:line="227" w:lineRule="auto"/>
        <w:rPr>
          <w:sz w:val="20"/>
          <w:szCs w:val="20"/>
          <w:color w:val="auto"/>
        </w:rPr>
      </w:pPr>
      <w:r>
        <w:rPr>
          <w:rFonts w:ascii="Arial" w:cs="Arial" w:eastAsia="Arial" w:hAnsi="Arial"/>
          <w:sz w:val="17"/>
          <w:szCs w:val="17"/>
          <w:color w:val="auto"/>
        </w:rPr>
        <w:t>reference the contents of the Registrant’s registration statements on Form S-8 filed with the Commission on January 26, 2017 (Registration No. 333-215741), March 5, 2018 (Registration No. 333-223446), February 28, 2019 (Registration No. 333-229927), March 2, 2020 (Registration No. 333-236805) and February 25, 2021 (Registration No. 333-253504). In accordance with the instructional note to Part I of Form S-8 as promulgated by the Commission, the information specified by Part I of the Form S-8 has been omitted from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80"/>
          </w:cols>
          <w:pgMar w:left="320" w:top="1440" w:right="399" w:bottom="1440" w:gutter="0" w:footer="0" w:header="0"/>
        </w:sectPr>
      </w:pPr>
    </w:p>
    <w:bookmarkStart w:id="3" w:name="page4"/>
    <w:bookmarkEnd w:id="3"/>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Exhibits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4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Incorporated by Reference</w:t>
            </w:r>
          </w:p>
        </w:tc>
        <w:tc>
          <w:tcPr>
            <w:tcW w:w="1620" w:type="dxa"/>
            <w:vAlign w:val="bottom"/>
            <w:tcBorders>
              <w:bottom w:val="single" w:sz="8" w:color="auto"/>
            </w:tcBorders>
          </w:tcPr>
          <w:p>
            <w:pPr>
              <w:spacing w:after="0"/>
              <w:rPr>
                <w:sz w:val="16"/>
                <w:szCs w:val="16"/>
                <w:color w:val="auto"/>
              </w:rPr>
            </w:pPr>
          </w:p>
        </w:tc>
        <w:tc>
          <w:tcPr>
            <w:tcW w:w="1100" w:type="dxa"/>
            <w:vAlign w:val="bottom"/>
          </w:tcPr>
          <w:p>
            <w:pPr>
              <w:jc w:val="center"/>
              <w:ind w:left="415"/>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201"/>
        </w:trPr>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Number</w:t>
            </w:r>
          </w:p>
        </w:tc>
        <w:tc>
          <w:tcPr>
            <w:tcW w:w="3280" w:type="dxa"/>
            <w:vAlign w:val="bottom"/>
            <w:gridSpan w:val="17"/>
          </w:tcPr>
          <w:p>
            <w:pPr>
              <w:spacing w:after="0"/>
              <w:rPr>
                <w:sz w:val="20"/>
                <w:szCs w:val="20"/>
                <w:color w:val="auto"/>
              </w:rPr>
            </w:pPr>
            <w:r>
              <w:rPr>
                <w:rFonts w:ascii="Arial" w:cs="Arial" w:eastAsia="Arial" w:hAnsi="Arial"/>
                <w:sz w:val="14"/>
                <w:szCs w:val="14"/>
                <w:b w:val="1"/>
                <w:bCs w:val="1"/>
                <w:color w:val="auto"/>
              </w:rPr>
              <w:t>Exhibit 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7"/>
                <w:szCs w:val="17"/>
                <w:color w:val="auto"/>
              </w:rPr>
            </w:pP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File No.</w:t>
            </w:r>
          </w:p>
        </w:tc>
        <w:tc>
          <w:tcPr>
            <w:tcW w:w="340" w:type="dxa"/>
            <w:vAlign w:val="bottom"/>
          </w:tcPr>
          <w:p>
            <w:pPr>
              <w:spacing w:after="0"/>
              <w:rPr>
                <w:sz w:val="17"/>
                <w:szCs w:val="17"/>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100" w:type="dxa"/>
            <w:vAlign w:val="bottom"/>
          </w:tcPr>
          <w:p>
            <w:pPr>
              <w:jc w:val="center"/>
              <w:ind w:left="435"/>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78"/>
        </w:trPr>
        <w:tc>
          <w:tcPr>
            <w:tcW w:w="1240" w:type="dxa"/>
            <w:vAlign w:val="bottom"/>
          </w:tcPr>
          <w:p>
            <w:pPr>
              <w:spacing w:after="0"/>
              <w:rPr>
                <w:sz w:val="20"/>
                <w:szCs w:val="20"/>
                <w:color w:val="auto"/>
              </w:rPr>
            </w:pPr>
            <w:r>
              <w:rPr>
                <w:rFonts w:ascii="Arial" w:cs="Arial" w:eastAsia="Arial" w:hAnsi="Arial"/>
                <w:sz w:val="18"/>
                <w:szCs w:val="18"/>
                <w:color w:val="auto"/>
              </w:rPr>
              <w:t>4.1</w:t>
            </w:r>
          </w:p>
        </w:tc>
        <w:tc>
          <w:tcPr>
            <w:tcW w:w="3280" w:type="dxa"/>
            <w:vAlign w:val="bottom"/>
            <w:gridSpan w:val="17"/>
          </w:tcPr>
          <w:p>
            <w:pPr>
              <w:spacing w:after="0"/>
              <w:rPr>
                <w:rFonts w:ascii="Arial" w:cs="Arial" w:eastAsia="Arial" w:hAnsi="Arial"/>
                <w:sz w:val="18"/>
                <w:szCs w:val="18"/>
                <w:color w:val="0000FF"/>
              </w:rPr>
            </w:pPr>
            <w:hyperlink r:id="rId13">
              <w:r>
                <w:rPr>
                  <w:rFonts w:ascii="Arial" w:cs="Arial" w:eastAsia="Arial" w:hAnsi="Arial"/>
                  <w:sz w:val="18"/>
                  <w:szCs w:val="18"/>
                  <w:color w:val="0000FF"/>
                </w:rPr>
                <w:t>Amended and Restated Certificate of</w:t>
              </w:r>
            </w:hyperlink>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3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May 12, 2017</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7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3">
              <w:r>
                <w:rPr>
                  <w:rFonts w:ascii="Arial" w:cs="Arial" w:eastAsia="Arial" w:hAnsi="Arial"/>
                  <w:sz w:val="18"/>
                  <w:szCs w:val="18"/>
                  <w:color w:val="0000FF"/>
                </w:rPr>
                <w:t>Incorporation of the Registrant</w:t>
              </w:r>
            </w:hyperlink>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4.2</w:t>
            </w:r>
          </w:p>
        </w:tc>
        <w:tc>
          <w:tcPr>
            <w:tcW w:w="3280" w:type="dxa"/>
            <w:vAlign w:val="bottom"/>
            <w:gridSpan w:val="17"/>
          </w:tcPr>
          <w:p>
            <w:pPr>
              <w:spacing w:after="0"/>
              <w:rPr>
                <w:rFonts w:ascii="Arial" w:cs="Arial" w:eastAsia="Arial" w:hAnsi="Arial"/>
                <w:sz w:val="18"/>
                <w:szCs w:val="18"/>
                <w:color w:val="0000FF"/>
              </w:rPr>
            </w:pPr>
            <w:hyperlink r:id="rId14">
              <w:r>
                <w:rPr>
                  <w:rFonts w:ascii="Arial" w:cs="Arial" w:eastAsia="Arial" w:hAnsi="Arial"/>
                  <w:sz w:val="18"/>
                  <w:szCs w:val="18"/>
                  <w:color w:val="0000FF"/>
                </w:rPr>
                <w:t>Form of Restated Bylaws of the</w:t>
              </w:r>
            </w:hyperlink>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3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3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Sep. 9, 2015</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3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4">
              <w:r>
                <w:rPr>
                  <w:rFonts w:ascii="Arial" w:cs="Arial" w:eastAsia="Arial" w:hAnsi="Arial"/>
                  <w:sz w:val="18"/>
                  <w:szCs w:val="18"/>
                  <w:color w:val="0000FF"/>
                </w:rPr>
                <w:t>Registrant</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4.3</w:t>
            </w:r>
          </w:p>
        </w:tc>
        <w:tc>
          <w:tcPr>
            <w:tcW w:w="3280" w:type="dxa"/>
            <w:vAlign w:val="bottom"/>
            <w:gridSpan w:val="17"/>
          </w:tcPr>
          <w:p>
            <w:pPr>
              <w:spacing w:after="0"/>
              <w:rPr>
                <w:rFonts w:ascii="Arial" w:cs="Arial" w:eastAsia="Arial" w:hAnsi="Arial"/>
                <w:sz w:val="18"/>
                <w:szCs w:val="18"/>
                <w:color w:val="0000FF"/>
              </w:rPr>
            </w:pPr>
            <w:hyperlink r:id="rId15">
              <w:r>
                <w:rPr>
                  <w:rFonts w:ascii="Arial" w:cs="Arial" w:eastAsia="Arial" w:hAnsi="Arial"/>
                  <w:sz w:val="18"/>
                  <w:szCs w:val="18"/>
                  <w:color w:val="0000FF"/>
                </w:rPr>
                <w:t>Form of Registrant’s Common Stock</w:t>
              </w:r>
            </w:hyperlink>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3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Dec. 23, 2015</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6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5">
              <w:r>
                <w:rPr>
                  <w:rFonts w:ascii="Arial" w:cs="Arial" w:eastAsia="Arial" w:hAnsi="Arial"/>
                  <w:sz w:val="18"/>
                  <w:szCs w:val="18"/>
                  <w:color w:val="0000FF"/>
                </w:rPr>
                <w:t>certificate</w:t>
              </w:r>
            </w:hyperlink>
          </w:p>
        </w:tc>
        <w:tc>
          <w:tcPr>
            <w:tcW w:w="6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40" w:type="dxa"/>
            <w:vAlign w:val="bottom"/>
          </w:tcPr>
          <w:p>
            <w:pPr>
              <w:spacing w:after="0"/>
              <w:rPr>
                <w:sz w:val="20"/>
                <w:szCs w:val="20"/>
                <w:color w:val="auto"/>
              </w:rPr>
            </w:pPr>
            <w:r>
              <w:rPr>
                <w:rFonts w:ascii="Arial" w:cs="Arial" w:eastAsia="Arial" w:hAnsi="Arial"/>
                <w:sz w:val="18"/>
                <w:szCs w:val="18"/>
                <w:color w:val="auto"/>
              </w:rPr>
              <w:t>4.4</w:t>
            </w:r>
          </w:p>
        </w:tc>
        <w:tc>
          <w:tcPr>
            <w:tcW w:w="3280" w:type="dxa"/>
            <w:vAlign w:val="bottom"/>
            <w:gridSpan w:val="17"/>
          </w:tcPr>
          <w:p>
            <w:pPr>
              <w:spacing w:after="0"/>
              <w:rPr>
                <w:rFonts w:ascii="Arial" w:cs="Arial" w:eastAsia="Arial" w:hAnsi="Arial"/>
                <w:sz w:val="18"/>
                <w:szCs w:val="18"/>
                <w:color w:val="0000FF"/>
              </w:rPr>
            </w:pPr>
            <w:hyperlink r:id="rId16">
              <w:r>
                <w:rPr>
                  <w:rFonts w:ascii="Arial" w:cs="Arial" w:eastAsia="Arial" w:hAnsi="Arial"/>
                  <w:sz w:val="18"/>
                  <w:szCs w:val="18"/>
                  <w:color w:val="0000FF"/>
                </w:rPr>
                <w:t>2017 Equity Incentive Plan and forms</w:t>
              </w:r>
            </w:hyperlink>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3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Jan. 17, 2017</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7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6">
              <w:r>
                <w:rPr>
                  <w:rFonts w:ascii="Arial" w:cs="Arial" w:eastAsia="Arial" w:hAnsi="Arial"/>
                  <w:sz w:val="18"/>
                  <w:szCs w:val="18"/>
                  <w:color w:val="0000FF"/>
                </w:rPr>
                <w:t>of award agreements</w:t>
              </w:r>
            </w:hyperlink>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vMerge w:val="restart"/>
          </w:tcPr>
          <w:p>
            <w:pPr>
              <w:spacing w:after="0"/>
              <w:rPr>
                <w:sz w:val="20"/>
                <w:szCs w:val="20"/>
                <w:color w:val="auto"/>
              </w:rPr>
            </w:pPr>
            <w:r>
              <w:rPr>
                <w:rFonts w:ascii="Arial" w:cs="Arial" w:eastAsia="Arial" w:hAnsi="Arial"/>
                <w:sz w:val="18"/>
                <w:szCs w:val="18"/>
                <w:color w:val="auto"/>
              </w:rPr>
              <w:t>4.5</w:t>
            </w:r>
          </w:p>
        </w:tc>
        <w:tc>
          <w:tcPr>
            <w:tcW w:w="3280" w:type="dxa"/>
            <w:vAlign w:val="bottom"/>
            <w:gridSpan w:val="17"/>
          </w:tcPr>
          <w:p>
            <w:pPr>
              <w:spacing w:after="0"/>
              <w:rPr>
                <w:rFonts w:ascii="Arial" w:cs="Arial" w:eastAsia="Arial" w:hAnsi="Arial"/>
                <w:sz w:val="18"/>
                <w:szCs w:val="18"/>
                <w:color w:val="0000FF"/>
              </w:rPr>
            </w:pPr>
            <w:hyperlink r:id="rId17">
              <w:r>
                <w:rPr>
                  <w:rFonts w:ascii="Arial" w:cs="Arial" w:eastAsia="Arial" w:hAnsi="Arial"/>
                  <w:sz w:val="18"/>
                  <w:szCs w:val="18"/>
                  <w:color w:val="0000FF"/>
                </w:rPr>
                <w:t>2017 Employee Stock Purchase Plan</w:t>
              </w:r>
            </w:hyperlink>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2"/>
              </w:rPr>
              <w:t>S-1</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1"/>
              </w:rPr>
              <w:t>333-206849</w:t>
            </w:r>
          </w:p>
        </w:tc>
        <w:tc>
          <w:tcPr>
            <w:tcW w:w="34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1"/>
              </w:rPr>
              <w:t>10.4</w:t>
            </w:r>
          </w:p>
        </w:tc>
        <w:tc>
          <w:tcPr>
            <w:tcW w:w="34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7"/>
              </w:rPr>
              <w:t>Jan. 17, 2017</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22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8"/>
              </w:rPr>
            </w:pPr>
            <w:hyperlink r:id="rId17">
              <w:r>
                <w:rPr>
                  <w:rFonts w:ascii="Arial" w:cs="Arial" w:eastAsia="Arial" w:hAnsi="Arial"/>
                  <w:sz w:val="18"/>
                  <w:szCs w:val="18"/>
                  <w:color w:val="0000FF"/>
                  <w:w w:val="88"/>
                </w:rPr>
                <w:t>and forms of award agreements</w:t>
              </w:r>
            </w:hyperlink>
          </w:p>
        </w:tc>
        <w:tc>
          <w:tcPr>
            <w:tcW w:w="380" w:type="dxa"/>
            <w:vAlign w:val="bottom"/>
            <w:tcBorders>
              <w:top w:val="single" w:sz="8" w:color="0000FF"/>
            </w:tcBorders>
            <w:gridSpan w:val="6"/>
          </w:tcPr>
          <w:p>
            <w:pPr>
              <w:spacing w:after="0"/>
              <w:rPr>
                <w:sz w:val="13"/>
                <w:szCs w:val="13"/>
                <w:color w:val="auto"/>
              </w:rPr>
            </w:pPr>
          </w:p>
        </w:tc>
        <w:tc>
          <w:tcPr>
            <w:tcW w:w="620" w:type="dxa"/>
            <w:vAlign w:val="bottom"/>
            <w:gridSpan w:val="4"/>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5.1</w:t>
            </w:r>
          </w:p>
        </w:tc>
        <w:tc>
          <w:tcPr>
            <w:tcW w:w="2440" w:type="dxa"/>
            <w:vAlign w:val="bottom"/>
            <w:tcBorders>
              <w:bottom w:val="single" w:sz="8" w:color="0000FF"/>
            </w:tcBorders>
            <w:gridSpan w:val="12"/>
          </w:tcPr>
          <w:p>
            <w:pPr>
              <w:spacing w:after="0"/>
              <w:rPr>
                <w:rFonts w:ascii="Arial" w:cs="Arial" w:eastAsia="Arial" w:hAnsi="Arial"/>
                <w:sz w:val="18"/>
                <w:szCs w:val="18"/>
                <w:color w:val="0000FF"/>
                <w:w w:val="95"/>
              </w:rPr>
            </w:pPr>
            <w:hyperlink w:anchor="page8">
              <w:r>
                <w:rPr>
                  <w:rFonts w:ascii="Arial" w:cs="Arial" w:eastAsia="Arial" w:hAnsi="Arial"/>
                  <w:sz w:val="18"/>
                  <w:szCs w:val="18"/>
                  <w:color w:val="0000FF"/>
                  <w:w w:val="95"/>
                </w:rPr>
                <w:t>Opinion of Fenwick &amp; West LLP</w:t>
              </w:r>
            </w:hyperlink>
          </w:p>
        </w:tc>
        <w:tc>
          <w:tcPr>
            <w:tcW w:w="84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jc w:val="center"/>
              <w:ind w:left="43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7"/>
        </w:trPr>
        <w:tc>
          <w:tcPr>
            <w:tcW w:w="1240" w:type="dxa"/>
            <w:vAlign w:val="bottom"/>
          </w:tcPr>
          <w:p>
            <w:pPr>
              <w:spacing w:after="0"/>
              <w:rPr>
                <w:sz w:val="20"/>
                <w:szCs w:val="20"/>
                <w:color w:val="auto"/>
              </w:rPr>
            </w:pPr>
            <w:r>
              <w:rPr>
                <w:rFonts w:ascii="Arial" w:cs="Arial" w:eastAsia="Arial" w:hAnsi="Arial"/>
                <w:sz w:val="18"/>
                <w:szCs w:val="18"/>
                <w:color w:val="auto"/>
              </w:rPr>
              <w:t>23.1</w:t>
            </w:r>
          </w:p>
        </w:tc>
        <w:tc>
          <w:tcPr>
            <w:tcW w:w="328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Consent of Fenwick &amp; West LLP</w:t>
              </w:r>
            </w:hyperlink>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jc w:val="center"/>
              <w:ind w:left="43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w:anchor="page8">
              <w:r>
                <w:rPr>
                  <w:rFonts w:ascii="Arial" w:cs="Arial" w:eastAsia="Arial" w:hAnsi="Arial"/>
                  <w:sz w:val="18"/>
                  <w:szCs w:val="18"/>
                  <w:color w:val="0000FF"/>
                  <w:w w:val="92"/>
                </w:rPr>
                <w:t>(contained in Exhibit 5.1)</w:t>
              </w:r>
            </w:hyperlink>
          </w:p>
        </w:tc>
        <w:tc>
          <w:tcPr>
            <w:tcW w:w="560" w:type="dxa"/>
            <w:vAlign w:val="bottom"/>
            <w:tcBorders>
              <w:top w:val="single" w:sz="8" w:color="0000FF"/>
            </w:tcBorders>
            <w:gridSpan w:val="6"/>
          </w:tcPr>
          <w:p>
            <w:pPr>
              <w:spacing w:after="0"/>
              <w:rPr>
                <w:sz w:val="13"/>
                <w:szCs w:val="13"/>
                <w:color w:val="auto"/>
              </w:rPr>
            </w:pPr>
          </w:p>
        </w:tc>
        <w:tc>
          <w:tcPr>
            <w:tcW w:w="86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23.2</w:t>
            </w:r>
          </w:p>
        </w:tc>
        <w:tc>
          <w:tcPr>
            <w:tcW w:w="3280" w:type="dxa"/>
            <w:vAlign w:val="bottom"/>
            <w:gridSpan w:val="17"/>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Consent of KPMG, independent</w:t>
              </w:r>
            </w:hyperlink>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jc w:val="center"/>
              <w:ind w:left="43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8"/>
              </w:rPr>
            </w:pPr>
            <w:hyperlink w:anchor="page10">
              <w:r>
                <w:rPr>
                  <w:rFonts w:ascii="Arial" w:cs="Arial" w:eastAsia="Arial" w:hAnsi="Arial"/>
                  <w:sz w:val="18"/>
                  <w:szCs w:val="18"/>
                  <w:color w:val="0000FF"/>
                  <w:w w:val="88"/>
                </w:rPr>
                <w:t>registered public accounting firm</w:t>
              </w:r>
            </w:hyperlink>
          </w:p>
        </w:tc>
        <w:tc>
          <w:tcPr>
            <w:tcW w:w="80" w:type="dxa"/>
            <w:vAlign w:val="bottom"/>
            <w:tcBorders>
              <w:bottom w:val="single" w:sz="8" w:color="0000FF"/>
            </w:tcBorders>
          </w:tcPr>
          <w:p>
            <w:pPr>
              <w:spacing w:after="0"/>
              <w:rPr>
                <w:sz w:val="13"/>
                <w:szCs w:val="13"/>
                <w:color w:val="auto"/>
              </w:rPr>
            </w:pPr>
          </w:p>
        </w:tc>
        <w:tc>
          <w:tcPr>
            <w:tcW w:w="880" w:type="dxa"/>
            <w:vAlign w:val="bottom"/>
            <w:gridSpan w:val="7"/>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24.1</w:t>
            </w:r>
          </w:p>
        </w:tc>
        <w:tc>
          <w:tcPr>
            <w:tcW w:w="328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Power of Attorney</w:t>
              </w:r>
            </w:hyperlink>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jc w:val="center"/>
              <w:ind w:left="43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107.1</w:t>
            </w:r>
          </w:p>
        </w:tc>
        <w:tc>
          <w:tcPr>
            <w:tcW w:w="1340" w:type="dxa"/>
            <w:vAlign w:val="bottom"/>
            <w:tcBorders>
              <w:top w:val="single" w:sz="8" w:color="0000FF"/>
            </w:tcBorders>
            <w:gridSpan w:val="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Filing Fee Table</w:t>
              </w:r>
            </w:hyperlink>
          </w:p>
        </w:tc>
        <w:tc>
          <w:tcPr>
            <w:tcW w:w="1940" w:type="dxa"/>
            <w:vAlign w:val="bottom"/>
            <w:gridSpan w:val="14"/>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jc w:val="center"/>
              <w:ind w:left="435"/>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II-1</w:t>
      </w:r>
    </w:p>
    <w:p>
      <w:pPr>
        <w:sectPr>
          <w:pgSz w:w="11900" w:h="16838" w:orient="portrait"/>
          <w:cols w:equalWidth="0" w:num="1">
            <w:col w:w="11080"/>
          </w:cols>
          <w:pgMar w:left="320" w:top="1440"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this 7</w:t>
      </w:r>
      <w:r>
        <w:rPr>
          <w:rFonts w:ascii="Arial" w:cs="Arial" w:eastAsia="Arial" w:hAnsi="Arial"/>
          <w:sz w:val="9"/>
          <w:szCs w:val="9"/>
          <w:color w:val="auto"/>
        </w:rPr>
        <w:t>th</w:t>
      </w:r>
      <w:r>
        <w:rPr>
          <w:rFonts w:ascii="Arial" w:cs="Arial" w:eastAsia="Arial" w:hAnsi="Arial"/>
          <w:sz w:val="18"/>
          <w:szCs w:val="18"/>
          <w:color w:val="auto"/>
        </w:rPr>
        <w:t xml:space="preserve"> day of March, 2022.</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AnaptysBio, Inc.</w:t>
      </w:r>
    </w:p>
    <w:p>
      <w:pPr>
        <w:spacing w:after="0" w:line="30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Hamza Suria</w:t>
      </w:r>
    </w:p>
    <w:p>
      <w:pPr>
        <w:ind w:left="4860"/>
        <w:spacing w:after="0" w:line="203" w:lineRule="auto"/>
        <w:rPr>
          <w:sz w:val="20"/>
          <w:szCs w:val="20"/>
          <w:color w:val="auto"/>
        </w:rPr>
      </w:pPr>
      <w:r>
        <w:rPr>
          <w:rFonts w:ascii="Arial" w:cs="Arial" w:eastAsia="Arial" w:hAnsi="Arial"/>
          <w:sz w:val="18"/>
          <w:szCs w:val="18"/>
          <w:color w:val="auto"/>
        </w:rPr>
        <w:t>Hamza Suria</w:t>
      </w:r>
    </w:p>
    <w:p>
      <w:pPr>
        <w:ind w:left="48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the undersigned officers and directors of AnaptysBio, Inc., a Delaware corporation, do</w:t>
      </w:r>
      <w:r>
        <w:rPr>
          <w:rFonts w:ascii="Arial" w:cs="Arial" w:eastAsia="Arial" w:hAnsi="Arial"/>
          <w:sz w:val="16"/>
          <w:szCs w:val="16"/>
          <w:b w:val="1"/>
          <w:bCs w:val="1"/>
          <w:color w:val="auto"/>
        </w:rPr>
        <w:t xml:space="preserve"> </w:t>
      </w:r>
      <w:r>
        <w:rPr>
          <w:rFonts w:ascii="Arial" w:cs="Arial" w:eastAsia="Arial" w:hAnsi="Arial"/>
          <w:sz w:val="16"/>
          <w:szCs w:val="16"/>
          <w:color w:val="auto"/>
        </w:rPr>
        <w:t>hereby constitute and appoint Hamza Suria and Dennis Mulroy, and each of them, the lawful attorneys-in-fact and agents with full power 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that all said attorneys and agents, or any one of them, shall do or cause to be done by virtue hereof.</w:t>
      </w:r>
    </w:p>
    <w:p>
      <w:pPr>
        <w:spacing w:after="0" w:line="191"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II-1</w:t>
      </w:r>
    </w:p>
    <w:p>
      <w:pPr>
        <w:sectPr>
          <w:pgSz w:w="11900" w:h="16838" w:orient="portrait"/>
          <w:cols w:equalWidth="0" w:num="1">
            <w:col w:w="11220"/>
          </w:cols>
          <w:pgMar w:left="320" w:top="1404" w:right="359" w:bottom="1440" w:gutter="0" w:footer="0" w:header="0"/>
        </w:sectPr>
      </w:pPr>
    </w:p>
    <w:bookmarkStart w:id="5" w:name="page6"/>
    <w:bookmarkEnd w:id="5"/>
    <w:p>
      <w:pPr>
        <w:spacing w:after="0" w:line="1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17145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2511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Hamza Suria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2511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Dennis Mulroy</w:t>
      </w: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2511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Daniel Faga</w:t>
      </w: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Dennis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2511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Dennis Fenton Ph.D.</w:t>
      </w: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Laura J.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2511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Laura J. Hamill</w:t>
      </w: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Magda Marquet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25114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Magda Marquet, Ph.D.</w:t>
      </w: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2511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Oleg Nodelman</w:t>
      </w: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Hollings Renton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25114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Hollings Renton</w:t>
      </w: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John Schmid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25114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John Schmid</w:t>
      </w: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James N.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2511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James N. Topper, M.D., Ph.D.</w:t>
      </w:r>
    </w:p>
    <w:p>
      <w:pPr>
        <w:spacing w:after="0" w:line="35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J. Anthony 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2511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J. Anthony Ware, M.D.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4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7"/>
        </w:trPr>
        <w:tc>
          <w:tcPr>
            <w:tcW w:w="5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President, Chief Executive Officer and Director</w:t>
            </w:r>
          </w:p>
        </w:tc>
        <w:tc>
          <w:tcPr>
            <w:tcW w:w="1940" w:type="dxa"/>
            <w:vAlign w:val="bottom"/>
            <w:vMerge w:val="restart"/>
          </w:tcPr>
          <w:p>
            <w:pPr>
              <w:jc w:val="center"/>
              <w:spacing w:after="0"/>
              <w:rPr>
                <w:sz w:val="20"/>
                <w:szCs w:val="20"/>
                <w:color w:val="auto"/>
              </w:rPr>
            </w:pPr>
            <w:r>
              <w:rPr>
                <w:rFonts w:ascii="Arial" w:cs="Arial" w:eastAsia="Arial" w:hAnsi="Arial"/>
                <w:sz w:val="18"/>
                <w:szCs w:val="18"/>
                <w:color w:val="auto"/>
                <w:w w:val="92"/>
              </w:rPr>
              <w:t>March 7, 2022</w:t>
            </w:r>
          </w:p>
        </w:tc>
        <w:tc>
          <w:tcPr>
            <w:tcW w:w="0" w:type="dxa"/>
            <w:vAlign w:val="bottom"/>
          </w:tcPr>
          <w:p>
            <w:pPr>
              <w:spacing w:after="0"/>
              <w:rPr>
                <w:sz w:val="1"/>
                <w:szCs w:val="1"/>
                <w:color w:val="auto"/>
              </w:rPr>
            </w:pPr>
          </w:p>
        </w:tc>
      </w:tr>
      <w:tr>
        <w:trPr>
          <w:trHeight w:val="148"/>
        </w:trPr>
        <w:tc>
          <w:tcPr>
            <w:tcW w:w="5080" w:type="dxa"/>
            <w:vAlign w:val="bottom"/>
            <w:gridSpan w:val="2"/>
            <w:vMerge w:val="restart"/>
          </w:tcPr>
          <w:p>
            <w:pPr>
              <w:jc w:val="center"/>
              <w:ind w:right="260"/>
              <w:spacing w:after="0"/>
              <w:rPr>
                <w:sz w:val="20"/>
                <w:szCs w:val="20"/>
                <w:color w:val="auto"/>
              </w:rPr>
            </w:pPr>
            <w:r>
              <w:rPr>
                <w:rFonts w:ascii="Arial" w:cs="Arial" w:eastAsia="Arial" w:hAnsi="Arial"/>
                <w:sz w:val="18"/>
                <w:szCs w:val="18"/>
                <w:i w:val="1"/>
                <w:iCs w:val="1"/>
                <w:color w:val="auto"/>
                <w:w w:val="94"/>
              </w:rPr>
              <w:t>(Principal Executive Officer)</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080" w:type="dxa"/>
            <w:vAlign w:val="bottom"/>
            <w:gridSpan w:val="2"/>
            <w:vMerge w:val="continue"/>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50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vMerge w:val="restart"/>
          </w:tcPr>
          <w:p>
            <w:pPr>
              <w:jc w:val="center"/>
              <w:spacing w:after="0"/>
              <w:rPr>
                <w:sz w:val="20"/>
                <w:szCs w:val="20"/>
                <w:color w:val="auto"/>
              </w:rPr>
            </w:pPr>
            <w:r>
              <w:rPr>
                <w:rFonts w:ascii="Arial" w:cs="Arial" w:eastAsia="Arial" w:hAnsi="Arial"/>
                <w:sz w:val="18"/>
                <w:szCs w:val="18"/>
                <w:color w:val="auto"/>
                <w:w w:val="92"/>
              </w:rPr>
              <w:t>March 7, 2022</w:t>
            </w:r>
          </w:p>
        </w:tc>
        <w:tc>
          <w:tcPr>
            <w:tcW w:w="0" w:type="dxa"/>
            <w:vAlign w:val="bottom"/>
          </w:tcPr>
          <w:p>
            <w:pPr>
              <w:spacing w:after="0"/>
              <w:rPr>
                <w:sz w:val="1"/>
                <w:szCs w:val="1"/>
                <w:color w:val="auto"/>
              </w:rPr>
            </w:pPr>
          </w:p>
        </w:tc>
      </w:tr>
      <w:tr>
        <w:trPr>
          <w:trHeight w:val="148"/>
        </w:trPr>
        <w:tc>
          <w:tcPr>
            <w:tcW w:w="5080" w:type="dxa"/>
            <w:vAlign w:val="bottom"/>
            <w:gridSpan w:val="2"/>
            <w:vMerge w:val="restart"/>
          </w:tcPr>
          <w:p>
            <w:pPr>
              <w:jc w:val="center"/>
              <w:ind w:right="240"/>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5080" w:type="dxa"/>
            <w:vAlign w:val="bottom"/>
            <w:gridSpan w:val="2"/>
            <w:vMerge w:val="continue"/>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1"/>
        </w:trPr>
        <w:tc>
          <w:tcPr>
            <w:tcW w:w="5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c>
          <w:tcPr>
            <w:tcW w:w="0" w:type="dxa"/>
            <w:vAlign w:val="bottom"/>
          </w:tcPr>
          <w:p>
            <w:pPr>
              <w:spacing w:after="0"/>
              <w:rPr>
                <w:sz w:val="1"/>
                <w:szCs w:val="1"/>
                <w:color w:val="auto"/>
              </w:rPr>
            </w:pPr>
          </w:p>
        </w:tc>
      </w:tr>
      <w:tr>
        <w:trPr>
          <w:trHeight w:val="783"/>
        </w:trPr>
        <w:tc>
          <w:tcPr>
            <w:tcW w:w="5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c>
          <w:tcPr>
            <w:tcW w:w="0" w:type="dxa"/>
            <w:vAlign w:val="bottom"/>
          </w:tcPr>
          <w:p>
            <w:pPr>
              <w:spacing w:after="0"/>
              <w:rPr>
                <w:sz w:val="1"/>
                <w:szCs w:val="1"/>
                <w:color w:val="auto"/>
              </w:rPr>
            </w:pPr>
          </w:p>
        </w:tc>
      </w:tr>
      <w:tr>
        <w:trPr>
          <w:trHeight w:val="783"/>
        </w:trPr>
        <w:tc>
          <w:tcPr>
            <w:tcW w:w="5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c>
          <w:tcPr>
            <w:tcW w:w="0" w:type="dxa"/>
            <w:vAlign w:val="bottom"/>
          </w:tcPr>
          <w:p>
            <w:pPr>
              <w:spacing w:after="0"/>
              <w:rPr>
                <w:sz w:val="1"/>
                <w:szCs w:val="1"/>
                <w:color w:val="auto"/>
              </w:rPr>
            </w:pPr>
          </w:p>
        </w:tc>
      </w:tr>
      <w:tr>
        <w:trPr>
          <w:trHeight w:val="783"/>
        </w:trPr>
        <w:tc>
          <w:tcPr>
            <w:tcW w:w="5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c>
          <w:tcPr>
            <w:tcW w:w="0" w:type="dxa"/>
            <w:vAlign w:val="bottom"/>
          </w:tcPr>
          <w:p>
            <w:pPr>
              <w:spacing w:after="0"/>
              <w:rPr>
                <w:sz w:val="1"/>
                <w:szCs w:val="1"/>
                <w:color w:val="auto"/>
              </w:rPr>
            </w:pPr>
          </w:p>
        </w:tc>
      </w:tr>
      <w:tr>
        <w:trPr>
          <w:trHeight w:val="783"/>
        </w:trPr>
        <w:tc>
          <w:tcPr>
            <w:tcW w:w="5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c>
          <w:tcPr>
            <w:tcW w:w="0" w:type="dxa"/>
            <w:vAlign w:val="bottom"/>
          </w:tcPr>
          <w:p>
            <w:pPr>
              <w:spacing w:after="0"/>
              <w:rPr>
                <w:sz w:val="1"/>
                <w:szCs w:val="1"/>
                <w:color w:val="auto"/>
              </w:rPr>
            </w:pPr>
          </w:p>
        </w:tc>
      </w:tr>
      <w:tr>
        <w:trPr>
          <w:trHeight w:val="783"/>
        </w:trPr>
        <w:tc>
          <w:tcPr>
            <w:tcW w:w="5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c>
          <w:tcPr>
            <w:tcW w:w="0" w:type="dxa"/>
            <w:vAlign w:val="bottom"/>
          </w:tcPr>
          <w:p>
            <w:pPr>
              <w:spacing w:after="0"/>
              <w:rPr>
                <w:sz w:val="1"/>
                <w:szCs w:val="1"/>
                <w:color w:val="auto"/>
              </w:rPr>
            </w:pPr>
          </w:p>
        </w:tc>
      </w:tr>
      <w:tr>
        <w:trPr>
          <w:trHeight w:val="783"/>
        </w:trPr>
        <w:tc>
          <w:tcPr>
            <w:tcW w:w="5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c>
          <w:tcPr>
            <w:tcW w:w="0" w:type="dxa"/>
            <w:vAlign w:val="bottom"/>
          </w:tcPr>
          <w:p>
            <w:pPr>
              <w:spacing w:after="0"/>
              <w:rPr>
                <w:sz w:val="1"/>
                <w:szCs w:val="1"/>
                <w:color w:val="auto"/>
              </w:rPr>
            </w:pPr>
          </w:p>
        </w:tc>
      </w:tr>
      <w:tr>
        <w:trPr>
          <w:trHeight w:val="783"/>
        </w:trPr>
        <w:tc>
          <w:tcPr>
            <w:tcW w:w="5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c>
          <w:tcPr>
            <w:tcW w:w="0" w:type="dxa"/>
            <w:vAlign w:val="bottom"/>
          </w:tcPr>
          <w:p>
            <w:pPr>
              <w:spacing w:after="0"/>
              <w:rPr>
                <w:sz w:val="1"/>
                <w:szCs w:val="1"/>
                <w:color w:val="auto"/>
              </w:rPr>
            </w:pPr>
          </w:p>
        </w:tc>
      </w:tr>
      <w:tr>
        <w:trPr>
          <w:trHeight w:val="783"/>
        </w:trPr>
        <w:tc>
          <w:tcPr>
            <w:tcW w:w="5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II-1</w:t>
      </w:r>
    </w:p>
    <w:p>
      <w:pPr>
        <w:sectPr>
          <w:pgSz w:w="11900" w:h="16838" w:orient="portrait"/>
          <w:cols w:equalWidth="0" w:num="2">
            <w:col w:w="2600" w:space="720"/>
            <w:col w:w="7020"/>
          </w:cols>
          <w:pgMar w:left="1220" w:top="1440" w:right="339" w:bottom="1440" w:gutter="0" w:footer="0" w:header="0"/>
        </w:sectPr>
      </w:pPr>
    </w:p>
    <w:bookmarkStart w:id="6" w:name="page7"/>
    <w:bookmarkEnd w:id="6"/>
    <w:p>
      <w:pPr>
        <w:ind w:left="10220"/>
        <w:spacing w:after="0"/>
        <w:rPr>
          <w:sz w:val="20"/>
          <w:szCs w:val="20"/>
          <w:color w:val="auto"/>
        </w:rPr>
      </w:pPr>
      <w:r>
        <w:rPr>
          <w:rFonts w:ascii="Arial" w:cs="Arial" w:eastAsia="Arial" w:hAnsi="Arial"/>
          <w:sz w:val="17"/>
          <w:szCs w:val="17"/>
          <w:b w:val="1"/>
          <w:bCs w:val="1"/>
          <w:color w:val="auto"/>
        </w:rPr>
        <w:t>Exhibit 107.1</w:t>
      </w:r>
    </w:p>
    <w:p>
      <w:pPr>
        <w:spacing w:after="0" w:line="220"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Calculation of Filing Fee Tables</w:t>
      </w:r>
    </w:p>
    <w:p>
      <w:pPr>
        <w:spacing w:after="0" w:line="160"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Form S-8</w:t>
      </w:r>
    </w:p>
    <w:p>
      <w:pPr>
        <w:ind w:left="5400"/>
        <w:spacing w:after="0"/>
        <w:rPr>
          <w:sz w:val="20"/>
          <w:szCs w:val="20"/>
          <w:color w:val="auto"/>
        </w:rPr>
      </w:pPr>
      <w:r>
        <w:rPr>
          <w:rFonts w:ascii="Arial" w:cs="Arial" w:eastAsia="Arial" w:hAnsi="Arial"/>
          <w:sz w:val="22"/>
          <w:szCs w:val="22"/>
          <w:color w:val="auto"/>
        </w:rPr>
        <w:t>(Form Type)</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AnaptysBio, Inc.</w:t>
      </w:r>
    </w:p>
    <w:p>
      <w:pPr>
        <w:jc w:val="center"/>
        <w:ind w:left="640"/>
        <w:spacing w:after="0"/>
        <w:rPr>
          <w:sz w:val="20"/>
          <w:szCs w:val="20"/>
          <w:color w:val="auto"/>
        </w:rPr>
      </w:pPr>
      <w:r>
        <w:rPr>
          <w:rFonts w:ascii="Arial" w:cs="Arial" w:eastAsia="Arial" w:hAnsi="Arial"/>
          <w:sz w:val="22"/>
          <w:szCs w:val="22"/>
          <w:color w:val="auto"/>
        </w:rPr>
        <w:t>(Exact Name of Registrant as Specified in its Charter)</w:t>
      </w:r>
    </w:p>
    <w:p>
      <w:pPr>
        <w:spacing w:after="0" w:line="12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Newly Registered Securities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920" w:type="dxa"/>
            <w:vAlign w:val="bottom"/>
            <w:tcBorders>
              <w:top w:val="single" w:sz="8" w:color="auto"/>
              <w:left w:val="single" w:sz="8" w:color="auto"/>
              <w:right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spacing w:after="0"/>
              <w:rPr>
                <w:sz w:val="21"/>
                <w:szCs w:val="21"/>
                <w:color w:val="auto"/>
              </w:rPr>
            </w:pPr>
          </w:p>
        </w:tc>
        <w:tc>
          <w:tcPr>
            <w:tcW w:w="1220" w:type="dxa"/>
            <w:vAlign w:val="bottom"/>
            <w:tcBorders>
              <w:top w:val="single" w:sz="8" w:color="auto"/>
              <w:right w:val="single" w:sz="8" w:color="auto"/>
            </w:tcBorders>
          </w:tcPr>
          <w:p>
            <w:pPr>
              <w:spacing w:after="0"/>
              <w:rPr>
                <w:sz w:val="21"/>
                <w:szCs w:val="21"/>
                <w:color w:val="auto"/>
              </w:rPr>
            </w:pPr>
          </w:p>
        </w:tc>
        <w:tc>
          <w:tcPr>
            <w:tcW w:w="1500" w:type="dxa"/>
            <w:vAlign w:val="bottom"/>
            <w:tcBorders>
              <w:top w:val="single" w:sz="8" w:color="auto"/>
              <w:right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Proposed</w:t>
            </w:r>
          </w:p>
        </w:tc>
        <w:tc>
          <w:tcPr>
            <w:tcW w:w="2220" w:type="dxa"/>
            <w:vAlign w:val="bottom"/>
            <w:tcBorders>
              <w:top w:val="single" w:sz="8" w:color="auto"/>
              <w:right w:val="single" w:sz="8" w:color="auto"/>
            </w:tcBorders>
          </w:tcPr>
          <w:p>
            <w:pPr>
              <w:spacing w:after="0"/>
              <w:rPr>
                <w:sz w:val="21"/>
                <w:szCs w:val="21"/>
                <w:color w:val="auto"/>
              </w:rPr>
            </w:pPr>
          </w:p>
        </w:tc>
        <w:tc>
          <w:tcPr>
            <w:tcW w:w="1420" w:type="dxa"/>
            <w:vAlign w:val="bottom"/>
            <w:tcBorders>
              <w:top w:val="single" w:sz="8" w:color="auto"/>
              <w:right w:val="single" w:sz="8" w:color="auto"/>
            </w:tcBorders>
          </w:tcPr>
          <w:p>
            <w:pPr>
              <w:spacing w:after="0"/>
              <w:rPr>
                <w:sz w:val="21"/>
                <w:szCs w:val="21"/>
                <w:color w:val="auto"/>
              </w:rPr>
            </w:pPr>
          </w:p>
        </w:tc>
        <w:tc>
          <w:tcPr>
            <w:tcW w:w="1620" w:type="dxa"/>
            <w:vAlign w:val="bottom"/>
            <w:tcBorders>
              <w:top w:val="single" w:sz="8" w:color="auto"/>
              <w:right w:val="single" w:sz="8" w:color="auto"/>
            </w:tcBorders>
          </w:tcPr>
          <w:p>
            <w:pPr>
              <w:spacing w:after="0"/>
              <w:rPr>
                <w:sz w:val="21"/>
                <w:szCs w:val="21"/>
                <w:color w:val="auto"/>
              </w:rPr>
            </w:pPr>
          </w:p>
        </w:tc>
      </w:tr>
      <w:tr>
        <w:trPr>
          <w:trHeight w:val="253"/>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Security</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Security Class</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Fee Calculation</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0"/>
              </w:rPr>
              <w:t xml:space="preserve">Amount Registered </w:t>
            </w:r>
            <w:r>
              <w:rPr>
                <w:rFonts w:ascii="Arial" w:cs="Arial" w:eastAsia="Arial" w:hAnsi="Arial"/>
                <w:sz w:val="21"/>
                <w:szCs w:val="21"/>
                <w:color w:val="auto"/>
                <w:w w:val="90"/>
                <w:vertAlign w:val="superscript"/>
              </w:rPr>
              <w:t>(1)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Maximum</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Maximum Aggregate Offering</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5"/>
              </w:rPr>
              <w:t>Fee Rate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Amount of Registration</w:t>
            </w:r>
          </w:p>
        </w:tc>
      </w:tr>
      <w:tr>
        <w:trPr>
          <w:trHeight w:val="152"/>
        </w:trPr>
        <w:tc>
          <w:tcPr>
            <w:tcW w:w="920" w:type="dxa"/>
            <w:vAlign w:val="bottom"/>
            <w:tcBorders>
              <w:left w:val="single" w:sz="8" w:color="auto"/>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9"/>
              </w:rPr>
              <w:t>Type</w:t>
            </w:r>
          </w:p>
        </w:tc>
        <w:tc>
          <w:tcPr>
            <w:tcW w:w="124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99"/>
              </w:rPr>
              <w:t>Title</w:t>
            </w:r>
          </w:p>
        </w:tc>
        <w:tc>
          <w:tcPr>
            <w:tcW w:w="122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97"/>
              </w:rPr>
              <w:t>Rule</w:t>
            </w:r>
          </w:p>
        </w:tc>
        <w:tc>
          <w:tcPr>
            <w:tcW w:w="15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96"/>
              </w:rPr>
              <w:t>Offering Price</w:t>
            </w:r>
          </w:p>
        </w:tc>
        <w:tc>
          <w:tcPr>
            <w:tcW w:w="222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7"/>
              </w:rPr>
              <w:t>Price</w:t>
            </w:r>
          </w:p>
        </w:tc>
        <w:tc>
          <w:tcPr>
            <w:tcW w:w="142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79"/>
              </w:rPr>
              <w:t>Fee</w:t>
            </w:r>
          </w:p>
        </w:tc>
      </w:tr>
      <w:tr>
        <w:trPr>
          <w:trHeight w:val="206"/>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Per Unit</w:t>
            </w: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40"/>
        </w:trPr>
        <w:tc>
          <w:tcPr>
            <w:tcW w:w="920" w:type="dxa"/>
            <w:vAlign w:val="bottom"/>
            <w:tcBorders>
              <w:left w:val="single" w:sz="8" w:color="auto"/>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20"/>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Equity</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Common Stock,</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Rule 457(c) and</w:t>
            </w:r>
          </w:p>
        </w:tc>
        <w:tc>
          <w:tcPr>
            <w:tcW w:w="1500" w:type="dxa"/>
            <w:vAlign w:val="bottom"/>
            <w:tcBorders>
              <w:right w:val="single" w:sz="8" w:color="auto"/>
            </w:tcBorders>
          </w:tcPr>
          <w:p>
            <w:pPr>
              <w:jc w:val="center"/>
              <w:ind w:right="259"/>
              <w:spacing w:after="0" w:line="220" w:lineRule="exact"/>
              <w:rPr>
                <w:sz w:val="20"/>
                <w:szCs w:val="20"/>
                <w:color w:val="auto"/>
              </w:rPr>
            </w:pPr>
            <w:r>
              <w:rPr>
                <w:rFonts w:ascii="Arial" w:cs="Arial" w:eastAsia="Arial" w:hAnsi="Arial"/>
                <w:sz w:val="16"/>
                <w:szCs w:val="16"/>
                <w:color w:val="auto"/>
              </w:rPr>
              <w:t xml:space="preserve">1,105,890 </w:t>
            </w:r>
            <w:r>
              <w:rPr>
                <w:rFonts w:ascii="Arial" w:cs="Arial" w:eastAsia="Arial" w:hAnsi="Arial"/>
                <w:sz w:val="21"/>
                <w:szCs w:val="21"/>
                <w:color w:val="auto"/>
                <w:vertAlign w:val="superscript"/>
              </w:rPr>
              <w:t>(2)</w:t>
            </w:r>
          </w:p>
        </w:tc>
        <w:tc>
          <w:tcPr>
            <w:tcW w:w="112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16"/>
                <w:szCs w:val="16"/>
                <w:color w:val="auto"/>
                <w:w w:val="87"/>
              </w:rPr>
              <w:t xml:space="preserve">$30.48 </w:t>
            </w:r>
            <w:r>
              <w:rPr>
                <w:rFonts w:ascii="Arial" w:cs="Arial" w:eastAsia="Arial" w:hAnsi="Arial"/>
                <w:sz w:val="21"/>
                <w:szCs w:val="21"/>
                <w:color w:val="auto"/>
                <w:w w:val="87"/>
                <w:vertAlign w:val="superscript"/>
              </w:rPr>
              <w:t>(3)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$33,707,527</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0.0000927</w:t>
            </w:r>
          </w:p>
        </w:tc>
        <w:tc>
          <w:tcPr>
            <w:tcW w:w="162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16"/>
                <w:szCs w:val="16"/>
                <w:color w:val="auto"/>
                <w:w w:val="87"/>
              </w:rPr>
              <w:t xml:space="preserve">$3,125 </w:t>
            </w:r>
            <w:r>
              <w:rPr>
                <w:rFonts w:ascii="Arial" w:cs="Arial" w:eastAsia="Arial" w:hAnsi="Arial"/>
                <w:sz w:val="21"/>
                <w:szCs w:val="21"/>
                <w:color w:val="auto"/>
                <w:w w:val="87"/>
                <w:vertAlign w:val="superscript"/>
              </w:rPr>
              <w:t>(4)</w:t>
            </w: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$0.001 par value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Rule 457(h)</w:t>
            </w: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per share,</w:t>
            </w:r>
          </w:p>
        </w:tc>
        <w:tc>
          <w:tcPr>
            <w:tcW w:w="12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reserved for</w:t>
            </w:r>
          </w:p>
        </w:tc>
        <w:tc>
          <w:tcPr>
            <w:tcW w:w="12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issuance pursuant</w:t>
            </w:r>
          </w:p>
        </w:tc>
        <w:tc>
          <w:tcPr>
            <w:tcW w:w="12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to the 2017</w:t>
            </w:r>
          </w:p>
        </w:tc>
        <w:tc>
          <w:tcPr>
            <w:tcW w:w="12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Equity Incentive</w:t>
            </w:r>
          </w:p>
        </w:tc>
        <w:tc>
          <w:tcPr>
            <w:tcW w:w="12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206"/>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Plan</w:t>
            </w:r>
          </w:p>
        </w:tc>
        <w:tc>
          <w:tcPr>
            <w:tcW w:w="12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40"/>
        </w:trPr>
        <w:tc>
          <w:tcPr>
            <w:tcW w:w="920" w:type="dxa"/>
            <w:vAlign w:val="bottom"/>
            <w:tcBorders>
              <w:left w:val="single" w:sz="8" w:color="auto"/>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20"/>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Equity</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Common Stock,</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Rule 457(c) and</w:t>
            </w:r>
          </w:p>
        </w:tc>
        <w:tc>
          <w:tcPr>
            <w:tcW w:w="1500" w:type="dxa"/>
            <w:vAlign w:val="bottom"/>
            <w:tcBorders>
              <w:right w:val="single" w:sz="8" w:color="auto"/>
            </w:tcBorders>
          </w:tcPr>
          <w:p>
            <w:pPr>
              <w:jc w:val="center"/>
              <w:ind w:right="319"/>
              <w:spacing w:after="0" w:line="220" w:lineRule="exact"/>
              <w:rPr>
                <w:sz w:val="20"/>
                <w:szCs w:val="20"/>
                <w:color w:val="auto"/>
              </w:rPr>
            </w:pPr>
            <w:r>
              <w:rPr>
                <w:rFonts w:ascii="Arial" w:cs="Arial" w:eastAsia="Arial" w:hAnsi="Arial"/>
                <w:sz w:val="16"/>
                <w:szCs w:val="16"/>
                <w:color w:val="auto"/>
              </w:rPr>
              <w:t xml:space="preserve">276,472 </w:t>
            </w:r>
            <w:r>
              <w:rPr>
                <w:rFonts w:ascii="Arial" w:cs="Arial" w:eastAsia="Arial" w:hAnsi="Arial"/>
                <w:sz w:val="21"/>
                <w:szCs w:val="21"/>
                <w:color w:val="auto"/>
                <w:vertAlign w:val="superscript"/>
              </w:rPr>
              <w:t>(4)</w:t>
            </w:r>
          </w:p>
        </w:tc>
        <w:tc>
          <w:tcPr>
            <w:tcW w:w="112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16"/>
                <w:szCs w:val="16"/>
                <w:color w:val="auto"/>
                <w:w w:val="87"/>
              </w:rPr>
              <w:t xml:space="preserve">$25.91 </w:t>
            </w:r>
            <w:r>
              <w:rPr>
                <w:rFonts w:ascii="Arial" w:cs="Arial" w:eastAsia="Arial" w:hAnsi="Arial"/>
                <w:sz w:val="21"/>
                <w:szCs w:val="21"/>
                <w:color w:val="auto"/>
                <w:w w:val="87"/>
                <w:vertAlign w:val="superscript"/>
              </w:rPr>
              <w:t>(5)</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$7,163,390</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0.0000927</w:t>
            </w:r>
          </w:p>
        </w:tc>
        <w:tc>
          <w:tcPr>
            <w:tcW w:w="162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16"/>
                <w:szCs w:val="16"/>
                <w:color w:val="auto"/>
                <w:w w:val="87"/>
              </w:rPr>
              <w:t xml:space="preserve">$664 </w:t>
            </w:r>
            <w:r>
              <w:rPr>
                <w:rFonts w:ascii="Arial" w:cs="Arial" w:eastAsia="Arial" w:hAnsi="Arial"/>
                <w:sz w:val="21"/>
                <w:szCs w:val="21"/>
                <w:color w:val="auto"/>
                <w:w w:val="87"/>
                <w:vertAlign w:val="superscript"/>
              </w:rPr>
              <w:t>(4)</w:t>
            </w: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$0.001 par value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Rule 457(h)</w:t>
            </w: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per share,</w:t>
            </w:r>
          </w:p>
        </w:tc>
        <w:tc>
          <w:tcPr>
            <w:tcW w:w="12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reserved for</w:t>
            </w:r>
          </w:p>
        </w:tc>
        <w:tc>
          <w:tcPr>
            <w:tcW w:w="12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202"/>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issuance pursuant</w:t>
            </w:r>
          </w:p>
        </w:tc>
        <w:tc>
          <w:tcPr>
            <w:tcW w:w="12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to the 2017</w:t>
            </w:r>
          </w:p>
        </w:tc>
        <w:tc>
          <w:tcPr>
            <w:tcW w:w="12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203"/>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Equity Stock</w:t>
            </w:r>
          </w:p>
        </w:tc>
        <w:tc>
          <w:tcPr>
            <w:tcW w:w="12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206"/>
        </w:trPr>
        <w:tc>
          <w:tcPr>
            <w:tcW w:w="92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Purchase Plan</w:t>
            </w:r>
          </w:p>
        </w:tc>
        <w:tc>
          <w:tcPr>
            <w:tcW w:w="12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40"/>
        </w:trPr>
        <w:tc>
          <w:tcPr>
            <w:tcW w:w="920" w:type="dxa"/>
            <w:vAlign w:val="bottom"/>
            <w:tcBorders>
              <w:left w:val="single" w:sz="8" w:color="auto"/>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24"/>
        </w:trPr>
        <w:tc>
          <w:tcPr>
            <w:tcW w:w="920" w:type="dxa"/>
            <w:vAlign w:val="bottom"/>
            <w:tcBorders>
              <w:left w:val="single" w:sz="8" w:color="auto"/>
            </w:tcBorders>
          </w:tcPr>
          <w:p>
            <w:pPr>
              <w:spacing w:after="0"/>
              <w:rPr>
                <w:sz w:val="19"/>
                <w:szCs w:val="19"/>
                <w:color w:val="auto"/>
              </w:rPr>
            </w:pPr>
          </w:p>
        </w:tc>
        <w:tc>
          <w:tcPr>
            <w:tcW w:w="2460" w:type="dxa"/>
            <w:vAlign w:val="bottom"/>
            <w:gridSpan w:val="2"/>
          </w:tcPr>
          <w:p>
            <w:pPr>
              <w:jc w:val="center"/>
              <w:ind w:left="479"/>
              <w:spacing w:after="0"/>
              <w:rPr>
                <w:sz w:val="20"/>
                <w:szCs w:val="20"/>
                <w:color w:val="auto"/>
              </w:rPr>
            </w:pPr>
            <w:r>
              <w:rPr>
                <w:rFonts w:ascii="Arial" w:cs="Arial" w:eastAsia="Arial" w:hAnsi="Arial"/>
                <w:sz w:val="16"/>
                <w:szCs w:val="16"/>
                <w:b w:val="1"/>
                <w:bCs w:val="1"/>
                <w:color w:val="auto"/>
                <w:w w:val="92"/>
              </w:rPr>
              <w:t>Total Offering Amounts</w:t>
            </w:r>
          </w:p>
        </w:tc>
        <w:tc>
          <w:tcPr>
            <w:tcW w:w="15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$40,870,917</w:t>
            </w:r>
          </w:p>
        </w:tc>
        <w:tc>
          <w:tcPr>
            <w:tcW w:w="142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$3,789</w:t>
            </w:r>
          </w:p>
        </w:tc>
      </w:tr>
      <w:tr>
        <w:trPr>
          <w:trHeight w:val="40"/>
        </w:trPr>
        <w:tc>
          <w:tcPr>
            <w:tcW w:w="920" w:type="dxa"/>
            <w:vAlign w:val="bottom"/>
            <w:tcBorders>
              <w:left w:val="single" w:sz="8" w:color="auto"/>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23"/>
        </w:trPr>
        <w:tc>
          <w:tcPr>
            <w:tcW w:w="920" w:type="dxa"/>
            <w:vAlign w:val="bottom"/>
            <w:tcBorders>
              <w:left w:val="single" w:sz="8" w:color="auto"/>
            </w:tcBorders>
          </w:tcPr>
          <w:p>
            <w:pPr>
              <w:spacing w:after="0"/>
              <w:rPr>
                <w:sz w:val="19"/>
                <w:szCs w:val="19"/>
                <w:color w:val="auto"/>
              </w:rPr>
            </w:pPr>
          </w:p>
        </w:tc>
        <w:tc>
          <w:tcPr>
            <w:tcW w:w="2460" w:type="dxa"/>
            <w:vAlign w:val="bottom"/>
            <w:gridSpan w:val="2"/>
          </w:tcPr>
          <w:p>
            <w:pPr>
              <w:jc w:val="center"/>
              <w:ind w:left="499"/>
              <w:spacing w:after="0"/>
              <w:rPr>
                <w:sz w:val="20"/>
                <w:szCs w:val="20"/>
                <w:color w:val="auto"/>
              </w:rPr>
            </w:pPr>
            <w:r>
              <w:rPr>
                <w:rFonts w:ascii="Arial" w:cs="Arial" w:eastAsia="Arial" w:hAnsi="Arial"/>
                <w:sz w:val="16"/>
                <w:szCs w:val="16"/>
                <w:b w:val="1"/>
                <w:bCs w:val="1"/>
                <w:color w:val="auto"/>
                <w:w w:val="89"/>
              </w:rPr>
              <w:t>Total Fee Offsets</w:t>
            </w:r>
          </w:p>
        </w:tc>
        <w:tc>
          <w:tcPr>
            <w:tcW w:w="15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40"/>
        </w:trPr>
        <w:tc>
          <w:tcPr>
            <w:tcW w:w="920" w:type="dxa"/>
            <w:vAlign w:val="bottom"/>
            <w:tcBorders>
              <w:left w:val="single" w:sz="8" w:color="auto"/>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23"/>
        </w:trPr>
        <w:tc>
          <w:tcPr>
            <w:tcW w:w="920" w:type="dxa"/>
            <w:vAlign w:val="bottom"/>
            <w:tcBorders>
              <w:left w:val="single" w:sz="8" w:color="auto"/>
            </w:tcBorders>
          </w:tcPr>
          <w:p>
            <w:pPr>
              <w:spacing w:after="0"/>
              <w:rPr>
                <w:sz w:val="19"/>
                <w:szCs w:val="19"/>
                <w:color w:val="auto"/>
              </w:rPr>
            </w:pPr>
          </w:p>
        </w:tc>
        <w:tc>
          <w:tcPr>
            <w:tcW w:w="2460" w:type="dxa"/>
            <w:vAlign w:val="bottom"/>
            <w:gridSpan w:val="2"/>
          </w:tcPr>
          <w:p>
            <w:pPr>
              <w:jc w:val="center"/>
              <w:ind w:left="499"/>
              <w:spacing w:after="0"/>
              <w:rPr>
                <w:sz w:val="20"/>
                <w:szCs w:val="20"/>
                <w:color w:val="auto"/>
              </w:rPr>
            </w:pPr>
            <w:r>
              <w:rPr>
                <w:rFonts w:ascii="Arial" w:cs="Arial" w:eastAsia="Arial" w:hAnsi="Arial"/>
                <w:sz w:val="16"/>
                <w:szCs w:val="16"/>
                <w:b w:val="1"/>
                <w:bCs w:val="1"/>
                <w:color w:val="auto"/>
                <w:w w:val="90"/>
              </w:rPr>
              <w:t>Net Fee Due</w:t>
            </w:r>
          </w:p>
        </w:tc>
        <w:tc>
          <w:tcPr>
            <w:tcW w:w="15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$3,789</w:t>
            </w:r>
          </w:p>
        </w:tc>
      </w:tr>
      <w:tr>
        <w:trPr>
          <w:trHeight w:val="40"/>
        </w:trPr>
        <w:tc>
          <w:tcPr>
            <w:tcW w:w="920" w:type="dxa"/>
            <w:vAlign w:val="bottom"/>
            <w:tcBorders>
              <w:left w:val="single" w:sz="8" w:color="auto"/>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67" w:lineRule="exact"/>
        <w:rPr>
          <w:sz w:val="20"/>
          <w:szCs w:val="20"/>
          <w:color w:val="auto"/>
        </w:rPr>
      </w:pPr>
    </w:p>
    <w:p>
      <w:pPr>
        <w:ind w:left="340" w:right="20" w:hanging="332"/>
        <w:spacing w:after="0" w:line="224" w:lineRule="auto"/>
        <w:tabs>
          <w:tab w:leader="none" w:pos="228"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(the “Securities Act”), this Registration Statement shall also cover any additional shares of the Registrant’s Common Stock that becomes issuable under the Registrant’s 2017 Equity Incentive Plan by reason of any stock dividend, stock split, recapitalization or other similar transaction effected without the receipt of consideration that increases the number of the Registrant’s outstanding shares of Common Stock.</w:t>
      </w:r>
    </w:p>
    <w:p>
      <w:pPr>
        <w:spacing w:after="0" w:line="8"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additional shares reserved for issuance under the 2017 Equity Incentive Plan as of the date of this Registration Statement.</w:t>
      </w:r>
    </w:p>
    <w:p>
      <w:pPr>
        <w:spacing w:after="0" w:line="28" w:lineRule="exact"/>
        <w:rPr>
          <w:rFonts w:ascii="Arial" w:cs="Arial" w:eastAsia="Arial" w:hAnsi="Arial"/>
          <w:sz w:val="14"/>
          <w:szCs w:val="14"/>
          <w:color w:val="auto"/>
        </w:rPr>
      </w:pPr>
    </w:p>
    <w:p>
      <w:pPr>
        <w:ind w:left="340" w:right="40" w:hanging="332"/>
        <w:spacing w:after="0" w:line="236" w:lineRule="auto"/>
        <w:tabs>
          <w:tab w:leader="none" w:pos="222"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solely for the purposes of this offering under Rules 457(c) and (h) of the Securities Act on the basis of the average of the high and low prices of the Registrant’s Common Stock as reported on the Nasdaq Global Market on February 28, 2022.</w:t>
      </w:r>
    </w:p>
    <w:p>
      <w:pPr>
        <w:spacing w:after="0" w:line="7"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additional shares reserved for issuance under the 2017 Employee Stock Purchase Plan as of the date of this Registration Statement.</w:t>
      </w:r>
    </w:p>
    <w:p>
      <w:pPr>
        <w:spacing w:after="0" w:line="68" w:lineRule="exact"/>
        <w:rPr>
          <w:rFonts w:ascii="Arial" w:cs="Arial" w:eastAsia="Arial" w:hAnsi="Arial"/>
          <w:sz w:val="14"/>
          <w:szCs w:val="14"/>
          <w:color w:val="auto"/>
        </w:rPr>
      </w:pPr>
    </w:p>
    <w:p>
      <w:pPr>
        <w:ind w:left="340" w:right="20" w:hanging="332"/>
        <w:spacing w:after="0" w:line="224" w:lineRule="auto"/>
        <w:tabs>
          <w:tab w:leader="none" w:pos="229"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solely for the purposes of this offering under Rules 457(c) and (h) of the Securities Act on the basis of the average of the high and low prices of the Registrant’s Common Stock as reported on the Nasdaq Global Market on February 28, 2022. In the case of the 2017 Employee Stock Purchase Plan, this price per share is multiplied by 85%, which is the percentage of the price per share applicable to purchases under the 2017 Employee Stock Purchase Plan.</w:t>
      </w:r>
    </w:p>
    <w:p>
      <w:pPr>
        <w:sectPr>
          <w:pgSz w:w="11900" w:h="16838" w:orient="portrait"/>
          <w:cols w:equalWidth="0" w:num="1">
            <w:col w:w="11260"/>
          </w:cols>
          <w:pgMar w:left="320" w:top="1404"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368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6830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5.01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7, 2022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03" w:lineRule="auto"/>
        <w:rPr>
          <w:sz w:val="20"/>
          <w:szCs w:val="20"/>
          <w:color w:val="auto"/>
        </w:rPr>
      </w:pPr>
      <w:r>
        <w:rPr>
          <w:rFonts w:ascii="Arial" w:cs="Arial" w:eastAsia="Arial" w:hAnsi="Arial"/>
          <w:sz w:val="18"/>
          <w:szCs w:val="18"/>
          <w:color w:val="auto"/>
        </w:rPr>
        <w:t>10770 Wateridge Circle</w:t>
      </w:r>
    </w:p>
    <w:p>
      <w:pPr>
        <w:spacing w:after="0" w:line="203" w:lineRule="auto"/>
        <w:rPr>
          <w:sz w:val="20"/>
          <w:szCs w:val="20"/>
          <w:color w:val="auto"/>
        </w:rPr>
      </w:pPr>
      <w:r>
        <w:rPr>
          <w:rFonts w:ascii="Arial" w:cs="Arial" w:eastAsia="Arial" w:hAnsi="Arial"/>
          <w:sz w:val="18"/>
          <w:szCs w:val="18"/>
          <w:color w:val="auto"/>
        </w:rPr>
        <w:t>Suite 210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counsel to AnaptysBio,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have examined the Registration Statement on Form S-8 to be filed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or about March 7, 2022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 connection with the registration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an aggregate of 1,382,362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Common Stock, $0.001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subject to issuance by the Company (a) upon the exercise or settlement of awards (including any stock option, restricted stock, stock bonus, stock appreciation right, restricted stock unit or award of performance shares) granted or to be granted under the 2017 Equity Incentive Plan (the “</w:t>
      </w:r>
      <w:r>
        <w:rPr>
          <w:rFonts w:ascii="Arial" w:cs="Arial" w:eastAsia="Arial" w:hAnsi="Arial"/>
          <w:sz w:val="16"/>
          <w:szCs w:val="16"/>
          <w:b w:val="1"/>
          <w:bCs w:val="1"/>
          <w:i w:val="1"/>
          <w:iCs w:val="1"/>
          <w:color w:val="auto"/>
        </w:rPr>
        <w:t>EIP</w:t>
      </w:r>
      <w:r>
        <w:rPr>
          <w:rFonts w:ascii="Arial" w:cs="Arial" w:eastAsia="Arial" w:hAnsi="Arial"/>
          <w:sz w:val="16"/>
          <w:szCs w:val="16"/>
          <w:color w:val="auto"/>
        </w:rPr>
        <w:t>”) and (b) pursuant to purchase rights granted or to be granted under the Company’s 2017 Employee Stock Purchase Plan (the “</w:t>
      </w:r>
      <w:r>
        <w:rPr>
          <w:rFonts w:ascii="Arial" w:cs="Arial" w:eastAsia="Arial" w:hAnsi="Arial"/>
          <w:sz w:val="16"/>
          <w:szCs w:val="16"/>
          <w:b w:val="1"/>
          <w:bCs w:val="1"/>
          <w:i w:val="1"/>
          <w:iCs w:val="1"/>
          <w:color w:val="auto"/>
        </w:rPr>
        <w:t>ESPP</w:t>
      </w:r>
      <w:r>
        <w:rPr>
          <w:rFonts w:ascii="Arial" w:cs="Arial" w:eastAsia="Arial" w:hAnsi="Arial"/>
          <w:sz w:val="16"/>
          <w:szCs w:val="16"/>
          <w:color w:val="auto"/>
        </w:rPr>
        <w:t>”). The plans referred to in clauses (a) through (b) above are collectively referred to in this letter as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At your request we are providing this letter to express our opinion on the matters set forth below in this letter (“</w:t>
      </w:r>
      <w:r>
        <w:rPr>
          <w:rFonts w:ascii="Arial" w:cs="Arial" w:eastAsia="Arial" w:hAnsi="Arial"/>
          <w:sz w:val="16"/>
          <w:szCs w:val="16"/>
          <w:b w:val="1"/>
          <w:bCs w:val="1"/>
          <w:i w:val="1"/>
          <w:iCs w:val="1"/>
          <w:color w:val="auto"/>
        </w:rPr>
        <w:t>our opinion</w:t>
      </w:r>
      <w:r>
        <w:rPr>
          <w:rFonts w:ascii="Arial" w:cs="Arial" w:eastAsia="Arial" w:hAnsi="Arial"/>
          <w:sz w:val="16"/>
          <w:szCs w:val="16"/>
          <w:color w:val="auto"/>
        </w:rPr>
        <w:t>”).</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our opinion expressed below we have examined originals or copies of the Company’s certificate of incorporation and bylaws, certain corporate proceedings of the Company’s board of directors and stockholders relating to the Registration Statement, the Plans and the Company’s current certificate of incorporation and bylaws, and such other agreements, documents, certificates and statements of the Company, its transfer agent and public or governmental officials, as we have deemed advisable, and have examined such questions of law as we have considered necessary. We have assumed the authenticity of all documents submitted to us as originals, the genuineness of all signatures on documents submitted to us, the conformity to originals of all documents submitted to us as copies, and the absence of any undisclosed termination, waiver or amendment to any document reviewed by us. In giving our opinion, we have also relied upon a good standing certificate regarding the Company issued by the Delaware Secretary of State and representations made to us by the Company, including representations that the Company has 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render this opinion only with respect to, and we express no opinion herein concerning the application or effect of the laws of any jurisdiction other than, the existing Delaware General Corporation Law.</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Based upon, and subject to, the foregoing, it is our opinion that when the 1,382,362 Shares of Common Stock that may be issued and sold by the Company (a) upon the exercise or settlement of awards (including any stock option, restricted stock, stock bonus, stock appreciation right, restricted stock unit or award of performance shares) granted or to be granted under the EIP and (b) pursuant to purchase rights granted or to be granted under the ESPP, have been issued and sold by the Company against the Company’s receipt of payment therefor (in an amount and type of consideration not less than the par value per Share) in accordance with the terms (including payment provisions) of the applicable Plan and have been duly registered on the books of the transfer agent and registrar for the Shares in the name or on behalf of the holders thereof, such Shares will be validly issued, fully paid and non-assessable.</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all references to us, if any, in the Registration Statement, the prospectus constituting a part thereof and any amendments</w:t>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368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68300"/>
                    </a:xfrm>
                    <a:prstGeom prst="rect">
                      <a:avLst/>
                    </a:prstGeom>
                    <a:noFill/>
                  </pic:spPr>
                </pic:pic>
              </a:graphicData>
            </a:graphic>
          </wp:anchor>
        </w:drawing>
        <w:t>thereto. We do not thereby admit that we are within the category of persons whose consent is required under Section 7 of the Securities Act or the rules and regulations of the Commission thereunder.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opinion is intended solely for use in connection with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Fenwick &amp; West LLP</w:t>
      </w:r>
    </w:p>
    <w:p>
      <w:pPr>
        <w:spacing w:after="0" w:line="39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FENWICK &amp; WEST LLP</w:t>
      </w:r>
    </w:p>
    <w:p>
      <w:pPr>
        <w:sectPr>
          <w:pgSz w:w="11900" w:h="16838" w:orient="portrait"/>
          <w:cols w:equalWidth="0" w:num="1">
            <w:col w:w="11240"/>
          </w:cols>
          <w:pgMar w:left="320" w:top="14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00" w:lineRule="exact"/>
        <w:rPr>
          <w:sz w:val="20"/>
          <w:szCs w:val="20"/>
          <w:color w:val="auto"/>
        </w:rPr>
      </w:pPr>
    </w:p>
    <w:p>
      <w:pPr>
        <w:spacing w:after="0" w:line="2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consent to the use of our report dated March 7, 2022, with respect to the consolidated financial statements of AnaptysBio, Inc., incorporated herein by reference.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2022</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jpeg"/><Relationship Id="rId31" Type="http://schemas.openxmlformats.org/officeDocument/2006/relationships/image" Target="media/image19.jpeg"/><Relationship Id="rId13" Type="http://schemas.openxmlformats.org/officeDocument/2006/relationships/hyperlink" Target="http://www.sec.gov/Archives/edgar/data/1370053/000137005317000005/anab-033117x10qxexx31.htm" TargetMode="External"/><Relationship Id="rId14" Type="http://schemas.openxmlformats.org/officeDocument/2006/relationships/hyperlink" Target="http://www.sec.gov/Archives/edgar/data/1370053/000119312515315918/d942137dex34.htm" TargetMode="External"/><Relationship Id="rId15" Type="http://schemas.openxmlformats.org/officeDocument/2006/relationships/hyperlink" Target="http://www.sec.gov/Archives/edgar/data/1370053/000119312515412604/d942137dex41.htm" TargetMode="External"/><Relationship Id="rId16" Type="http://schemas.openxmlformats.org/officeDocument/2006/relationships/hyperlink" Target="http://www.sec.gov/Archives/edgar/data/1370053/000119312517010405/d320192dex103.htm" TargetMode="External"/><Relationship Id="rId17" Type="http://schemas.openxmlformats.org/officeDocument/2006/relationships/hyperlink" Target="http://www.sec.gov/Archives/edgar/data/1370053/000119312517010405/d320192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2022-03-07T08:04:16Z</dcterms:created>
  <dcterms:modified xsi:type="dcterms:W3CDTF">2022-03-07T08:04:16Z</dcterms:modified>
</cp:coreProperties>
</file>