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nab-20260512.htm"/>
      <w:bookmarkStart w:id="1" w:name="ksanab202605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ANAPTYSBIO,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071"/>
        <w:gridCol w:w="977"/>
        <w:gridCol w:w="982"/>
        <w:gridCol w:w="1846"/>
        <w:gridCol w:w="1336"/>
      </w:tblGrid>
      <w:tr>
        <w:trPr/>
        <w:tc>
          <w:tcPr>
            <w:tcW w:w="10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20-3828755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10770 Wateridge Circle, 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362-6295</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2.02 Results of Operations and Financial Condition.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On May 12, 2026, AnaptysBio, Inc. (“AnaptysBio”) issued a press release announcing its financial results for the three months ended March 31, 2026. A copy of the press release is attached as Exhibit 99.1 to this Current Report on Form 8-K.</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9.01 Financial Statements and Exhibits.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1409"/>
        <w:gridCol w:w="8796"/>
      </w:tblGrid>
      <w:tr>
        <w:trPr/>
        <w:tc>
          <w:tcPr>
            <w:tcW w:w="1409" w:type="dxa"/>
            <w:tcBorders/>
            <w:vAlign w:val="center"/>
          </w:tcPr>
          <w:p>
            <w:pPr>
              <w:pStyle w:val="TableContents"/>
              <w:bidi w:val="0"/>
              <w:spacing w:before="0" w:after="283"/>
              <w:jc w:val="left"/>
              <w:rPr>
                <w:sz w:val="4"/>
                <w:szCs w:val="4"/>
              </w:rPr>
            </w:pPr>
            <w:r>
              <w:rPr>
                <w:sz w:val="4"/>
                <w:szCs w:val="4"/>
              </w:rPr>
            </w:r>
          </w:p>
        </w:tc>
        <w:tc>
          <w:tcPr>
            <w:tcW w:w="8796" w:type="dxa"/>
            <w:tcBorders/>
            <w:vAlign w:val="center"/>
          </w:tcPr>
          <w:p>
            <w:pPr>
              <w:pStyle w:val="TableContents"/>
              <w:bidi w:val="0"/>
              <w:spacing w:before="0" w:after="283"/>
              <w:jc w:val="left"/>
              <w:rPr>
                <w:sz w:val="4"/>
                <w:szCs w:val="4"/>
              </w:rPr>
            </w:pPr>
            <w:r>
              <w:rPr>
                <w:sz w:val="4"/>
                <w:szCs w:val="4"/>
              </w:rPr>
            </w:r>
          </w:p>
        </w:tc>
      </w:tr>
      <w:tr>
        <w:trPr/>
        <w:tc>
          <w:tcPr>
            <w:tcW w:w="1409"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2"/>
              </w:rPr>
            </w:pPr>
            <w:r>
              <w:rPr>
                <w:rFonts w:ascii="Times New Roman" w:hAnsi="Times New Roman"/>
                <w:b/>
                <w:color w:val="000000"/>
                <w:sz w:val="22"/>
              </w:rPr>
              <w:t>Exhibit Number</w:t>
            </w:r>
          </w:p>
        </w:tc>
        <w:tc>
          <w:tcPr>
            <w:tcW w:w="879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2"/>
              </w:rPr>
            </w:pPr>
            <w:r>
              <w:rPr>
                <w:rFonts w:ascii="Times New Roman" w:hAnsi="Times New Roman"/>
                <w:b/>
                <w:color w:val="000000"/>
                <w:sz w:val="22"/>
              </w:rPr>
              <w:t>Exhibit Title or Description</w:t>
            </w:r>
          </w:p>
        </w:tc>
      </w:tr>
      <w:tr>
        <w:trPr/>
        <w:tc>
          <w:tcPr>
            <w:tcW w:w="1409" w:type="dxa"/>
            <w:tcBorders/>
            <w:tcMar>
              <w:top w:w="0" w:type="dxa"/>
              <w:left w:w="0" w:type="dxa"/>
              <w:bottom w:w="0" w:type="dxa"/>
              <w:right w:w="0" w:type="dxa"/>
            </w:tcMar>
            <w:vAlign w:val="center"/>
          </w:tcPr>
          <w:p>
            <w:pPr>
              <w:pStyle w:val="TableContents"/>
              <w:bidi w:val="0"/>
              <w:spacing w:before="53" w:after="30"/>
              <w:jc w:val="left"/>
              <w:rPr/>
            </w:pPr>
            <w:hyperlink w:anchor="anab-ex99_1.htm">
              <w:r>
                <w:rPr>
                  <w:rStyle w:val="InternetLink"/>
                  <w:rFonts w:ascii="Times New Roman" w:hAnsi="Times New Roman"/>
                  <w:color w:val="0000FF"/>
                  <w:sz w:val="22"/>
                  <w:u w:val="single"/>
                </w:rPr>
                <w:t>99.1</w:t>
              </w:r>
            </w:hyperlink>
          </w:p>
        </w:tc>
        <w:tc>
          <w:tcPr>
            <w:tcW w:w="879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Press release issued by AnaptysBio, Inc. regarding its financial results for the three months ended March 31, 2026, dated May 12, 2026.</w:t>
            </w:r>
          </w:p>
        </w:tc>
      </w:tr>
      <w:tr>
        <w:trPr/>
        <w:tc>
          <w:tcPr>
            <w:tcW w:w="1409"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104</w:t>
            </w:r>
          </w:p>
        </w:tc>
        <w:tc>
          <w:tcPr>
            <w:tcW w:w="879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Cover Page Interactive Data File (the cover page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94" w:type="dxa"/>
        <w:jc w:val="left"/>
        <w:tblInd w:w="0" w:type="dxa"/>
        <w:tblLayout w:type="fixed"/>
        <w:tblCellMar>
          <w:top w:w="28" w:type="dxa"/>
          <w:left w:w="28" w:type="dxa"/>
          <w:bottom w:w="28" w:type="dxa"/>
          <w:right w:w="28" w:type="dxa"/>
        </w:tblCellMar>
      </w:tblPr>
      <w:tblGrid>
        <w:gridCol w:w="616"/>
        <w:gridCol w:w="1426"/>
        <w:gridCol w:w="496"/>
        <w:gridCol w:w="2656"/>
      </w:tblGrid>
      <w:tr>
        <w:trPr/>
        <w:tc>
          <w:tcPr>
            <w:tcW w:w="6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2"/>
              </w:rPr>
            </w:pPr>
            <w:r>
              <w:rPr>
                <w:rFonts w:ascii="Times New Roman" w:hAnsi="Times New Roman"/>
                <w:color w:val="000000"/>
                <w:sz w:val="22"/>
              </w:rPr>
              <w:t>AnaptysBio, Inc.</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4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May 12, 2026</w:t>
            </w:r>
          </w:p>
        </w:tc>
        <w:tc>
          <w:tcPr>
            <w:tcW w:w="4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26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/s/Christopher M. Murphy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Christopher M. Murphy</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nab-ex99_1.htm"/>
      <w:bookmarkStart w:id="3" w:name="ksanabex99_1"/>
      <w:bookmarkEnd w:id="2"/>
      <w:bookmarkEnd w:id="3"/>
      <w:r>
        <w:rPr/>
        <w:t> </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Anaptys Announces First Quarter 2026 Financial Results and Provides Business Update</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Completed spin-off of First Tracks Biotherapeutics, Inc., its former biopharma operations business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2"/>
        </w:rPr>
        <w:t xml:space="preserve">Now exclusively manages the financial collaborations for </w:t>
      </w:r>
      <w:r>
        <w:rPr>
          <w:rFonts w:ascii="Times New Roman" w:hAnsi="Times New Roman"/>
          <w:i/>
          <w:color w:val="000000"/>
          <w:sz w:val="22"/>
        </w:rPr>
        <w:t>Jemperli</w:t>
      </w:r>
      <w:r>
        <w:rPr>
          <w:color w:val="000000"/>
        </w:rPr>
        <w:t xml:space="preserve"> </w:t>
      </w:r>
      <w:r>
        <w:rPr>
          <w:rFonts w:ascii="Times New Roman" w:hAnsi="Times New Roman"/>
          <w:color w:val="000000"/>
          <w:sz w:val="22"/>
        </w:rPr>
        <w:t>with GSK and imsidolimab with Vanda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Announced appointment of Chris Murphy as CFO</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Announced appointments of Susannah Gray, former CFO of Royalty Pharma, and Owen Hughes, current CEO of XOMA Royalty, to its Board of Directors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SAN DIEGO, CA — May 12, 2026 — </w:t>
      </w:r>
      <w:r>
        <w:rPr>
          <w:rFonts w:ascii="Times New Roman" w:hAnsi="Times New Roman"/>
          <w:color w:val="000000"/>
          <w:sz w:val="22"/>
        </w:rPr>
        <w:t xml:space="preserve">AnaptysBio, Inc. (Nasdaq: ANAB), a company focused on managing the financial collaborations for </w:t>
      </w:r>
      <w:r>
        <w:rPr>
          <w:rFonts w:ascii="Times New Roman" w:hAnsi="Times New Roman"/>
          <w:i/>
          <w:color w:val="000000"/>
          <w:sz w:val="22"/>
        </w:rPr>
        <w:t>Jemperli</w:t>
      </w:r>
      <w:r>
        <w:rPr>
          <w:rFonts w:ascii="Times New Roman" w:hAnsi="Times New Roman"/>
          <w:color w:val="000000"/>
          <w:sz w:val="20"/>
        </w:rPr>
        <w:t xml:space="preserve"> </w:t>
      </w:r>
      <w:r>
        <w:rPr>
          <w:rFonts w:ascii="Times New Roman" w:hAnsi="Times New Roman"/>
          <w:color w:val="000000"/>
          <w:sz w:val="22"/>
        </w:rPr>
        <w:t>with GSK and imsidolimab with Vanda, today reported financial results for the first quarter ended March 31, 2026, and provided a business update.</w:t>
      </w:r>
    </w:p>
    <w:p>
      <w:pPr>
        <w:pStyle w:val="TextBody"/>
        <w:bidi w:val="0"/>
        <w:spacing w:before="0" w:after="240"/>
        <w:jc w:val="left"/>
        <w:rPr/>
      </w:pPr>
      <w:r>
        <w:rPr>
          <w:color w:val="000000"/>
        </w:rPr>
        <w:t>“</w:t>
      </w:r>
      <w:r>
        <w:rPr>
          <w:rFonts w:ascii="Times New Roman" w:hAnsi="Times New Roman"/>
          <w:color w:val="000000"/>
          <w:sz w:val="22"/>
        </w:rPr>
        <w:t xml:space="preserve">Following the completion of the spin-off of First Tracks Bio in late April, Anaptys now exclusively manages the financial collaborations for </w:t>
      </w:r>
      <w:r>
        <w:rPr>
          <w:rFonts w:ascii="Times New Roman" w:hAnsi="Times New Roman"/>
          <w:i/>
          <w:color w:val="000000"/>
          <w:sz w:val="22"/>
        </w:rPr>
        <w:t>Jemperli</w:t>
      </w:r>
      <w:r>
        <w:rPr>
          <w:rFonts w:ascii="Times New Roman" w:hAnsi="Times New Roman"/>
          <w:color w:val="000000"/>
          <w:sz w:val="20"/>
        </w:rPr>
        <w:t xml:space="preserve"> </w:t>
      </w:r>
      <w:r>
        <w:rPr>
          <w:rFonts w:ascii="Times New Roman" w:hAnsi="Times New Roman"/>
          <w:color w:val="000000"/>
          <w:sz w:val="22"/>
        </w:rPr>
        <w:t>and imsidolimab, with streamlined operations requiring limited FTEs, minimal operating expenses and delivering an EBIT margin greater than 95%,” said Daniel Faga, president and chief executive officer. “With Chris Murphy joining as CFO, who brings deep business development and investment banking experience, our priority continues to be to protect our two royalty streams and return their value to shareholders.”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GSK </w:t>
      </w:r>
      <w:r>
        <w:rPr>
          <w:rFonts w:ascii="Times New Roman" w:hAnsi="Times New Roman"/>
          <w:b/>
          <w:i/>
          <w:color w:val="000000"/>
          <w:sz w:val="22"/>
        </w:rPr>
        <w:t>Jemperli</w:t>
      </w:r>
      <w:r>
        <w:rPr>
          <w:rFonts w:ascii="Times New Roman" w:hAnsi="Times New Roman"/>
          <w:color w:val="000000"/>
          <w:sz w:val="20"/>
        </w:rPr>
        <w:t xml:space="preserve"> </w:t>
      </w:r>
      <w:r>
        <w:rPr>
          <w:rFonts w:ascii="Times New Roman" w:hAnsi="Times New Roman"/>
          <w:b/>
          <w:color w:val="000000"/>
          <w:sz w:val="22"/>
        </w:rPr>
        <w:t>Financial Collaboration</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2"/>
        </w:rPr>
        <w:t xml:space="preserve">GSK announced strong commercial performance for </w:t>
      </w:r>
      <w:r>
        <w:rPr>
          <w:rFonts w:ascii="Times New Roman" w:hAnsi="Times New Roman"/>
          <w:i/>
          <w:color w:val="000000"/>
          <w:sz w:val="22"/>
        </w:rPr>
        <w:t>Jemperli</w:t>
      </w:r>
      <w:r>
        <w:rPr>
          <w:color w:val="000000"/>
        </w:rPr>
        <w:t xml:space="preserve"> </w:t>
      </w:r>
      <w:r>
        <w:rPr>
          <w:rFonts w:ascii="Times New Roman" w:hAnsi="Times New Roman"/>
          <w:color w:val="000000"/>
          <w:sz w:val="22"/>
        </w:rPr>
        <w:t>($313 million/£232 million in Q1 2026 sales, with &gt;40% year-over-year growth</w:t>
      </w:r>
      <w:r>
        <w:rPr>
          <w:rFonts w:ascii="Times New Roman" w:hAnsi="Times New Roman"/>
          <w:color w:val="000000"/>
          <w:sz w:val="15"/>
        </w:rPr>
        <w:t>1</w:t>
      </w:r>
      <w:r>
        <w:rPr>
          <w:rFonts w:ascii="Times New Roman" w:hAnsi="Times New Roman"/>
          <w:color w:val="000000"/>
          <w:sz w:val="22"/>
        </w:rPr>
        <w: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2"/>
        </w:rPr>
        <w:t xml:space="preserve">Anaptys continues to expect to achieve &gt;$390 million in annualized </w:t>
      </w:r>
      <w:r>
        <w:rPr>
          <w:rFonts w:ascii="Times New Roman" w:hAnsi="Times New Roman"/>
          <w:i/>
          <w:color w:val="000000"/>
          <w:sz w:val="22"/>
        </w:rPr>
        <w:t>Jemperli</w:t>
      </w:r>
      <w:r>
        <w:rPr>
          <w:color w:val="000000"/>
        </w:rPr>
        <w:t xml:space="preserve"> </w:t>
      </w:r>
      <w:r>
        <w:rPr>
          <w:rFonts w:ascii="Times New Roman" w:hAnsi="Times New Roman"/>
          <w:color w:val="000000"/>
          <w:sz w:val="22"/>
        </w:rPr>
        <w:t>royalties payable to Anaptys as early as 2029 at GSK’s peak sales guidance of &gt;$2.7 billion</w:t>
      </w:r>
      <w:r>
        <w:rPr>
          <w:rFonts w:ascii="Times New Roman" w:hAnsi="Times New Roman"/>
          <w:color w:val="000000"/>
          <w:sz w:val="15"/>
        </w:rPr>
        <w:t>2</w:t>
      </w:r>
      <w:r>
        <w:rPr>
          <w:color w:val="00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2"/>
        </w:rPr>
        <w:t>Anaptys estimates Sagard will have accrued ~$275 million in royalties and sales milestones through Q1 2026 and anticipates paydown of the remaining ~$325 million non-recourse debt monetization by the end of Q2 2027</w:t>
      </w:r>
      <w:r>
        <w:rPr>
          <w:rFonts w:ascii="Times New Roman" w:hAnsi="Times New Roman"/>
          <w:color w:val="000000"/>
          <w:sz w:val="15"/>
        </w:rPr>
        <w:t>3</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2"/>
        </w:rPr>
        <w:t xml:space="preserve">Substantial GSK investment in additional monotherapy and potential combination trials for </w:t>
      </w:r>
      <w:r>
        <w:rPr>
          <w:rFonts w:ascii="Times New Roman" w:hAnsi="Times New Roman"/>
          <w:i/>
          <w:color w:val="000000"/>
          <w:sz w:val="22"/>
        </w:rPr>
        <w:t xml:space="preserve">Jemperli, </w:t>
      </w:r>
      <w:r>
        <w:rPr>
          <w:rFonts w:ascii="Times New Roman" w:hAnsi="Times New Roman"/>
          <w:color w:val="000000"/>
          <w:sz w:val="22"/>
        </w:rPr>
        <w:t>including:</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AZUR-1 – pivotal Phase 2 – dostarlimab monotherapy in untreated stage II/III dMMR/MSI-H locally advanced rectal cancer</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Data expected in H2 2026; U.S. FDA Breakthrough Therapy Designation</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Received an FDA Commissioner’s National Priority Voucher (CNPV) in Nov. 2025 allowing for only a one to two-month sBLA review timeline for US FDA approval</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AZUR-2 – pivotal Phase 3 – dostarlimab versus standard of care in untreated TN40 or stage III dMMR/ MSI-H resectable colon cancer</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Data expected in 2028</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AZUR-4 – Phase 2 – dostarlimab plus chemotherapy versus standard of care (chemotherapy) in untreated stage III MMRp/MSS resectable colon cancer</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Data expected in Q4 2026</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JADE – pivotal Phase 3 – dostarlimab monotherapy versus placebo in locally advanced unresected head and neck squamous cell carcinoma (PD-L1 CPS≥1) post chemoradiation</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Data expected in 2028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Vanda Imsidolimab Financial Collaboration</w:t>
      </w:r>
      <w:r>
        <w:rPr>
          <w:rFonts w:ascii="Times New Roman" w:hAnsi="Times New Roman"/>
          <w:color w:val="000000"/>
          <w:sz w:val="22"/>
        </w:rPr>
        <w:br/>
      </w:r>
      <w:r>
        <w:rPr>
          <w:rFonts w:ascii="Times New Roman" w:hAnsi="Times New Roman"/>
          <w:color w:val="000000"/>
          <w:sz w:val="20"/>
        </w:rPr>
        <w:t> </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 xml:space="preserve">FDA target action date (PDUFA) of Dec. 12, 2026 for imsidolimab in generalized pustular psoriasis (GPP) </w:t>
      </w:r>
    </w:p>
    <w:p>
      <w:pPr>
        <w:pStyle w:val="TextBody"/>
        <w:bidi w:val="0"/>
        <w:spacing w:before="0" w:after="6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Recent Leadership and Board of Directors Appointments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Announced appointment of Chris Murphy as Chief Financial Officer (CFO)</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Mr. Murphy brings &gt;20 years’ experience in business development, commercial operations, corporate strategy and investment banking in the biopharmaceutical industry</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Announced appointment of industry veterans Susannah Gray and Owen Hughes to Board of Directors</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Ms. Gray brings &gt;25 years’ experience in both finance and investment banking in the biopharmaceutical industry, formerly CFO of Royalty Pharma</w:t>
      </w:r>
    </w:p>
    <w:p>
      <w:pPr>
        <w:pStyle w:val="TextBody"/>
        <w:bidi w:val="0"/>
        <w:spacing w:before="0" w:after="6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60"/>
        <w:jc w:val="left"/>
        <w:rPr/>
      </w:pPr>
      <w:r>
        <w:rPr>
          <w:rFonts w:ascii="Times New Roman" w:hAnsi="Times New Roman"/>
          <w:color w:val="000000"/>
          <w:sz w:val="22"/>
        </w:rPr>
        <w:t xml:space="preserve">Mr. Hughes brings &gt;25 years’ experience as both an operator and investor in the biopharmaceutical industry, currently leading XOMA Royalty as CEO </w:t>
        <w:br/>
      </w:r>
      <w:r>
        <w:rPr>
          <w:color w:val="000000"/>
        </w:rPr>
        <w:t> </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Stock Repurchase Plan</w:t>
      </w:r>
    </w:p>
    <w:p>
      <w:pPr>
        <w:pStyle w:val="TextBody"/>
        <w:bidi w:val="0"/>
        <w:spacing w:before="180" w:after="240"/>
        <w:jc w:val="left"/>
        <w:rPr>
          <w:color w:val="000000"/>
        </w:rPr>
      </w:pPr>
      <w:r>
        <w:rPr>
          <w:color w:val="000000"/>
        </w:rPr>
        <w:t>•</w:t>
      </w:r>
    </w:p>
    <w:p>
      <w:pPr>
        <w:pStyle w:val="TextBody"/>
        <w:bidi w:val="0"/>
        <w:spacing w:before="180" w:after="240"/>
        <w:jc w:val="left"/>
        <w:rPr>
          <w:rFonts w:ascii="Times New Roman" w:hAnsi="Times New Roman"/>
          <w:color w:val="000000"/>
          <w:sz w:val="22"/>
        </w:rPr>
      </w:pPr>
      <w:r>
        <w:rPr>
          <w:rFonts w:ascii="Times New Roman" w:hAnsi="Times New Roman"/>
          <w:color w:val="000000"/>
          <w:sz w:val="22"/>
        </w:rPr>
        <w:t>Announced a $100.0 million Stock Repurchase Plan in March 2026. It will expire on Dec. 31, 2026, may be suspended or discontinued at any time, and does not obligate the company to acquire any amount of common stock</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First Quarter Financial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separation of Anaptys and First Tracks Bio was completed on April 20, 2026. As a result, in the first quarter of 2026, the financial results include assets, liabilities and expenses related to both companies. Beginning in the second quarter of 2026, Anaptys expects to reclassify historical First Tracks Bio related assets, liabilities and expenses as discontinued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Cash, cash equivalents and investments totaled $286.5 million as of March 31, 2026, compared to $311.6 million as of Dec. 31, 2025, for a decrease of $25.1 million due primarily to operating activities offset by $14.0 million received from stock option exercises.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2"/>
        </w:rPr>
        <w:t xml:space="preserve">Collaboration revenue was $25.6 million for the three months ended March 31, 2026, compared to $27.8 million for the three months ended March 31, 2025. The decrease in revenue was primarily due to $9.7 million in revenue recognized for the Vanda license agreement for the three months ended March 31, 2025 offset by </w:t>
      </w:r>
      <w:r>
        <w:rPr>
          <w:rFonts w:ascii="Times New Roman" w:hAnsi="Times New Roman"/>
          <w:i/>
          <w:color w:val="000000"/>
          <w:sz w:val="22"/>
        </w:rPr>
        <w:t>Jemperli</w:t>
      </w:r>
      <w:r>
        <w:rPr>
          <w:color w:val="000000"/>
        </w:rPr>
        <w:t xml:space="preserve"> </w:t>
      </w:r>
      <w:r>
        <w:rPr>
          <w:rFonts w:ascii="Times New Roman" w:hAnsi="Times New Roman"/>
          <w:color w:val="000000"/>
          <w:sz w:val="22"/>
        </w:rPr>
        <w:t xml:space="preserve">royalties increasing 44% from $17.2 million to $24.7 million for the three months ended March 31, 2026.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Research and development expenses were $34.0 million for the three ended March 31, 2026, compared to $41.2 million for the three months ended March 31, 2025. The decrease for the three months ended March 31, 2026 was primarily due to decreased development costs for rosnilimab and ANB032 offset by increased costs relating to the phase 1 trials for ANB033. The R&amp;D non-cash, stock-based compensation expense was $4.6 million for the three months ended March 31, 2026 as compared to $4.4 million in the same period in 2025.</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General and administrative expenses were $26.2 million for the three months ended March 31, 2026, compared to $14.1 million for the three months ended March 31, 2025. The increase was due primarily to legal costs for the separation of the company, ongoing GSK litigation and non-cash stock compensation costs incurred for our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former Chief Financial Officer and former Chief Legal Officer. The G&amp;A non-cash, stock-based compensation expense was $9.7 million for the three months ended March 31, 2026 as compared to $4.8 million in the same period in 2025.</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Net loss was $52.9 million for the three months ended March 31, 2026, or a net loss per share of $1.84, compared to a net loss of $39.3 million for the three months ended March 31, 2025, or a net loss per share of $1.28.</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About AnaptysBio</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Anaptys manages the financial collaborations for </w:t>
      </w:r>
      <w:r>
        <w:rPr>
          <w:rFonts w:ascii="Times New Roman" w:hAnsi="Times New Roman"/>
          <w:i/>
          <w:color w:val="000000"/>
          <w:sz w:val="22"/>
        </w:rPr>
        <w:t>Jemperli</w:t>
      </w:r>
      <w:r>
        <w:rPr>
          <w:rFonts w:ascii="Times New Roman" w:hAnsi="Times New Roman"/>
          <w:color w:val="000000"/>
          <w:sz w:val="20"/>
        </w:rPr>
        <w:t xml:space="preserve"> </w:t>
      </w:r>
      <w:r>
        <w:rPr>
          <w:rFonts w:ascii="Times New Roman" w:hAnsi="Times New Roman"/>
          <w:color w:val="000000"/>
          <w:sz w:val="22"/>
        </w:rPr>
        <w:t xml:space="preserve">with GSK and imsidolimab with Vanda, with a focus on protecting and returning the value of its royalties to shareholders. To learn more, visit </w:t>
      </w:r>
      <w:r>
        <w:rPr>
          <w:rFonts w:ascii="Times New Roman" w:hAnsi="Times New Roman"/>
          <w:sz w:val="22"/>
        </w:rPr>
        <w:t>www.AnaptysBio.com</w:t>
      </w:r>
      <w:r>
        <w:rPr>
          <w:rFonts w:ascii="Times New Roman" w:hAnsi="Times New Roman"/>
          <w:color w:val="000000"/>
          <w:sz w:val="20"/>
        </w:rPr>
        <w:t xml:space="preserve"> </w:t>
      </w:r>
      <w:r>
        <w:rPr>
          <w:rFonts w:ascii="Times New Roman" w:hAnsi="Times New Roman"/>
          <w:color w:val="000000"/>
          <w:sz w:val="22"/>
        </w:rPr>
        <w:t xml:space="preserve">or follow us on </w:t>
      </w:r>
      <w:r>
        <w:rPr>
          <w:rFonts w:ascii="Times New Roman" w:hAnsi="Times New Roman"/>
          <w:sz w:val="22"/>
        </w:rPr>
        <w:t>LinkedIn</w:t>
      </w:r>
      <w:r>
        <w:rPr>
          <w:rFonts w:ascii="Times New Roman" w:hAnsi="Times New Roman"/>
          <w:color w:val="000000"/>
          <w:sz w:val="22"/>
        </w:rPr>
        <w: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press release contains forward-looking statements within the meaning of the “safe harbor” provisions of the Private Securities Litigation Reform Act of 1995, including, but not limited to whether Anaptys is able to protect its financial collaborations; and its ability to return value to its shareholders.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protect its financial collaborations and return value to its shareholders, the company’s ability to operate efficiently with a limited staff,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press release also includes a reference to EBIT margin which is a measure not presented in accordance with generally accepted accounting principles in the United States of America (“GAAP”), which Anaptys believes provides important perspective with respect to operational profitability. Non-GAAP financial measures may exclude items that are significant in understanding and assessing Anaptys’ financial results, should not be considered in isolation or as an alternative to GAAP measures, and should be considered only as a supplement to, and not as superior to, GAAP measures. Anaptys cannot predict with certainty the magnitude or scope of certain items that would be included in the most directly comparable GAAP measure to EBIT margin for the relevant future periods, and such items may be significant. Due to these uncertainties, Anaptys cannot provide a quantitative reconciliation of EBIT margin to the most directly comparable GAAP financial measure without unreasonable effort.</w:t>
      </w:r>
    </w:p>
    <w:p>
      <w:pPr>
        <w:pStyle w:val="TextBody"/>
        <w:bidi w:val="0"/>
        <w:jc w:val="left"/>
        <w:rPr>
          <w:rFonts w:ascii="Times New Roman" w:hAnsi="Times New Roman"/>
          <w:b/>
          <w:color w:val="000000"/>
          <w:sz w:val="22"/>
        </w:rPr>
      </w:pPr>
      <w:r>
        <w:rPr>
          <w:rFonts w:ascii="Times New Roman" w:hAnsi="Times New Roman"/>
          <w:b/>
          <w:color w:val="000000"/>
          <w:sz w:val="22"/>
        </w:rPr>
        <w:t>Investor Contact:</w:t>
      </w:r>
    </w:p>
    <w:p>
      <w:pPr>
        <w:pStyle w:val="TextBody"/>
        <w:bidi w:val="0"/>
        <w:jc w:val="left"/>
        <w:rPr>
          <w:rFonts w:ascii="Times New Roman" w:hAnsi="Times New Roman"/>
          <w:color w:val="000000"/>
          <w:sz w:val="22"/>
        </w:rPr>
      </w:pPr>
      <w:r>
        <w:rPr>
          <w:rFonts w:ascii="Times New Roman" w:hAnsi="Times New Roman"/>
          <w:color w:val="000000"/>
          <w:sz w:val="22"/>
        </w:rPr>
        <w:t>Anaptys Investor Relations</w:t>
      </w:r>
    </w:p>
    <w:p>
      <w:pPr>
        <w:pStyle w:val="TextBody"/>
        <w:bidi w:val="0"/>
        <w:jc w:val="left"/>
        <w:rPr>
          <w:rFonts w:ascii="Times New Roman" w:hAnsi="Times New Roman"/>
          <w:sz w:val="20"/>
        </w:rPr>
      </w:pPr>
      <w:r>
        <w:rPr>
          <w:rFonts w:ascii="Times New Roman" w:hAnsi="Times New Roman"/>
          <w:color w:val="0563C1"/>
          <w:sz w:val="24"/>
        </w:rPr>
        <w:t>investors@anaptysbio.com</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_______________________________________</w:t>
      </w:r>
    </w:p>
    <w:p>
      <w:pPr>
        <w:pStyle w:val="TextBody"/>
        <w:bidi w:val="0"/>
        <w:jc w:val="left"/>
        <w:rPr/>
      </w:pPr>
      <w:r>
        <w:rPr/>
        <w:t> </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GSK Q1 2026 earnings call, 4/29/2026</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60"/>
        <w:jc w:val="left"/>
        <w:rPr/>
      </w:pPr>
      <w:r>
        <w:rPr>
          <w:rFonts w:ascii="Times New Roman" w:hAnsi="Times New Roman"/>
          <w:color w:val="000000"/>
          <w:sz w:val="16"/>
        </w:rPr>
        <w:t xml:space="preserve">CEO Emma Walmsley, 2025 JP Morgan CEO Series fireside chat, 9/11/2025, </w:t>
      </w:r>
      <w:r>
        <w:rPr>
          <w:color w:val="000000"/>
        </w:rPr>
        <w:t>“</w:t>
      </w:r>
      <w:r>
        <w:rPr>
          <w:rFonts w:ascii="Times New Roman" w:hAnsi="Times New Roman"/>
          <w:i/>
          <w:color w:val="000000"/>
          <w:sz w:val="16"/>
        </w:rPr>
        <w:t>there's no change to our peak year sales overall ambition for Jemperli, that's for sure, which is far more than £2 billion.”</w:t>
      </w:r>
      <w:r>
        <w:rPr>
          <w:rFonts w:ascii="Times New Roman" w:hAnsi="Times New Roman"/>
          <w:color w:val="000000"/>
          <w:sz w:val="16"/>
        </w:rPr>
        <w:t>; Converted from GBP to USD using Q3 2025 average exchange rate (1.35x)</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pPr>
      <w:r>
        <w:rPr>
          <w:rFonts w:ascii="Times New Roman" w:hAnsi="Times New Roman"/>
          <w:color w:val="000000"/>
          <w:sz w:val="16"/>
        </w:rPr>
        <w:t xml:space="preserve">~$275 million accrued to Sagard through Q1 2026 and assumes a ~10% quarter-over-quarter growth rate for </w:t>
      </w:r>
      <w:r>
        <w:rPr>
          <w:rFonts w:ascii="Times New Roman" w:hAnsi="Times New Roman"/>
          <w:i/>
          <w:color w:val="000000"/>
          <w:sz w:val="16"/>
        </w:rPr>
        <w:t>Jemperli</w:t>
      </w:r>
      <w:r>
        <w:rPr>
          <w:color w:val="000000"/>
        </w:rPr>
        <w:t xml:space="preserve"> </w:t>
      </w:r>
      <w:r>
        <w:rPr>
          <w:rFonts w:ascii="Times New Roman" w:hAnsi="Times New Roman"/>
          <w:color w:val="000000"/>
          <w:sz w:val="16"/>
        </w:rPr>
        <w:t>from Q4’25 through Q2’27 and milestone payments associated with filing ($5mm) and approval ($10mm) of dMMR rectal approval in the EU</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AnaptysBio, Inc.</w:t>
      </w:r>
    </w:p>
    <w:p>
      <w:pPr>
        <w:pStyle w:val="TextBody"/>
        <w:bidi w:val="0"/>
        <w:jc w:val="center"/>
        <w:rPr>
          <w:rFonts w:ascii="Times New Roman" w:hAnsi="Times New Roman"/>
          <w:sz w:val="20"/>
        </w:rPr>
      </w:pP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8"/>
        <w:gridCol w:w="146"/>
        <w:gridCol w:w="226"/>
        <w:gridCol w:w="905"/>
        <w:gridCol w:w="166"/>
        <w:gridCol w:w="146"/>
        <w:gridCol w:w="245"/>
        <w:gridCol w:w="979"/>
        <w:gridCol w:w="794"/>
      </w:tblGrid>
      <w:tr>
        <w:trPr/>
        <w:tc>
          <w:tcPr>
            <w:tcW w:w="6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collaborative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33,850</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350,250</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364,395</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32,674</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38,625</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276,528</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 shares authorized and no shares, issued or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500,000 shares authorized, 29,031 shares and 28,019 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809,765</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(772,559</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364,395</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AnaptysBio,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214" w:type="dxa"/>
        <w:jc w:val="left"/>
        <w:tblInd w:w="0" w:type="dxa"/>
        <w:tblLayout w:type="fixed"/>
        <w:tblCellMar>
          <w:top w:w="28" w:type="dxa"/>
          <w:left w:w="28" w:type="dxa"/>
          <w:bottom w:w="28" w:type="dxa"/>
          <w:right w:w="28" w:type="dxa"/>
        </w:tblCellMar>
      </w:tblPr>
      <w:tblGrid>
        <w:gridCol w:w="4851"/>
        <w:gridCol w:w="146"/>
        <w:gridCol w:w="211"/>
        <w:gridCol w:w="736"/>
        <w:gridCol w:w="166"/>
        <w:gridCol w:w="146"/>
        <w:gridCol w:w="211"/>
        <w:gridCol w:w="736"/>
        <w:gridCol w:w="10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for the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30,644</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00"/>
        <w:jc w:val="center"/>
        <w:rPr/>
      </w:pPr>
      <w:r>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2454</Words>
  <Characters>13641</Characters>
  <CharactersWithSpaces>16141</CharactersWithSpaces>
  <Paragraphs>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