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645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64591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Suria Hamza</w:t>
              </w:r>
            </w:hyperlink>
          </w:p>
        </w:tc>
        <w:tc>
          <w:tcPr>
            <w:tcW w:w="118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18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01/25/2017</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(First)</w:t>
            </w:r>
          </w:p>
        </w:tc>
        <w:tc>
          <w:tcPr>
            <w:tcW w:w="1180" w:type="dxa"/>
            <w:vAlign w:val="bottom"/>
          </w:tcPr>
          <w:p>
            <w:pPr>
              <w:ind w:left="14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C/O ANAPTYSBIO, INC.</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10421 PACIFIC CENTER COURT, SUITE</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DIEGO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92121</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76"/>
        </w:trPr>
        <w:tc>
          <w:tcPr>
            <w:tcW w:w="1840" w:type="dxa"/>
            <w:vAlign w:val="bottom"/>
            <w:gridSpan w:val="2"/>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808080"/>
            </w:tcBorders>
          </w:tcPr>
          <w:p>
            <w:pPr>
              <w:spacing w:after="0"/>
              <w:rPr>
                <w:sz w:val="23"/>
                <w:szCs w:val="23"/>
                <w:color w:val="auto"/>
              </w:rPr>
            </w:pPr>
          </w:p>
        </w:tc>
        <w:tc>
          <w:tcPr>
            <w:tcW w:w="268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20" w:type="dxa"/>
            <w:vAlign w:val="bottom"/>
            <w:vMerge w:val="restart"/>
          </w:tcPr>
          <w:p>
            <w:pPr>
              <w:ind w:left="200"/>
              <w:spacing w:after="0" w:line="195"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line="155" w:lineRule="exact"/>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line="155" w:lineRule="exact"/>
              <w:rPr>
                <w:sz w:val="20"/>
                <w:szCs w:val="20"/>
                <w:color w:val="auto"/>
              </w:rPr>
            </w:pPr>
            <w:r>
              <w:rPr>
                <w:rFonts w:ascii="Arial" w:cs="Arial" w:eastAsia="Arial" w:hAnsi="Arial"/>
                <w:sz w:val="14"/>
                <w:szCs w:val="14"/>
                <w:color w:val="auto"/>
              </w:rPr>
              <w:t>Other (specify</w:t>
            </w:r>
          </w:p>
        </w:tc>
        <w:tc>
          <w:tcPr>
            <w:tcW w:w="200" w:type="dxa"/>
            <w:vAlign w:val="bottom"/>
            <w:tcBorders>
              <w:top w:val="single" w:sz="8" w:color="2C2C2C"/>
            </w:tcBorders>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Borders>
              <w:top w:val="single" w:sz="8" w:color="2C2C2C"/>
            </w:tcBorders>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41"/>
        </w:trPr>
        <w:tc>
          <w:tcPr>
            <w:tcW w:w="420" w:type="dxa"/>
            <w:vAlign w:val="bottom"/>
            <w:vMerge w:val="continue"/>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3"/>
                <w:szCs w:val="3"/>
                <w:color w:val="auto"/>
              </w:rPr>
            </w:pPr>
          </w:p>
        </w:tc>
        <w:tc>
          <w:tcPr>
            <w:tcW w:w="2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2900" w:type="dxa"/>
            <w:vAlign w:val="bottom"/>
            <w:gridSpan w:val="2"/>
          </w:tcPr>
          <w:p>
            <w:pPr>
              <w:ind w:left="660"/>
              <w:spacing w:after="0"/>
              <w:rPr>
                <w:sz w:val="20"/>
                <w:szCs w:val="20"/>
                <w:color w:val="auto"/>
              </w:rPr>
            </w:pPr>
            <w:r>
              <w:rPr>
                <w:rFonts w:ascii="Arial" w:cs="Arial" w:eastAsia="Arial" w:hAnsi="Arial"/>
                <w:sz w:val="18"/>
                <w:szCs w:val="18"/>
                <w:color w:val="0000FF"/>
              </w:rPr>
              <w:t>President, CEO</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67"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Series C Preferred Stock</w:t>
            </w:r>
          </w:p>
        </w:tc>
        <w:tc>
          <w:tcPr>
            <w:tcW w:w="900" w:type="dxa"/>
            <w:vAlign w:val="bottom"/>
          </w:tcPr>
          <w:p>
            <w:pPr>
              <w:jc w:val="right"/>
              <w:ind w:right="32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8"/>
              <w:spacing w:after="0"/>
              <w:rPr>
                <w:sz w:val="20"/>
                <w:szCs w:val="20"/>
                <w:color w:val="auto"/>
              </w:rPr>
            </w:pPr>
            <w:r>
              <w:rPr>
                <w:rFonts w:ascii="Arial" w:cs="Arial" w:eastAsia="Arial" w:hAnsi="Arial"/>
                <w:sz w:val="18"/>
                <w:szCs w:val="18"/>
                <w:color w:val="0000FF"/>
                <w:w w:val="88"/>
              </w:rPr>
              <w:t>2,197</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Series C-1 Preferred Stock</w:t>
            </w:r>
          </w:p>
        </w:tc>
        <w:tc>
          <w:tcPr>
            <w:tcW w:w="900" w:type="dxa"/>
            <w:vAlign w:val="bottom"/>
          </w:tcPr>
          <w:p>
            <w:pPr>
              <w:jc w:val="right"/>
              <w:ind w:right="32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8"/>
              <w:spacing w:after="0"/>
              <w:rPr>
                <w:sz w:val="20"/>
                <w:szCs w:val="20"/>
                <w:color w:val="auto"/>
              </w:rPr>
            </w:pPr>
            <w:r>
              <w:rPr>
                <w:rFonts w:ascii="Arial" w:cs="Arial" w:eastAsia="Arial" w:hAnsi="Arial"/>
                <w:sz w:val="18"/>
                <w:szCs w:val="18"/>
                <w:color w:val="0000FF"/>
                <w:w w:val="93"/>
              </w:rPr>
              <w:t>781</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Series D Preferred Stock</w:t>
            </w:r>
          </w:p>
        </w:tc>
        <w:tc>
          <w:tcPr>
            <w:tcW w:w="900" w:type="dxa"/>
            <w:vAlign w:val="bottom"/>
          </w:tcPr>
          <w:p>
            <w:pPr>
              <w:jc w:val="right"/>
              <w:ind w:right="32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8"/>
              <w:spacing w:after="0"/>
              <w:rPr>
                <w:sz w:val="20"/>
                <w:szCs w:val="20"/>
                <w:color w:val="auto"/>
              </w:rPr>
            </w:pPr>
            <w:r>
              <w:rPr>
                <w:rFonts w:ascii="Arial" w:cs="Arial" w:eastAsia="Arial" w:hAnsi="Arial"/>
                <w:sz w:val="18"/>
                <w:szCs w:val="18"/>
                <w:color w:val="0000FF"/>
                <w:w w:val="88"/>
              </w:rPr>
              <w:t>2,020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jc w:val="right"/>
              <w:ind w:right="32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12/08/2018</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8"/>
              <w:spacing w:after="0"/>
              <w:rPr>
                <w:sz w:val="20"/>
                <w:szCs w:val="20"/>
                <w:color w:val="auto"/>
              </w:rPr>
            </w:pPr>
            <w:r>
              <w:rPr>
                <w:rFonts w:ascii="Arial" w:cs="Arial" w:eastAsia="Arial" w:hAnsi="Arial"/>
                <w:sz w:val="18"/>
                <w:szCs w:val="18"/>
                <w:color w:val="0000FF"/>
                <w:w w:val="87"/>
              </w:rPr>
              <w:t>22,428</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2.59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jc w:val="right"/>
              <w:ind w:right="32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02/09/2020</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8"/>
              <w:spacing w:after="0"/>
              <w:rPr>
                <w:sz w:val="20"/>
                <w:szCs w:val="20"/>
                <w:color w:val="auto"/>
              </w:rPr>
            </w:pPr>
            <w:r>
              <w:rPr>
                <w:rFonts w:ascii="Arial" w:cs="Arial" w:eastAsia="Arial" w:hAnsi="Arial"/>
                <w:sz w:val="18"/>
                <w:szCs w:val="18"/>
                <w:color w:val="0000FF"/>
                <w:w w:val="88"/>
              </w:rPr>
              <w:t>1,428</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2.24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jc w:val="right"/>
              <w:ind w:right="32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02/23/2021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8"/>
              <w:spacing w:after="0"/>
              <w:rPr>
                <w:sz w:val="20"/>
                <w:szCs w:val="20"/>
                <w:color w:val="auto"/>
              </w:rPr>
            </w:pPr>
            <w:r>
              <w:rPr>
                <w:rFonts w:ascii="Arial" w:cs="Arial" w:eastAsia="Arial" w:hAnsi="Arial"/>
                <w:sz w:val="18"/>
                <w:szCs w:val="18"/>
                <w:color w:val="0000FF"/>
                <w:w w:val="88"/>
              </w:rPr>
              <w:t>6,208</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1.61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jc w:val="right"/>
              <w:ind w:right="32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12/08/2021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8"/>
              <w:spacing w:after="0"/>
              <w:rPr>
                <w:sz w:val="20"/>
                <w:szCs w:val="20"/>
                <w:color w:val="auto"/>
              </w:rPr>
            </w:pPr>
            <w:r>
              <w:rPr>
                <w:rFonts w:ascii="Arial" w:cs="Arial" w:eastAsia="Arial" w:hAnsi="Arial"/>
                <w:sz w:val="18"/>
                <w:szCs w:val="18"/>
                <w:color w:val="0000FF"/>
                <w:w w:val="86"/>
              </w:rPr>
              <w:t>140,948</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1.12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jc w:val="right"/>
              <w:ind w:right="32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01/31/2022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8"/>
              <w:spacing w:after="0"/>
              <w:rPr>
                <w:sz w:val="20"/>
                <w:szCs w:val="20"/>
                <w:color w:val="auto"/>
              </w:rPr>
            </w:pPr>
            <w:r>
              <w:rPr>
                <w:rFonts w:ascii="Arial" w:cs="Arial" w:eastAsia="Arial" w:hAnsi="Arial"/>
                <w:sz w:val="18"/>
                <w:szCs w:val="18"/>
                <w:color w:val="0000FF"/>
                <w:w w:val="87"/>
              </w:rPr>
              <w:t>73,291</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1.12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jc w:val="right"/>
              <w:ind w:right="32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01/31/2022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8"/>
              <w:spacing w:after="0"/>
              <w:rPr>
                <w:sz w:val="20"/>
                <w:szCs w:val="20"/>
                <w:color w:val="auto"/>
              </w:rPr>
            </w:pPr>
            <w:r>
              <w:rPr>
                <w:rFonts w:ascii="Arial" w:cs="Arial" w:eastAsia="Arial" w:hAnsi="Arial"/>
                <w:sz w:val="18"/>
                <w:szCs w:val="18"/>
                <w:color w:val="0000FF"/>
                <w:w w:val="87"/>
              </w:rPr>
              <w:t>97,721</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1.12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jc w:val="right"/>
              <w:ind w:right="320"/>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12/16/2022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8"/>
              <w:spacing w:after="0"/>
              <w:rPr>
                <w:sz w:val="20"/>
                <w:szCs w:val="20"/>
                <w:color w:val="auto"/>
              </w:rPr>
            </w:pPr>
            <w:r>
              <w:rPr>
                <w:rFonts w:ascii="Arial" w:cs="Arial" w:eastAsia="Arial" w:hAnsi="Arial"/>
                <w:sz w:val="18"/>
                <w:szCs w:val="18"/>
                <w:color w:val="0000FF"/>
                <w:w w:val="87"/>
              </w:rPr>
              <w:t>19,425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0.91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jc w:val="right"/>
              <w:ind w:right="320"/>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09/15/2024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8"/>
              <w:spacing w:after="0"/>
              <w:rPr>
                <w:sz w:val="20"/>
                <w:szCs w:val="20"/>
                <w:color w:val="auto"/>
              </w:rPr>
            </w:pPr>
            <w:r>
              <w:rPr>
                <w:rFonts w:ascii="Arial" w:cs="Arial" w:eastAsia="Arial" w:hAnsi="Arial"/>
                <w:sz w:val="18"/>
                <w:szCs w:val="18"/>
                <w:color w:val="0000FF"/>
                <w:w w:val="87"/>
              </w:rPr>
              <w:t>51,840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0.7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jc w:val="right"/>
              <w:ind w:right="320"/>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08/13/2025</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8"/>
              <w:spacing w:after="0"/>
              <w:rPr>
                <w:sz w:val="20"/>
                <w:szCs w:val="20"/>
                <w:color w:val="auto"/>
              </w:rPr>
            </w:pPr>
            <w:r>
              <w:rPr>
                <w:rFonts w:ascii="Arial" w:cs="Arial" w:eastAsia="Arial" w:hAnsi="Arial"/>
                <w:sz w:val="18"/>
                <w:szCs w:val="18"/>
                <w:color w:val="0000FF"/>
                <w:w w:val="86"/>
              </w:rPr>
              <w:t>265,928</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6.93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Preferred Stock will be automatically converted into one (1) share of Common Stock, for no additional consideration, immediately prior to the consummation of the Issuer's initial public offering, and has no expiration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is fully vested and immediately exercisable.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becomes 100% vested upon the Issuer's initial public offering, subject to the Reporting Person's employment on such date.</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vested and became exercisable as to 25% of the shares subject to the option on December 17, 2013, and thereafter vests as to 1/48th of the shares in equal monthly installments, until such time as the option is 100% vested, subject to the continuing employment of the Reporting Person on each vesting date.</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vested and became exercisable as to 25% of the shares subject to the option on September 16, 2015, and thereafter vests as to 1/48th of the shares in equal monthly installments, until such time as the option is 100% vested, subject to the continuing employment of the Reporting Person on each vesting date.</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vested and became exercisable as to 25% of the shares subject to the option on August 13, 2016, and thereafter vests as to 1/48th of the shares in equal monthly installments, until such time as the option is 100% vested, subject to the continuing employment of the Reporting Person on each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0000FF"/>
                <w:w w:val="87"/>
              </w:rPr>
              <w:t>/s/ Hamza Suria</w:t>
            </w:r>
          </w:p>
        </w:tc>
        <w:tc>
          <w:tcPr>
            <w:tcW w:w="98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01/25/2017</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459" w:firstLine="843"/>
        <w:spacing w:after="0" w:line="236"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Dominic Piscitelli, Ryan McRobert, Nanette Agustines and Winston Macaraeg, and each of them, as his or her true and lawful attorney-in-fact to:</w:t>
      </w:r>
    </w:p>
    <w:p>
      <w:pPr>
        <w:spacing w:after="0" w:line="209" w:lineRule="exact"/>
        <w:rPr>
          <w:sz w:val="20"/>
          <w:szCs w:val="20"/>
          <w:color w:val="auto"/>
        </w:rPr>
      </w:pPr>
    </w:p>
    <w:p>
      <w:pPr>
        <w:ind w:right="61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representative of AnaptysBio, Inc. (the "Company"), any and all Form ID, or</w:t>
      </w: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Form 3, 4 or 5 reports and any amendments thereto required to be filed by the undersigned in accordance with Section 16(a) of the Securities Exchange Act of</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1934 (the "Exchange Act") and the rules thereunder with respect to transactions in the Company's securities;</w:t>
      </w:r>
    </w:p>
    <w:p>
      <w:pPr>
        <w:spacing w:after="0" w:line="5" w:lineRule="exact"/>
        <w:rPr>
          <w:rFonts w:ascii="Courier New" w:cs="Courier New" w:eastAsia="Courier New" w:hAnsi="Courier New"/>
          <w:sz w:val="16"/>
          <w:szCs w:val="16"/>
          <w:color w:val="auto"/>
        </w:rPr>
      </w:pPr>
    </w:p>
    <w:p>
      <w:pPr>
        <w:ind w:right="73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ID, or Form</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report and any amendments thereto and timely file such report with the U.S.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6"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4"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6"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WITNESS WHEREOF, the undersigned has caused this Power of Attorney to be executed as of this 20th day of January, 2017.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Hamza Suria</w:t>
      </w:r>
    </w:p>
    <w:p>
      <w:pPr>
        <w:spacing w:after="0" w:line="238" w:lineRule="auto"/>
        <w:rPr>
          <w:sz w:val="20"/>
          <w:szCs w:val="20"/>
          <w:color w:val="auto"/>
        </w:rPr>
      </w:pPr>
      <w:r>
        <w:rPr>
          <w:rFonts w:ascii="Courier New" w:cs="Courier New" w:eastAsia="Courier New" w:hAnsi="Courier New"/>
          <w:sz w:val="18"/>
          <w:szCs w:val="18"/>
          <w:color w:val="auto"/>
        </w:rPr>
        <w:t>Hamza Suria</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4495" TargetMode="External"/><Relationship Id="rId12"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2019-12-04T01:36:59Z</dcterms:created>
  <dcterms:modified xsi:type="dcterms:W3CDTF">2019-12-04T01:36:59Z</dcterms:modified>
</cp:coreProperties>
</file>