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-234315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0"/>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21590</wp:posOffset>
            </wp:positionV>
            <wp:extent cx="6992620" cy="5597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5975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MULROY DENNIS</w:t>
        </w:r>
      </w:hyperlink>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060" w:type="dxa"/>
            <w:vAlign w:val="bottom"/>
          </w:tcPr>
          <w:p>
            <w:pPr>
              <w:ind w:left="160"/>
              <w:spacing w:after="0"/>
              <w:rPr>
                <w:sz w:val="20"/>
                <w:szCs w:val="20"/>
                <w:color w:val="auto"/>
              </w:rPr>
            </w:pPr>
            <w:r>
              <w:rPr>
                <w:rFonts w:ascii="Arial" w:cs="Arial" w:eastAsia="Arial" w:hAnsi="Arial"/>
                <w:sz w:val="13"/>
                <w:szCs w:val="13"/>
                <w:color w:val="auto"/>
              </w:rPr>
              <w:t>(First)</w:t>
            </w:r>
          </w:p>
        </w:tc>
        <w:tc>
          <w:tcPr>
            <w:tcW w:w="150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2140" w:type="dxa"/>
            <w:vAlign w:val="bottom"/>
            <w:gridSpan w:val="2"/>
          </w:tcPr>
          <w:p>
            <w:pPr>
              <w:ind w:left="20"/>
              <w:spacing w:after="0"/>
              <w:rPr>
                <w:sz w:val="20"/>
                <w:szCs w:val="20"/>
                <w:color w:val="auto"/>
              </w:rPr>
            </w:pPr>
            <w:r>
              <w:rPr>
                <w:rFonts w:ascii="Arial" w:cs="Arial" w:eastAsia="Arial" w:hAnsi="Arial"/>
                <w:sz w:val="17"/>
                <w:szCs w:val="17"/>
                <w:color w:val="0000FF"/>
              </w:rPr>
              <w:t>C/O ANAPTYSBIO, INC.</w:t>
            </w:r>
          </w:p>
        </w:tc>
        <w:tc>
          <w:tcPr>
            <w:tcW w:w="150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Arial" w:cs="Arial" w:eastAsia="Arial" w:hAnsi="Arial"/>
                <w:sz w:val="17"/>
                <w:szCs w:val="17"/>
                <w:color w:val="0000FF"/>
              </w:rPr>
              <w:t>10770 WATERIDGE CIRCLE, SUITE 210</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25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SAN DIEGO</w:t>
            </w:r>
          </w:p>
        </w:tc>
        <w:tc>
          <w:tcPr>
            <w:tcW w:w="1060" w:type="dxa"/>
            <w:vAlign w:val="bottom"/>
          </w:tcPr>
          <w:p>
            <w:pPr>
              <w:ind w:left="160"/>
              <w:spacing w:after="0"/>
              <w:rPr>
                <w:sz w:val="20"/>
                <w:szCs w:val="20"/>
                <w:color w:val="auto"/>
              </w:rPr>
            </w:pPr>
            <w:r>
              <w:rPr>
                <w:rFonts w:ascii="Arial" w:cs="Arial" w:eastAsia="Arial" w:hAnsi="Arial"/>
                <w:sz w:val="17"/>
                <w:szCs w:val="17"/>
                <w:color w:val="0000FF"/>
              </w:rPr>
              <w:t>CA</w:t>
            </w:r>
          </w:p>
        </w:tc>
        <w:tc>
          <w:tcPr>
            <w:tcW w:w="1500" w:type="dxa"/>
            <w:vAlign w:val="bottom"/>
          </w:tcPr>
          <w:p>
            <w:pPr>
              <w:ind w:left="320"/>
              <w:spacing w:after="0"/>
              <w:rPr>
                <w:sz w:val="20"/>
                <w:szCs w:val="20"/>
                <w:color w:val="auto"/>
              </w:rPr>
            </w:pPr>
            <w:r>
              <w:rPr>
                <w:rFonts w:ascii="Arial" w:cs="Arial" w:eastAsia="Arial" w:hAnsi="Arial"/>
                <w:sz w:val="17"/>
                <w:szCs w:val="17"/>
                <w:color w:val="0000FF"/>
              </w:rPr>
              <w:t>92121</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160"/>
              <w:spacing w:after="0"/>
              <w:rPr>
                <w:sz w:val="20"/>
                <w:szCs w:val="20"/>
                <w:color w:val="auto"/>
              </w:rPr>
            </w:pPr>
            <w:r>
              <w:rPr>
                <w:rFonts w:ascii="Arial" w:cs="Arial" w:eastAsia="Arial" w:hAnsi="Arial"/>
                <w:sz w:val="13"/>
                <w:szCs w:val="13"/>
                <w:color w:val="auto"/>
              </w:rPr>
              <w:t>(State)</w:t>
            </w:r>
          </w:p>
        </w:tc>
        <w:tc>
          <w:tcPr>
            <w:tcW w:w="150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ANAPTYSBIO,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ANAB</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1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18"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1840" w:type="dxa"/>
            <w:vAlign w:val="bottom"/>
            <w:gridSpan w:val="3"/>
          </w:tcPr>
          <w:p>
            <w:pPr>
              <w:ind w:left="60"/>
              <w:spacing w:after="0"/>
              <w:rPr>
                <w:sz w:val="20"/>
                <w:szCs w:val="20"/>
                <w:color w:val="auto"/>
              </w:rPr>
            </w:pPr>
            <w:r>
              <w:rPr>
                <w:rFonts w:ascii="Arial" w:cs="Arial" w:eastAsia="Arial" w:hAnsi="Arial"/>
                <w:sz w:val="17"/>
                <w:szCs w:val="17"/>
                <w:color w:val="0000FF"/>
              </w:rPr>
              <w:t>09/14/2023</w:t>
            </w: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6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77"/>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3"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00"/>
        <w:spacing w:after="0" w:line="24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00"/>
              <w:spacing w:after="0" w:line="128"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2"/>
          </w:tcPr>
          <w:p>
            <w:pPr>
              <w:ind w:left="50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520" w:type="dxa"/>
            <w:vAlign w:val="bottom"/>
            <w:gridSpan w:val="2"/>
          </w:tcPr>
          <w:p>
            <w:pPr>
              <w:ind w:left="580"/>
              <w:spacing w:after="0"/>
              <w:rPr>
                <w:sz w:val="20"/>
                <w:szCs w:val="20"/>
                <w:color w:val="auto"/>
              </w:rPr>
            </w:pPr>
            <w:r>
              <w:rPr>
                <w:rFonts w:ascii="Arial" w:cs="Arial" w:eastAsia="Arial" w:hAnsi="Arial"/>
                <w:sz w:val="17"/>
                <w:szCs w:val="17"/>
                <w:color w:val="0000FF"/>
              </w:rPr>
              <w:t>09/14/2023</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6,000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40" w:type="dxa"/>
            <w:vAlign w:val="bottom"/>
          </w:tcPr>
          <w:p>
            <w:pPr>
              <w:jc w:val="center"/>
              <w:ind w:left="94"/>
              <w:spacing w:after="0"/>
              <w:rPr>
                <w:sz w:val="20"/>
                <w:szCs w:val="20"/>
                <w:color w:val="auto"/>
              </w:rPr>
            </w:pPr>
            <w:r>
              <w:rPr>
                <w:rFonts w:ascii="Arial" w:cs="Arial" w:eastAsia="Arial" w:hAnsi="Arial"/>
                <w:sz w:val="11"/>
                <w:szCs w:val="11"/>
                <w:color w:val="008000"/>
                <w:w w:val="88"/>
              </w:rPr>
              <w:t>(1)</w:t>
            </w:r>
          </w:p>
        </w:tc>
        <w:tc>
          <w:tcPr>
            <w:tcW w:w="1380" w:type="dxa"/>
            <w:vAlign w:val="bottom"/>
            <w:gridSpan w:val="3"/>
          </w:tcPr>
          <w:p>
            <w:pPr>
              <w:jc w:val="center"/>
              <w:ind w:left="134"/>
              <w:spacing w:after="0"/>
              <w:rPr>
                <w:sz w:val="20"/>
                <w:szCs w:val="20"/>
                <w:color w:val="auto"/>
              </w:rPr>
            </w:pPr>
            <w:r>
              <w:rPr>
                <w:rFonts w:ascii="Arial" w:cs="Arial" w:eastAsia="Arial" w:hAnsi="Arial"/>
                <w:sz w:val="17"/>
                <w:szCs w:val="17"/>
                <w:color w:val="0000FF"/>
                <w:w w:val="89"/>
              </w:rPr>
              <w:t>6,964</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09/14/2023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2,105</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tcPr>
          <w:p>
            <w:pPr>
              <w:jc w:val="center"/>
              <w:ind w:left="94"/>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19.48</w:t>
            </w:r>
          </w:p>
        </w:tc>
        <w:tc>
          <w:tcPr>
            <w:tcW w:w="1380" w:type="dxa"/>
            <w:vAlign w:val="bottom"/>
            <w:tcBorders>
              <w:bottom w:val="single" w:sz="8" w:color="2C2C2C"/>
            </w:tcBorders>
            <w:gridSpan w:val="3"/>
          </w:tcPr>
          <w:p>
            <w:pPr>
              <w:jc w:val="center"/>
              <w:ind w:left="134"/>
              <w:spacing w:after="0"/>
              <w:rPr>
                <w:sz w:val="20"/>
                <w:szCs w:val="20"/>
                <w:color w:val="auto"/>
              </w:rPr>
            </w:pPr>
            <w:r>
              <w:rPr>
                <w:rFonts w:ascii="Arial" w:cs="Arial" w:eastAsia="Arial" w:hAnsi="Arial"/>
                <w:sz w:val="17"/>
                <w:szCs w:val="17"/>
                <w:color w:val="0000FF"/>
                <w:w w:val="89"/>
              </w:rPr>
              <w:t>4,859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09/18/2023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(3)</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3,895</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19.3162</w:t>
            </w:r>
            <w:r>
              <w:rPr>
                <w:rFonts w:ascii="Arial" w:cs="Arial" w:eastAsia="Arial" w:hAnsi="Arial"/>
                <w:sz w:val="21"/>
                <w:szCs w:val="21"/>
                <w:color w:val="008000"/>
                <w:w w:val="86"/>
                <w:vertAlign w:val="superscript"/>
              </w:rPr>
              <w:t>(4)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99"/>
              <w:spacing w:after="0"/>
              <w:rPr>
                <w:sz w:val="20"/>
                <w:szCs w:val="20"/>
                <w:color w:val="auto"/>
              </w:rPr>
            </w:pPr>
            <w:r>
              <w:rPr>
                <w:rFonts w:ascii="Arial" w:cs="Arial" w:eastAsia="Arial" w:hAnsi="Arial"/>
                <w:sz w:val="17"/>
                <w:szCs w:val="17"/>
                <w:color w:val="0000FF"/>
                <w:w w:val="84"/>
              </w:rPr>
              <w:t>964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080" w:type="dxa"/>
            <w:vAlign w:val="bottom"/>
            <w:tcBorders>
              <w:top w:val="single" w:sz="8" w:color="2C2C2C"/>
            </w:tcBorders>
            <w:gridSpan w:val="11"/>
          </w:tcPr>
          <w:p>
            <w:pPr>
              <w:ind w:left="10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7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6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w w:val="94"/>
              </w:rPr>
              <w:t>8. Price of</w:t>
            </w: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vMerge w:val="restart"/>
          </w:tcPr>
          <w:p>
            <w:pPr>
              <w:ind w:left="240"/>
              <w:spacing w:after="0"/>
              <w:rPr>
                <w:sz w:val="20"/>
                <w:szCs w:val="20"/>
                <w:color w:val="auto"/>
              </w:rPr>
            </w:pPr>
            <w:r>
              <w:rPr>
                <w:rFonts w:ascii="Arial" w:cs="Arial" w:eastAsia="Arial" w:hAnsi="Arial"/>
                <w:sz w:val="13"/>
                <w:szCs w:val="13"/>
                <w:color w:val="0000FF"/>
              </w:rPr>
              <w:t>09/14/2023</w:t>
            </w:r>
          </w:p>
        </w:tc>
        <w:tc>
          <w:tcPr>
            <w:tcW w:w="1100" w:type="dxa"/>
            <w:vAlign w:val="bottom"/>
          </w:tcPr>
          <w:p>
            <w:pPr>
              <w:spacing w:after="0"/>
              <w:rPr>
                <w:sz w:val="16"/>
                <w:szCs w:val="16"/>
                <w:color w:val="auto"/>
              </w:rPr>
            </w:pPr>
          </w:p>
        </w:tc>
        <w:tc>
          <w:tcPr>
            <w:tcW w:w="4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6"/>
                <w:szCs w:val="16"/>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w w:val="98"/>
              </w:rPr>
              <w:t>6,000</w:t>
            </w: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560" w:type="dxa"/>
            <w:vAlign w:val="bottom"/>
          </w:tcPr>
          <w:p>
            <w:pPr>
              <w:ind w:left="60"/>
              <w:spacing w:after="0"/>
              <w:rPr>
                <w:sz w:val="20"/>
                <w:szCs w:val="20"/>
                <w:color w:val="auto"/>
              </w:rPr>
            </w:pPr>
            <w:r>
              <w:rPr>
                <w:rFonts w:ascii="Arial" w:cs="Arial" w:eastAsia="Arial" w:hAnsi="Arial"/>
                <w:sz w:val="13"/>
                <w:szCs w:val="13"/>
                <w:color w:val="0000FF"/>
                <w:w w:val="90"/>
              </w:rPr>
              <w:t>Common</w:t>
            </w:r>
          </w:p>
        </w:tc>
        <w:tc>
          <w:tcPr>
            <w:tcW w:w="640" w:type="dxa"/>
            <w:vAlign w:val="bottom"/>
            <w:vMerge w:val="restart"/>
          </w:tcPr>
          <w:p>
            <w:pPr>
              <w:ind w:left="160"/>
              <w:spacing w:after="0"/>
              <w:rPr>
                <w:sz w:val="20"/>
                <w:szCs w:val="20"/>
                <w:color w:val="auto"/>
              </w:rPr>
            </w:pPr>
            <w:r>
              <w:rPr>
                <w:rFonts w:ascii="Arial" w:cs="Arial" w:eastAsia="Arial" w:hAnsi="Arial"/>
                <w:sz w:val="17"/>
                <w:szCs w:val="17"/>
                <w:color w:val="0000FF"/>
              </w:rPr>
              <w:t>6,000</w:t>
            </w:r>
          </w:p>
        </w:tc>
        <w:tc>
          <w:tcPr>
            <w:tcW w:w="64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740" w:type="dxa"/>
            <w:vAlign w:val="bottom"/>
            <w:vMerge w:val="restart"/>
          </w:tcPr>
          <w:p>
            <w:pPr>
              <w:ind w:left="400"/>
              <w:spacing w:after="0"/>
              <w:rPr>
                <w:sz w:val="20"/>
                <w:szCs w:val="20"/>
                <w:color w:val="auto"/>
              </w:rPr>
            </w:pPr>
            <w:r>
              <w:rPr>
                <w:rFonts w:ascii="Arial" w:cs="Arial" w:eastAsia="Arial" w:hAnsi="Arial"/>
                <w:sz w:val="13"/>
                <w:szCs w:val="13"/>
                <w:color w:val="0000FF"/>
                <w:w w:val="98"/>
              </w:rPr>
              <w:t>6,000</w:t>
            </w:r>
          </w:p>
        </w:tc>
        <w:tc>
          <w:tcPr>
            <w:tcW w:w="260" w:type="dxa"/>
            <w:vAlign w:val="bottom"/>
          </w:tcPr>
          <w:p>
            <w:pPr>
              <w:spacing w:after="0"/>
              <w:rPr>
                <w:sz w:val="16"/>
                <w:szCs w:val="16"/>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 Unit</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award ("RSU") represents a contingent right to receive 1 share of the Issuer's Common Stock upon settlement for no consideration.</w:t>
      </w:r>
    </w:p>
    <w:p>
      <w:pPr>
        <w:spacing w:after="0" w:line="45" w:lineRule="exact"/>
        <w:rPr>
          <w:rFonts w:ascii="Arial" w:cs="Arial" w:eastAsia="Arial" w:hAnsi="Arial"/>
          <w:sz w:val="13"/>
          <w:szCs w:val="13"/>
          <w:color w:val="008000"/>
        </w:rPr>
      </w:pPr>
    </w:p>
    <w:p>
      <w:pPr>
        <w:ind w:left="40" w:right="54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24"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transactions reported on this Form 4 were effected pursuant to a Rule 10b5-1 trading plan adopted by the reporting person.</w:t>
      </w:r>
    </w:p>
    <w:p>
      <w:pPr>
        <w:spacing w:after="0" w:line="45" w:lineRule="exact"/>
        <w:rPr>
          <w:rFonts w:ascii="Arial" w:cs="Arial" w:eastAsia="Arial" w:hAnsi="Arial"/>
          <w:sz w:val="13"/>
          <w:szCs w:val="13"/>
          <w:color w:val="008000"/>
        </w:rPr>
      </w:pPr>
    </w:p>
    <w:p>
      <w:pPr>
        <w:ind w:left="40" w:right="16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$19.145 to $19.60,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30"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50% of the total restricted stock units vest on September 14, 2023 and September 14, 2024, subject to the Reporting Person's provision of service to the Issuer on each vesting date.</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7" w:lineRule="auto"/>
        <w:rPr>
          <w:sz w:val="20"/>
          <w:szCs w:val="20"/>
          <w:color w:val="auto"/>
        </w:rPr>
      </w:pPr>
      <w:r>
        <w:rPr>
          <w:rFonts w:ascii="Arial" w:cs="Arial" w:eastAsia="Arial" w:hAnsi="Arial"/>
          <w:sz w:val="17"/>
          <w:szCs w:val="17"/>
          <w:color w:val="0000FF"/>
        </w:rPr>
        <w:t xml:space="preserve">/s/ Eric Loumeau, Attorney-in- </w:t>
      </w:r>
      <w:r>
        <w:rPr>
          <w:rFonts w:ascii="Arial" w:cs="Arial" w:eastAsia="Arial" w:hAnsi="Arial"/>
          <w:sz w:val="33"/>
          <w:szCs w:val="33"/>
          <w:color w:val="0000FF"/>
          <w:vertAlign w:val="subscript"/>
        </w:rPr>
        <w:t>09/18/2023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76840"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2023-09-18T17:16:10Z</dcterms:created>
  <dcterms:modified xsi:type="dcterms:W3CDTF">2023-09-18T17:16:10Z</dcterms:modified>
</cp:coreProperties>
</file>