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4"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TRANSITION PERIOD FROM</w:t>
            </w:r>
          </w:p>
        </w:tc>
        <w:tc>
          <w:tcPr>
            <w:tcW w:w="360" w:type="dxa"/>
            <w:vAlign w:val="bottom"/>
            <w:tcBorders>
              <w:bottom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w w:val="82"/>
              </w:rPr>
              <w:t>TO</w:t>
            </w:r>
          </w:p>
        </w:tc>
        <w:tc>
          <w:tcPr>
            <w:tcW w:w="360" w:type="dxa"/>
            <w:vAlign w:val="bottom"/>
            <w:tcBorders>
              <w:bottom w:val="single" w:sz="8" w:color="auto"/>
            </w:tcBorders>
          </w:tcPr>
          <w:p>
            <w:pPr>
              <w:spacing w:after="0"/>
              <w:rPr>
                <w:sz w:val="14"/>
                <w:szCs w:val="14"/>
                <w:color w:val="auto"/>
              </w:rPr>
            </w:pPr>
          </w:p>
        </w:tc>
        <w:tc>
          <w:tcPr>
            <w:tcW w:w="3720" w:type="dxa"/>
            <w:vAlign w:val="bottom"/>
          </w:tcPr>
          <w:p>
            <w:pPr>
              <w:spacing w:after="0"/>
              <w:rPr>
                <w:sz w:val="14"/>
                <w:szCs w:val="14"/>
                <w:color w:val="auto"/>
              </w:rPr>
            </w:pPr>
          </w:p>
        </w:tc>
      </w:tr>
      <w:tr>
        <w:trPr>
          <w:trHeight w:val="245"/>
        </w:trPr>
        <w:tc>
          <w:tcPr>
            <w:tcW w:w="1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3"/>
              </w:rPr>
              <w:t>Commission File Number: 001-37985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209"/>
        </w:trPr>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18"/>
                <w:szCs w:val="18"/>
                <w:color w:val="auto"/>
              </w:rPr>
            </w:pPr>
          </w:p>
        </w:tc>
      </w:tr>
      <w:tr>
        <w:trPr>
          <w:trHeight w:val="434"/>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36"/>
                <w:szCs w:val="36"/>
                <w:b w:val="1"/>
                <w:bCs w:val="1"/>
                <w:color w:val="auto"/>
                <w:w w:val="99"/>
              </w:rPr>
              <w:t>ANAPTYSBIO, INC.</w:t>
            </w:r>
          </w:p>
        </w:tc>
      </w:tr>
      <w:tr>
        <w:trPr>
          <w:trHeight w:val="180"/>
        </w:trPr>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420" w:type="dxa"/>
            <w:vAlign w:val="bottom"/>
            <w:gridSpan w:val="6"/>
          </w:tcPr>
          <w:p>
            <w:pPr>
              <w:jc w:val="center"/>
              <w:ind w:right="357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98"/>
        </w:trPr>
        <w:tc>
          <w:tcPr>
            <w:tcW w:w="140" w:type="dxa"/>
            <w:vAlign w:val="bottom"/>
          </w:tcPr>
          <w:p>
            <w:pPr>
              <w:spacing w:after="0"/>
              <w:rPr>
                <w:sz w:val="24"/>
                <w:szCs w:val="24"/>
                <w:color w:val="auto"/>
              </w:rPr>
            </w:pPr>
          </w:p>
        </w:tc>
        <w:tc>
          <w:tcPr>
            <w:tcW w:w="3600" w:type="dxa"/>
            <w:vAlign w:val="bottom"/>
          </w:tcPr>
          <w:p>
            <w:pPr>
              <w:jc w:val="center"/>
              <w:ind w:left="1432"/>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3"/>
          </w:tcPr>
          <w:p>
            <w:pPr>
              <w:jc w:val="center"/>
              <w:ind w:right="933"/>
              <w:spacing w:after="0"/>
              <w:rPr>
                <w:sz w:val="20"/>
                <w:szCs w:val="20"/>
                <w:color w:val="auto"/>
              </w:rPr>
            </w:pPr>
            <w:r>
              <w:rPr>
                <w:rFonts w:ascii="Arial" w:cs="Arial" w:eastAsia="Arial" w:hAnsi="Arial"/>
                <w:sz w:val="14"/>
                <w:szCs w:val="14"/>
                <w:b w:val="1"/>
                <w:bCs w:val="1"/>
                <w:color w:val="auto"/>
                <w:w w:val="90"/>
              </w:rPr>
              <w:t>20-3828755</w:t>
            </w:r>
          </w:p>
        </w:tc>
      </w:tr>
      <w:tr>
        <w:trPr>
          <w:trHeight w:val="147"/>
        </w:trPr>
        <w:tc>
          <w:tcPr>
            <w:tcW w:w="140" w:type="dxa"/>
            <w:vAlign w:val="bottom"/>
          </w:tcPr>
          <w:p>
            <w:pPr>
              <w:spacing w:after="0"/>
              <w:rPr>
                <w:sz w:val="12"/>
                <w:szCs w:val="12"/>
                <w:color w:val="auto"/>
              </w:rPr>
            </w:pPr>
          </w:p>
        </w:tc>
        <w:tc>
          <w:tcPr>
            <w:tcW w:w="3600" w:type="dxa"/>
            <w:vAlign w:val="bottom"/>
          </w:tcPr>
          <w:p>
            <w:pPr>
              <w:jc w:val="center"/>
              <w:ind w:left="1432"/>
              <w:spacing w:after="0" w:line="147" w:lineRule="exact"/>
              <w:rPr>
                <w:sz w:val="20"/>
                <w:szCs w:val="20"/>
                <w:color w:val="auto"/>
              </w:rPr>
            </w:pPr>
            <w:r>
              <w:rPr>
                <w:rFonts w:ascii="Arial" w:cs="Arial" w:eastAsia="Arial" w:hAnsi="Arial"/>
                <w:sz w:val="13"/>
                <w:szCs w:val="13"/>
                <w:b w:val="1"/>
                <w:bCs w:val="1"/>
                <w:color w:val="auto"/>
                <w:w w:val="88"/>
              </w:rPr>
              <w:t>(State or other jurisdiction of</w:t>
            </w:r>
          </w:p>
        </w:tc>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jc w:val="center"/>
              <w:ind w:right="1533"/>
              <w:spacing w:after="0" w:line="147"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40" w:type="dxa"/>
            <w:vAlign w:val="bottom"/>
          </w:tcPr>
          <w:p>
            <w:pPr>
              <w:spacing w:after="0"/>
              <w:rPr>
                <w:sz w:val="14"/>
                <w:szCs w:val="14"/>
                <w:color w:val="auto"/>
              </w:rPr>
            </w:pPr>
          </w:p>
        </w:tc>
        <w:tc>
          <w:tcPr>
            <w:tcW w:w="3600" w:type="dxa"/>
            <w:vAlign w:val="bottom"/>
          </w:tcPr>
          <w:p>
            <w:pPr>
              <w:jc w:val="center"/>
              <w:ind w:left="1452"/>
              <w:spacing w:after="0"/>
              <w:rPr>
                <w:sz w:val="20"/>
                <w:szCs w:val="20"/>
                <w:color w:val="auto"/>
              </w:rPr>
            </w:pPr>
            <w:r>
              <w:rPr>
                <w:rFonts w:ascii="Arial" w:cs="Arial" w:eastAsia="Arial" w:hAnsi="Arial"/>
                <w:sz w:val="13"/>
                <w:szCs w:val="13"/>
                <w:b w:val="1"/>
                <w:bCs w:val="1"/>
                <w:color w:val="auto"/>
                <w:w w:val="88"/>
              </w:rPr>
              <w:t>incorporation or organization)</w:t>
            </w:r>
          </w:p>
        </w:tc>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jc w:val="center"/>
              <w:ind w:right="1533"/>
              <w:spacing w:after="0"/>
              <w:rPr>
                <w:sz w:val="20"/>
                <w:szCs w:val="20"/>
                <w:color w:val="auto"/>
              </w:rPr>
            </w:pPr>
            <w:r>
              <w:rPr>
                <w:rFonts w:ascii="Arial" w:cs="Arial" w:eastAsia="Arial" w:hAnsi="Arial"/>
                <w:sz w:val="13"/>
                <w:szCs w:val="13"/>
                <w:b w:val="1"/>
                <w:bCs w:val="1"/>
                <w:color w:val="auto"/>
                <w:w w:val="89"/>
              </w:rPr>
              <w:t>Identification Number)</w:t>
            </w:r>
          </w:p>
        </w:tc>
      </w:tr>
      <w:tr>
        <w:trPr>
          <w:trHeight w:val="502"/>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3"/>
              </w:rPr>
              <w:t>10770 Wateridge Circle, Suite 210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80"/>
        </w:trPr>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w w:val="93"/>
              </w:rPr>
              <w:t>San Diego, CA 92121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164"/>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40" w:type="dxa"/>
            <w:vAlign w:val="bottom"/>
            <w:gridSpan w:val="5"/>
          </w:tcPr>
          <w:p>
            <w:pPr>
              <w:jc w:val="center"/>
              <w:ind w:right="3953"/>
              <w:spacing w:after="0"/>
              <w:rPr>
                <w:sz w:val="20"/>
                <w:szCs w:val="20"/>
                <w:color w:val="auto"/>
              </w:rPr>
            </w:pPr>
            <w:r>
              <w:rPr>
                <w:rFonts w:ascii="Arial" w:cs="Arial" w:eastAsia="Arial" w:hAnsi="Arial"/>
                <w:sz w:val="13"/>
                <w:szCs w:val="13"/>
                <w:b w:val="1"/>
                <w:bCs w:val="1"/>
                <w:color w:val="auto"/>
                <w:w w:val="85"/>
              </w:rPr>
              <w:t>(Address of principal executive offices and zip code)</w:t>
            </w:r>
          </w:p>
        </w:tc>
      </w:tr>
      <w:tr>
        <w:trPr>
          <w:trHeight w:val="268"/>
        </w:trPr>
        <w:tc>
          <w:tcPr>
            <w:tcW w:w="14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74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(858) 362-6295</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148"/>
        </w:trPr>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40" w:type="dxa"/>
            <w:vAlign w:val="bottom"/>
            <w:gridSpan w:val="5"/>
          </w:tcPr>
          <w:p>
            <w:pPr>
              <w:jc w:val="center"/>
              <w:ind w:right="3973"/>
              <w:spacing w:after="0" w:line="149" w:lineRule="exact"/>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31"/>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01"/>
        </w:trPr>
        <w:tc>
          <w:tcPr>
            <w:tcW w:w="140" w:type="dxa"/>
            <w:vAlign w:val="bottom"/>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3600" w:type="dxa"/>
            <w:vAlign w:val="bottom"/>
          </w:tcPr>
          <w:p>
            <w:pPr>
              <w:jc w:val="center"/>
              <w:ind w:left="252"/>
              <w:spacing w:after="0"/>
              <w:rPr>
                <w:sz w:val="20"/>
                <w:szCs w:val="20"/>
                <w:color w:val="auto"/>
              </w:rPr>
            </w:pPr>
            <w:r>
              <w:rPr>
                <w:rFonts w:ascii="Arial" w:cs="Arial" w:eastAsia="Arial" w:hAnsi="Arial"/>
                <w:sz w:val="14"/>
                <w:szCs w:val="14"/>
                <w:color w:val="auto"/>
                <w:w w:val="92"/>
              </w:rPr>
              <w:t>Title of each class</w:t>
            </w:r>
          </w:p>
        </w:tc>
        <w:tc>
          <w:tcPr>
            <w:tcW w:w="380" w:type="dxa"/>
            <w:vAlign w:val="bottom"/>
            <w:tcBorders>
              <w:right w:val="single" w:sz="8" w:color="auto"/>
            </w:tcBorders>
          </w:tcPr>
          <w:p>
            <w:pPr>
              <w:spacing w:after="0"/>
              <w:rPr>
                <w:sz w:val="15"/>
                <w:szCs w:val="15"/>
                <w:color w:val="auto"/>
              </w:rPr>
            </w:pPr>
          </w:p>
        </w:tc>
        <w:tc>
          <w:tcPr>
            <w:tcW w:w="2720" w:type="dxa"/>
            <w:vAlign w:val="bottom"/>
            <w:gridSpan w:val="2"/>
          </w:tcPr>
          <w:p>
            <w:pPr>
              <w:jc w:val="center"/>
              <w:ind w:left="131"/>
              <w:spacing w:after="0"/>
              <w:rPr>
                <w:sz w:val="20"/>
                <w:szCs w:val="20"/>
                <w:color w:val="auto"/>
              </w:rPr>
            </w:pPr>
            <w:r>
              <w:rPr>
                <w:rFonts w:ascii="Arial" w:cs="Arial" w:eastAsia="Arial" w:hAnsi="Arial"/>
                <w:sz w:val="14"/>
                <w:szCs w:val="14"/>
                <w:color w:val="auto"/>
                <w:w w:val="94"/>
              </w:rPr>
              <w:t>Trading Symbol(s)</w:t>
            </w:r>
          </w:p>
        </w:tc>
        <w:tc>
          <w:tcPr>
            <w:tcW w:w="2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720" w:type="dxa"/>
            <w:vAlign w:val="bottom"/>
            <w:tcBorders>
              <w:right w:val="single" w:sz="8" w:color="auto"/>
            </w:tcBorders>
          </w:tcPr>
          <w:p>
            <w:pPr>
              <w:jc w:val="center"/>
              <w:ind w:right="333"/>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3600" w:type="dxa"/>
            <w:vAlign w:val="bottom"/>
          </w:tcPr>
          <w:p>
            <w:pPr>
              <w:jc w:val="center"/>
              <w:ind w:left="272"/>
              <w:spacing w:after="0"/>
              <w:rPr>
                <w:sz w:val="20"/>
                <w:szCs w:val="20"/>
                <w:color w:val="auto"/>
              </w:rPr>
            </w:pPr>
            <w:r>
              <w:rPr>
                <w:rFonts w:ascii="Arial" w:cs="Arial" w:eastAsia="Arial" w:hAnsi="Arial"/>
                <w:sz w:val="14"/>
                <w:szCs w:val="14"/>
                <w:color w:val="auto"/>
                <w:w w:val="93"/>
              </w:rPr>
              <w:t>Common Stock, $0.001 par value</w:t>
            </w:r>
          </w:p>
        </w:tc>
        <w:tc>
          <w:tcPr>
            <w:tcW w:w="380" w:type="dxa"/>
            <w:vAlign w:val="bottom"/>
            <w:tcBorders>
              <w:right w:val="single" w:sz="8" w:color="auto"/>
            </w:tcBorders>
          </w:tcPr>
          <w:p>
            <w:pPr>
              <w:spacing w:after="0"/>
              <w:rPr>
                <w:sz w:val="15"/>
                <w:szCs w:val="15"/>
                <w:color w:val="auto"/>
              </w:rPr>
            </w:pPr>
          </w:p>
        </w:tc>
        <w:tc>
          <w:tcPr>
            <w:tcW w:w="2720" w:type="dxa"/>
            <w:vAlign w:val="bottom"/>
            <w:gridSpan w:val="2"/>
          </w:tcPr>
          <w:p>
            <w:pPr>
              <w:jc w:val="center"/>
              <w:ind w:left="131"/>
              <w:spacing w:after="0"/>
              <w:rPr>
                <w:sz w:val="20"/>
                <w:szCs w:val="20"/>
                <w:color w:val="auto"/>
              </w:rPr>
            </w:pPr>
            <w:r>
              <w:rPr>
                <w:rFonts w:ascii="Arial" w:cs="Arial" w:eastAsia="Arial" w:hAnsi="Arial"/>
                <w:sz w:val="14"/>
                <w:szCs w:val="14"/>
                <w:color w:val="auto"/>
              </w:rPr>
              <w:t>ANAB</w:t>
            </w:r>
          </w:p>
        </w:tc>
        <w:tc>
          <w:tcPr>
            <w:tcW w:w="2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720" w:type="dxa"/>
            <w:vAlign w:val="bottom"/>
            <w:tcBorders>
              <w:right w:val="single" w:sz="8" w:color="auto"/>
            </w:tcBorders>
          </w:tcPr>
          <w:p>
            <w:pPr>
              <w:jc w:val="center"/>
              <w:ind w:right="333"/>
              <w:spacing w:after="0"/>
              <w:rPr>
                <w:sz w:val="20"/>
                <w:szCs w:val="20"/>
                <w:color w:val="auto"/>
              </w:rPr>
            </w:pPr>
            <w:r>
              <w:rPr>
                <w:rFonts w:ascii="Arial" w:cs="Arial" w:eastAsia="Arial" w:hAnsi="Arial"/>
                <w:sz w:val="14"/>
                <w:szCs w:val="14"/>
                <w:color w:val="auto"/>
                <w:w w:val="94"/>
              </w:rPr>
              <w:t>The Nasdaq Stock Market LLC</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319"/>
        </w:trPr>
        <w:tc>
          <w:tcPr>
            <w:tcW w:w="3740" w:type="dxa"/>
            <w:vAlign w:val="bottom"/>
            <w:gridSpan w:val="2"/>
          </w:tcPr>
          <w:p>
            <w:pPr>
              <w:spacing w:after="0"/>
              <w:rPr>
                <w:sz w:val="20"/>
                <w:szCs w:val="20"/>
                <w:color w:val="auto"/>
              </w:rPr>
            </w:pPr>
            <w:r>
              <w:rPr>
                <w:rFonts w:ascii="Arial" w:cs="Arial" w:eastAsia="Arial" w:hAnsi="Arial"/>
                <w:sz w:val="14"/>
                <w:szCs w:val="14"/>
                <w:color w:val="auto"/>
                <w:w w:val="94"/>
              </w:rPr>
              <w:t xml:space="preserve">Securities registered pursuant to Section 12(g) of the Act: </w:t>
            </w:r>
            <w:r>
              <w:rPr>
                <w:rFonts w:ascii="Arial" w:cs="Arial" w:eastAsia="Arial" w:hAnsi="Arial"/>
                <w:sz w:val="14"/>
                <w:szCs w:val="14"/>
                <w:b w:val="1"/>
                <w:bCs w:val="1"/>
                <w:color w:val="auto"/>
                <w:w w:val="94"/>
              </w:rPr>
              <w:t>None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16"/>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320" w:type="dxa"/>
            <w:vAlign w:val="bottom"/>
            <w:gridSpan w:val="3"/>
          </w:tcPr>
          <w:p>
            <w:pPr>
              <w:ind w:left="60"/>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tc>
      </w:tr>
    </w:tbl>
    <w:p>
      <w:pPr>
        <w:spacing w:after="0" w:line="14" w:lineRule="exact"/>
        <w:rPr>
          <w:sz w:val="24"/>
          <w:szCs w:val="24"/>
          <w:color w:val="auto"/>
        </w:rPr>
      </w:pPr>
    </w:p>
    <w:p>
      <w:pPr>
        <w:spacing w:after="0" w:line="196" w:lineRule="exact"/>
        <w:tabs>
          <w:tab w:leader="none" w:pos="7000" w:val="left"/>
          <w:tab w:leader="none" w:pos="76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16" w:lineRule="exact"/>
        <w:rPr>
          <w:sz w:val="24"/>
          <w:szCs w:val="24"/>
          <w:color w:val="auto"/>
        </w:rPr>
      </w:pPr>
    </w:p>
    <w:p>
      <w:pPr>
        <w:ind w:right="120"/>
        <w:spacing w:after="0" w:line="21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ind w:right="40"/>
        <w:spacing w:after="0" w:line="21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ind w:right="38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21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1" w:name="page2"/>
    <w:bookmarkEnd w:id="1"/>
    <w:p>
      <w:pPr>
        <w:jc w:val="both"/>
        <w:spacing w:after="0" w:line="215"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30" w:lineRule="exact"/>
        <w:rPr>
          <w:sz w:val="20"/>
          <w:szCs w:val="20"/>
          <w:color w:val="auto"/>
        </w:rPr>
      </w:pPr>
    </w:p>
    <w:p>
      <w:pPr>
        <w:ind w:right="160"/>
        <w:spacing w:after="0" w:line="215"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 w:lineRule="exact"/>
        <w:rPr>
          <w:sz w:val="20"/>
          <w:szCs w:val="20"/>
          <w:color w:val="auto"/>
        </w:rPr>
      </w:pPr>
    </w:p>
    <w:p>
      <w:pPr>
        <w:spacing w:after="0" w:line="196" w:lineRule="exact"/>
        <w:tabs>
          <w:tab w:leader="none" w:pos="666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$400,388,471 as of June 30, 2022.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27,931,028 as of February 27, 2023.</w:t>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Portions of the registrant’s Definitive Proxy Statement relating to the 2023 Annual Meeting of Stockholders, scheduled to be held on June 15, 2023, are incorporated by reference into Part III of this Annual Report on Form 10-K to the extent stated herein. The Definitive Proxy Statement will be filed within 120 days of the Registrant’s fiscal year ended December 31, 2022.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58"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20" w:type="dxa"/>
            <w:vAlign w:val="bottom"/>
            <w:gridSpan w:val="11"/>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1"/>
        </w:trPr>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920"/>
              <w:spacing w:after="0"/>
              <w:rPr>
                <w:sz w:val="20"/>
                <w:szCs w:val="20"/>
                <w:color w:val="auto"/>
              </w:rPr>
            </w:pPr>
            <w:r>
              <w:rPr>
                <w:rFonts w:ascii="Arial" w:cs="Arial" w:eastAsia="Arial" w:hAnsi="Arial"/>
                <w:sz w:val="16"/>
                <w:szCs w:val="16"/>
                <w:b w:val="1"/>
                <w:bCs w:val="1"/>
                <w:color w:val="auto"/>
              </w:rPr>
              <w:t>Page</w:t>
            </w:r>
          </w:p>
        </w:tc>
      </w:tr>
      <w:tr>
        <w:trPr>
          <w:trHeight w:val="207"/>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PART I</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w:t>
            </w:r>
          </w:p>
        </w:tc>
        <w:tc>
          <w:tcPr>
            <w:tcW w:w="8200" w:type="dxa"/>
            <w:vAlign w:val="bottom"/>
            <w:gridSpan w:val="22"/>
          </w:tcPr>
          <w:p>
            <w:pPr>
              <w:spacing w:after="0" w:line="181" w:lineRule="exact"/>
              <w:rPr>
                <w:sz w:val="20"/>
                <w:szCs w:val="20"/>
                <w:color w:val="auto"/>
              </w:rPr>
            </w:pPr>
            <w:r>
              <w:rPr>
                <w:rFonts w:ascii="Arial" w:cs="Arial" w:eastAsia="Arial" w:hAnsi="Arial"/>
                <w:sz w:val="16"/>
                <w:szCs w:val="16"/>
                <w:color w:val="0000FF"/>
              </w:rPr>
              <w:t>Business</w:t>
            </w:r>
          </w:p>
        </w:tc>
        <w:tc>
          <w:tcPr>
            <w:tcW w:w="146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1A.</w:t>
            </w:r>
          </w:p>
        </w:tc>
        <w:tc>
          <w:tcPr>
            <w:tcW w:w="8200" w:type="dxa"/>
            <w:vAlign w:val="bottom"/>
            <w:gridSpan w:val="22"/>
          </w:tcPr>
          <w:p>
            <w:pPr>
              <w:spacing w:after="0"/>
              <w:rPr>
                <w:sz w:val="20"/>
                <w:szCs w:val="20"/>
                <w:color w:val="auto"/>
              </w:rPr>
            </w:pPr>
            <w:r>
              <w:rPr>
                <w:rFonts w:ascii="Arial" w:cs="Arial" w:eastAsia="Arial" w:hAnsi="Arial"/>
                <w:sz w:val="16"/>
                <w:szCs w:val="16"/>
                <w:color w:val="0000FF"/>
              </w:rPr>
              <w:t>Risk Factors</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0"/>
              </w:rPr>
              <w:t>Unresolved Staff Comments</w:t>
            </w:r>
          </w:p>
        </w:tc>
        <w:tc>
          <w:tcPr>
            <w:tcW w:w="6360" w:type="dxa"/>
            <w:vAlign w:val="bottom"/>
            <w:gridSpan w:val="12"/>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2.</w:t>
            </w:r>
          </w:p>
        </w:tc>
        <w:tc>
          <w:tcPr>
            <w:tcW w:w="8200" w:type="dxa"/>
            <w:vAlign w:val="bottom"/>
            <w:gridSpan w:val="22"/>
          </w:tcPr>
          <w:p>
            <w:pPr>
              <w:spacing w:after="0"/>
              <w:rPr>
                <w:sz w:val="20"/>
                <w:szCs w:val="20"/>
                <w:color w:val="auto"/>
              </w:rPr>
            </w:pPr>
            <w:r>
              <w:rPr>
                <w:rFonts w:ascii="Arial" w:cs="Arial" w:eastAsia="Arial" w:hAnsi="Arial"/>
                <w:sz w:val="16"/>
                <w:szCs w:val="16"/>
                <w:color w:val="0000FF"/>
              </w:rPr>
              <w:t>Properties</w:t>
            </w: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Legal Proceedings</w:t>
            </w:r>
          </w:p>
        </w:tc>
        <w:tc>
          <w:tcPr>
            <w:tcW w:w="7000" w:type="dxa"/>
            <w:vAlign w:val="bottom"/>
            <w:gridSpan w:val="16"/>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4.</w:t>
            </w:r>
          </w:p>
        </w:tc>
        <w:tc>
          <w:tcPr>
            <w:tcW w:w="8200" w:type="dxa"/>
            <w:vAlign w:val="bottom"/>
            <w:gridSpan w:val="22"/>
          </w:tcPr>
          <w:p>
            <w:pPr>
              <w:spacing w:after="0"/>
              <w:rPr>
                <w:sz w:val="20"/>
                <w:szCs w:val="20"/>
                <w:color w:val="auto"/>
              </w:rPr>
            </w:pPr>
            <w:r>
              <w:rPr>
                <w:rFonts w:ascii="Arial" w:cs="Arial" w:eastAsia="Arial" w:hAnsi="Arial"/>
                <w:sz w:val="16"/>
                <w:szCs w:val="16"/>
                <w:color w:val="0000FF"/>
              </w:rPr>
              <w:t>Mine Safety Disclosures</w:t>
            </w: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5.</w:t>
            </w:r>
          </w:p>
        </w:tc>
        <w:tc>
          <w:tcPr>
            <w:tcW w:w="8200" w:type="dxa"/>
            <w:vAlign w:val="bottom"/>
            <w:gridSpan w:val="22"/>
          </w:tcPr>
          <w:p>
            <w:pPr>
              <w:spacing w:after="0" w:line="181"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460" w:type="dxa"/>
            <w:vAlign w:val="bottom"/>
          </w:tcPr>
          <w:p>
            <w:pPr>
              <w:jc w:val="right"/>
              <w:spacing w:after="0" w:line="181" w:lineRule="exact"/>
              <w:rPr>
                <w:sz w:val="20"/>
                <w:szCs w:val="20"/>
                <w:color w:val="auto"/>
              </w:rPr>
            </w:pPr>
            <w:r>
              <w:rPr>
                <w:rFonts w:ascii="Arial" w:cs="Arial" w:eastAsia="Arial" w:hAnsi="Arial"/>
                <w:sz w:val="16"/>
                <w:szCs w:val="16"/>
                <w:color w:val="auto"/>
              </w:rPr>
              <w:t>53</w:t>
            </w:r>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6.</w:t>
            </w: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87"/>
              </w:rPr>
              <w:t>Reserved</w:t>
            </w:r>
          </w:p>
        </w:tc>
        <w:tc>
          <w:tcPr>
            <w:tcW w:w="6620" w:type="dxa"/>
            <w:vAlign w:val="bottom"/>
            <w:tcBorders>
              <w:top w:val="single" w:sz="8" w:color="0000FF"/>
            </w:tcBorders>
            <w:gridSpan w:val="19"/>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7.</w:t>
            </w:r>
          </w:p>
        </w:tc>
        <w:tc>
          <w:tcPr>
            <w:tcW w:w="8200" w:type="dxa"/>
            <w:vAlign w:val="bottom"/>
            <w:gridSpan w:val="2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7A.</w:t>
            </w:r>
          </w:p>
        </w:tc>
        <w:tc>
          <w:tcPr>
            <w:tcW w:w="39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1880" w:type="dxa"/>
            <w:vAlign w:val="bottom"/>
            <w:tcBorders>
              <w:top w:val="single" w:sz="8" w:color="0000FF"/>
            </w:tcBorders>
            <w:gridSpan w:val="3"/>
          </w:tcPr>
          <w:p>
            <w:pPr>
              <w:spacing w:after="0"/>
              <w:rPr>
                <w:sz w:val="17"/>
                <w:szCs w:val="17"/>
                <w:color w:val="auto"/>
              </w:rPr>
            </w:pPr>
          </w:p>
        </w:tc>
        <w:tc>
          <w:tcPr>
            <w:tcW w:w="2400" w:type="dxa"/>
            <w:vAlign w:val="bottom"/>
            <w:gridSpan w:val="4"/>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8.</w:t>
            </w:r>
          </w:p>
        </w:tc>
        <w:tc>
          <w:tcPr>
            <w:tcW w:w="8200" w:type="dxa"/>
            <w:vAlign w:val="bottom"/>
            <w:gridSpan w:val="22"/>
          </w:tcPr>
          <w:p>
            <w:pPr>
              <w:spacing w:after="0"/>
              <w:rPr>
                <w:sz w:val="20"/>
                <w:szCs w:val="20"/>
                <w:color w:val="auto"/>
              </w:rPr>
            </w:pPr>
            <w:r>
              <w:rPr>
                <w:rFonts w:ascii="Arial" w:cs="Arial" w:eastAsia="Arial" w:hAnsi="Arial"/>
                <w:sz w:val="16"/>
                <w:szCs w:val="16"/>
                <w:color w:val="0000FF"/>
              </w:rPr>
              <w:t>Consolidated Financial Statements and Supplementary Data</w:t>
            </w:r>
          </w:p>
        </w:tc>
        <w:tc>
          <w:tcPr>
            <w:tcW w:w="146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w:t>
            </w:r>
          </w:p>
        </w:tc>
        <w:tc>
          <w:tcPr>
            <w:tcW w:w="586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Changes in and Disagreements With Accountants on Accounting and Financial Disclosure</w:t>
            </w:r>
          </w:p>
        </w:tc>
        <w:tc>
          <w:tcPr>
            <w:tcW w:w="2340" w:type="dxa"/>
            <w:vAlign w:val="bottom"/>
            <w:gridSpan w:val="3"/>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9A.</w:t>
            </w:r>
          </w:p>
        </w:tc>
        <w:tc>
          <w:tcPr>
            <w:tcW w:w="8200" w:type="dxa"/>
            <w:vAlign w:val="bottom"/>
            <w:gridSpan w:val="22"/>
          </w:tcPr>
          <w:p>
            <w:pPr>
              <w:spacing w:after="0"/>
              <w:rPr>
                <w:sz w:val="20"/>
                <w:szCs w:val="20"/>
                <w:color w:val="auto"/>
              </w:rPr>
            </w:pPr>
            <w:r>
              <w:rPr>
                <w:rFonts w:ascii="Arial" w:cs="Arial" w:eastAsia="Arial" w:hAnsi="Arial"/>
                <w:sz w:val="16"/>
                <w:szCs w:val="16"/>
                <w:color w:val="0000FF"/>
              </w:rPr>
              <w:t>Controls and Procedures</w:t>
            </w:r>
          </w:p>
        </w:tc>
        <w:tc>
          <w:tcPr>
            <w:tcW w:w="146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9B.</w:t>
            </w:r>
          </w:p>
        </w:tc>
        <w:tc>
          <w:tcPr>
            <w:tcW w:w="11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3"/>
              </w:rPr>
              <w:t>Other Information</w:t>
            </w:r>
          </w:p>
        </w:tc>
        <w:tc>
          <w:tcPr>
            <w:tcW w:w="400" w:type="dxa"/>
            <w:vAlign w:val="bottom"/>
            <w:tcBorders>
              <w:top w:val="single" w:sz="8" w:color="0000FF"/>
            </w:tcBorders>
            <w:gridSpan w:val="3"/>
          </w:tcPr>
          <w:p>
            <w:pPr>
              <w:spacing w:after="0"/>
              <w:rPr>
                <w:sz w:val="17"/>
                <w:szCs w:val="17"/>
                <w:color w:val="auto"/>
              </w:rPr>
            </w:pPr>
          </w:p>
        </w:tc>
        <w:tc>
          <w:tcPr>
            <w:tcW w:w="6620" w:type="dxa"/>
            <w:vAlign w:val="bottom"/>
            <w:gridSpan w:val="14"/>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9C.</w:t>
            </w:r>
          </w:p>
        </w:tc>
        <w:tc>
          <w:tcPr>
            <w:tcW w:w="8200" w:type="dxa"/>
            <w:vAlign w:val="bottom"/>
            <w:gridSpan w:val="22"/>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10.</w:t>
            </w:r>
          </w:p>
        </w:tc>
        <w:tc>
          <w:tcPr>
            <w:tcW w:w="3680" w:type="dxa"/>
            <w:vAlign w:val="bottom"/>
            <w:tcBorders>
              <w:bottom w:val="single" w:sz="8" w:color="0000FF"/>
            </w:tcBorders>
            <w:gridSpan w:val="13"/>
          </w:tcPr>
          <w:p>
            <w:pPr>
              <w:spacing w:after="0" w:line="181" w:lineRule="exact"/>
              <w:rPr>
                <w:sz w:val="20"/>
                <w:szCs w:val="20"/>
                <w:color w:val="auto"/>
              </w:rPr>
            </w:pPr>
            <w:r>
              <w:rPr>
                <w:rFonts w:ascii="Arial" w:cs="Arial" w:eastAsia="Arial" w:hAnsi="Arial"/>
                <w:sz w:val="16"/>
                <w:szCs w:val="16"/>
                <w:color w:val="0000FF"/>
                <w:w w:val="91"/>
              </w:rPr>
              <w:t>Directors, Executive Officers and Corporate Governance</w:t>
            </w:r>
          </w:p>
        </w:tc>
        <w:tc>
          <w:tcPr>
            <w:tcW w:w="4520" w:type="dxa"/>
            <w:vAlign w:val="bottom"/>
            <w:gridSpan w:val="9"/>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6"/>
                <w:szCs w:val="16"/>
                <w:color w:val="auto"/>
              </w:rPr>
              <w:t>95</w:t>
            </w:r>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11.</w:t>
            </w:r>
          </w:p>
        </w:tc>
        <w:tc>
          <w:tcPr>
            <w:tcW w:w="16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0"/>
              </w:rPr>
              <w:t>Executive Compensation</w:t>
            </w:r>
          </w:p>
        </w:tc>
        <w:tc>
          <w:tcPr>
            <w:tcW w:w="6580" w:type="dxa"/>
            <w:vAlign w:val="bottom"/>
            <w:gridSpan w:val="13"/>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12.</w:t>
            </w:r>
          </w:p>
        </w:tc>
        <w:tc>
          <w:tcPr>
            <w:tcW w:w="656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1"/>
              </w:rPr>
              <w:t>Security Ownership of Certain Beneficial Owners and Management and Related Stockholder Matters</w:t>
            </w:r>
          </w:p>
        </w:tc>
        <w:tc>
          <w:tcPr>
            <w:tcW w:w="1640" w:type="dxa"/>
            <w:vAlign w:val="bottom"/>
            <w:gridSpan w:val="2"/>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13.</w:t>
            </w:r>
          </w:p>
        </w:tc>
        <w:tc>
          <w:tcPr>
            <w:tcW w:w="49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0"/>
              </w:rPr>
              <w:t>Certain Relationships and Related Transactions, and Director Independence</w:t>
            </w:r>
          </w:p>
        </w:tc>
        <w:tc>
          <w:tcPr>
            <w:tcW w:w="3300" w:type="dxa"/>
            <w:vAlign w:val="bottom"/>
            <w:gridSpan w:val="5"/>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14.</w:t>
            </w:r>
          </w:p>
        </w:tc>
        <w:tc>
          <w:tcPr>
            <w:tcW w:w="8200" w:type="dxa"/>
            <w:vAlign w:val="bottom"/>
            <w:gridSpan w:val="22"/>
          </w:tcPr>
          <w:p>
            <w:pPr>
              <w:spacing w:after="0"/>
              <w:rPr>
                <w:sz w:val="20"/>
                <w:szCs w:val="20"/>
                <w:color w:val="auto"/>
              </w:rPr>
            </w:pPr>
            <w:r>
              <w:rPr>
                <w:rFonts w:ascii="Arial" w:cs="Arial" w:eastAsia="Arial" w:hAnsi="Arial"/>
                <w:sz w:val="16"/>
                <w:szCs w:val="16"/>
                <w:color w:val="0000FF"/>
              </w:rPr>
              <w:t>Principal Accounting Fees and Services</w:t>
            </w:r>
          </w:p>
        </w:tc>
        <w:tc>
          <w:tcPr>
            <w:tcW w:w="1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15.</w:t>
            </w:r>
          </w:p>
        </w:tc>
        <w:tc>
          <w:tcPr>
            <w:tcW w:w="3500" w:type="dxa"/>
            <w:vAlign w:val="bottom"/>
            <w:tcBorders>
              <w:bottom w:val="single" w:sz="8" w:color="0000FF"/>
            </w:tcBorders>
            <w:gridSpan w:val="12"/>
          </w:tcPr>
          <w:p>
            <w:pPr>
              <w:spacing w:after="0" w:line="181" w:lineRule="exact"/>
              <w:rPr>
                <w:sz w:val="20"/>
                <w:szCs w:val="20"/>
                <w:color w:val="auto"/>
              </w:rPr>
            </w:pPr>
            <w:r>
              <w:rPr>
                <w:rFonts w:ascii="Arial" w:cs="Arial" w:eastAsia="Arial" w:hAnsi="Arial"/>
                <w:sz w:val="16"/>
                <w:szCs w:val="16"/>
                <w:color w:val="0000FF"/>
                <w:w w:val="90"/>
              </w:rPr>
              <w:t>Exhibits, Consolidated Financial Statement Schedules</w:t>
            </w:r>
          </w:p>
        </w:tc>
        <w:tc>
          <w:tcPr>
            <w:tcW w:w="4700" w:type="dxa"/>
            <w:vAlign w:val="bottom"/>
            <w:gridSpan w:val="10"/>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16.</w:t>
            </w:r>
          </w:p>
        </w:tc>
        <w:tc>
          <w:tcPr>
            <w:tcW w:w="8200" w:type="dxa"/>
            <w:vAlign w:val="bottom"/>
            <w:gridSpan w:val="22"/>
          </w:tcPr>
          <w:p>
            <w:pPr>
              <w:spacing w:after="0"/>
              <w:rPr>
                <w:sz w:val="20"/>
                <w:szCs w:val="20"/>
                <w:color w:val="auto"/>
              </w:rPr>
            </w:pPr>
            <w:r>
              <w:rPr>
                <w:rFonts w:ascii="Arial" w:cs="Arial" w:eastAsia="Arial" w:hAnsi="Arial"/>
                <w:sz w:val="16"/>
                <w:szCs w:val="16"/>
                <w:color w:val="0000FF"/>
              </w:rPr>
              <w:t>Form 10-K Summary</w:t>
            </w:r>
          </w:p>
        </w:tc>
        <w:tc>
          <w:tcPr>
            <w:tcW w:w="146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Signatures</w:t>
            </w:r>
          </w:p>
        </w:tc>
        <w:tc>
          <w:tcPr>
            <w:tcW w:w="6820" w:type="dxa"/>
            <w:vAlign w:val="bottom"/>
            <w:gridSpan w:val="15"/>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1229"/>
        </w:trPr>
        <w:tc>
          <w:tcPr>
            <w:tcW w:w="15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00" w:firstLine="567"/>
        <w:spacing w:after="0" w:line="279" w:lineRule="auto"/>
        <w:rPr>
          <w:sz w:val="20"/>
          <w:szCs w:val="20"/>
          <w:color w:val="auto"/>
        </w:rPr>
      </w:pPr>
      <w:r>
        <w:rPr>
          <w:rFonts w:ascii="Arial" w:cs="Arial" w:eastAsia="Arial" w:hAnsi="Arial"/>
          <w:sz w:val="17"/>
          <w:szCs w:val="17"/>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antibodies, including our two checkpoint agonists in clinical-stage development: rosnilimab and ANB032;</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political, economic or public health events, such as the coronavirus (“COVID-19”) pandemic on our business and the United States (“U.S.”) and global economies;</w:t>
      </w:r>
    </w:p>
    <w:p>
      <w:pPr>
        <w:spacing w:after="0" w:line="62" w:lineRule="exact"/>
        <w:rPr>
          <w:rFonts w:ascii="Arial" w:cs="Arial" w:eastAsia="Arial" w:hAnsi="Arial"/>
          <w:sz w:val="18"/>
          <w:szCs w:val="18"/>
          <w:color w:val="auto"/>
        </w:rPr>
      </w:pPr>
    </w:p>
    <w:p>
      <w:pPr>
        <w:jc w:val="both"/>
        <w:ind w:left="660" w:right="3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find a licensing partner for imsidolimab and etokimab;</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on favorable terms or at all,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macro-economic factors, including volatility in equity markets, and fluctuations in interest rates and foreign exchange rates;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the ability to obtain and maintain regulatory approvals for our product candidates, partnered product candidates and/or product candidates for which we may receive royalties;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 and other financing transactions;</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potentially best-in-class antibodies through our antibody research platform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56"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obligation to update publicly any forward-looking statements to conform these statements to actual results or to changes in our expectations, except as required by law.</w:t>
      </w:r>
    </w:p>
    <w:p>
      <w:pPr>
        <w:spacing w:after="0" w:line="62" w:lineRule="exact"/>
        <w:rPr>
          <w:sz w:val="20"/>
          <w:szCs w:val="20"/>
          <w:color w:val="auto"/>
        </w:rPr>
      </w:pPr>
    </w:p>
    <w:p>
      <w:pPr>
        <w:ind w:right="86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62"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220"/>
          </w:cols>
          <w:pgMar w:left="320" w:top="769" w:right="35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312"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in a planned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(JEMPERLI (dostarlimab-gxly)), an anti-TIM-3 antagonist antibody (cobolimab, GSK4069889) and an anti-LAG-3 antagonist antibody (GSK4074386). We currently recognize revenue from milestones and royalties achieved under our immuno-oncology collaboration with GSK.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Product Candidate Pipeline</w:t>
      </w:r>
    </w:p>
    <w:p>
      <w:pPr>
        <w:spacing w:after="0" w:line="121"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Our immune cell modulating antibodies, including anti-inflammatory checkpoint agonists for PD-1 and BTLA, treat inflammatory disorders by down regulating immune responses mediated by multiple immune cell types including T-cells, B-cells, and dendritic cells. We believe these molecules have potential applicability across a broad range of autoimmune and inflammatory disorders including dermatology, rheumatology, gastroenterology, respiratory, and neurology therapeutic areas.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Rosnilimab</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Rosnilimab is designed to suppress aberrant T cell driven inflammation by augmenting signaling through PD-1 or targeted depletion of PD-1+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Rosnilimab binds to PD-1 on a membrane proximal epitope that is on the opposite side of the receptor to that utilized by PD-L1 for binding, and thus preserves the ability of PD-L1 to agonize PD-1. In the setting of T cell activation, rosnilimab binding has been shown to induce agonistic signaling and the recruitment of SHP2 to PD-1, in a manner similar to that by PD-L1. In preclinical assays, rosnilimab prevented T cell expansion in antigen-specific response assays to numerous antigens, demonstrating prevention of T cell expansion and reduction in the secretion of inflammatory cytokines associated with multiple T cell types implicated in inflammatory pathology when dysregulated. In addition to direct agonistic activity, rosnilimab is an IgG1k antibody with effector function that can drive targeted depletion of PD-1+ T cells via the induction of antibody-dependent cellular cytotoxicity (ADCC). We believe this component of the mechanism of rosnilimab may provide more durable immune modulation by effectively eliminating the most pathogenic antigen-specific T cells in the setting of autoimmunity and inflammation. Genetic mutations in the PD-1 pathway are known to be associated with increased susceptibility to human inflammatory diseases, and hence we believe that rosnilimab is applicable to diseases where PD-1 checkpoint receptor function may be insufficient to maintain immune homeostasis.</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were administered single subcutaneous or intravenous (“IV”)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 discontinuation. The COVID-19 infection was deemed unrelated to treatment. No serious adverse events were reported in subjects receiving multiple doses of rosnilimab or placebo. Rosnilimab demonstrated a favorable pharmacokinetic profile with an estimated two-week half-life for subcutaneous and IV routes of administration. Full PD-1 receptor occupancy was observed rapidly and was maintained for at least 30 days at or above 200mg following single subcutaneous rosnilimab doses. Rosnilimab pharmacodynamic activity demonstrated rapid and sustained reduction in the quantity and functional activity of PD-1+ T cells, which are known to be pathogenic drivers of inflammatory diseases. Conventional T (Tcon) cells (CD3+, CD25 low) PD-1+, which represented approximately 25% of peripheral T cells at baseline, were reduced by 50%, including in both CD4+ and CD8+ subsets, in a dose-dependent manner and in correlation with receptor occupancy. This effect was maximized on high-PD-1+ Tcon cells, which represented approximately 5% of peripheral T cells, with 90% reduction relative to baseline. Conversely, total T cells (CD3+), total Tcon cells (CD3+, CD25low) and total regulatory T (Treg) cells (CD3+, CD4+, CD25 bright, CD127-) were unchanged (&lt;5% change from baseline), resulting in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t>consistent ratio of PD-1+ Tcon cells to total Treg cells post-treatment in healthy volunteers. No effect (&lt;5% reduction from baseline) was observed on any of the aforementioned cell types in placebo-dosed subjects.</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plan to conduct a randomized placebo-controlled multi-hundred patient global Phase 2b trial assessing three dose levels of subcutaneously administrated rosnilimab in moderate-to-severe RA for approximately six months on well-established endpoints including ACR 20/50/70 and DAS28. We expect to initiate this trial in the third quarter of 2023 with top-line interim data anticipated by mid-year 2025. We also plan to conduct a second global Phase 2 trial, in an indication to be announced, with trial initiation anticipated by the end of 2023.</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During the fourth quarter of 2021, we initiated AZURE, a randomized placebo-controlled 45-patient Phase 2 trial of rosnilimab in moderate-to-severe alopecia areata patients. We conducted an interim review of blinded data in December 2022 which demonstrated robust reductions in peripheral PD-1+ T cells, including PD-1 high T cells reduction of &gt;80%, across blinded pooled rosnilimab patients and placebo patients, which is consistent with observations in the healthy volunteer Phase 1 trial of &gt;90% in rosnilimab treated patients. The blinded data suggests rosnilimab administration was generally safe and well tolerated. Interim results suggest that target improvement in severity of alopecia tool (SALT) was not achieved potentially due to an inadequate tested dose level, limited duration of treatment, and/or complexity of disease biology including the hair growth cycle. Further development in alopecia areata will not be pursued. The unblinded final results will be available in second half of 2023.</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ANB032</w:t>
      </w:r>
    </w:p>
    <w:p>
      <w:pPr>
        <w:spacing w:after="0" w:line="11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ANB032 is designed to augment BTLA signaling, which is broadly applicable to human inflammatory diseases associated with lymphoid and myeloid immune cell dysregulation. Genetic studies have demonstrated that BTLA pathway mutations increase human susceptibility to multiple autoimmune diseases and insufficient BTLA signaling can lead to dysregulated T or B cell responses and changes in the function of dendritic cells. BTLA modulates signaling of HVEM, governing HVEM’s interaction with its natural ligands, including LIGHT. Polymorphisms in BTLA or molecules in the BTLA pathway such as HVEM are associated with inflammatory diseases, including aberrant T cell activity, B cell activity and dysregulation of downstream humoral immune responses (IgE, IgG secretion). Similarly, BTLA knockout animals have spontaneous or enhanced severity of inflammatory disease, demonstrating aberrant T cell activity, B cell activity and dysregulation of pathogenic antibody responses upon immunization. ANB032 is anticipated to down-modulate the activity of T cells, B cells and dendritic cells via several potential mechanisms: BTLA agonistic activity, stabilization of the interaction of BTLA and HVEM in cis which prevents pro-inflammatory signaling mediated by HVEM ligands such as LIGHT, and abrogation of pro-inflammatory HVEM signaling mediated by BTLA in trans.</w:t>
      </w:r>
    </w:p>
    <w:p>
      <w:pPr>
        <w:spacing w:after="0" w:line="77"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color w:val="auto"/>
        </w:rPr>
        <w:t>We announced positive top-line data from a healthy volunteer Phase 1 trial of ANB032, under a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 ANB032 was generally well-tolerated and no dose limiting toxicities were observed. No serious adverse events were reported. ANB032 demonstrated a favorable pharmacokinetic profile with an estimated two-week half-life for subcutaneous and IV routes of administration. Full PD-1 receptor occupancy was observed rapidly and was maintained for at least 30 days.</w:t>
      </w:r>
    </w:p>
    <w:p>
      <w:pPr>
        <w:spacing w:after="0" w:line="70" w:lineRule="exact"/>
        <w:rPr>
          <w:sz w:val="20"/>
          <w:szCs w:val="20"/>
          <w:color w:val="auto"/>
        </w:rPr>
      </w:pPr>
    </w:p>
    <w:p>
      <w:pPr>
        <w:ind w:right="160" w:firstLine="567"/>
        <w:spacing w:after="0" w:line="275"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ANB032 pharmacodynamic activity demonstrated inhibition of T cell proliferation and reduction in inflammatory cytokine secretion (Th1, Th2, Th17). While Th2 targeted therapies provide benefit to patients with chronic moderate-to-severe atopic dermatitis (AD), there is compelling evidence that AD is broader than a Th2 driven disease, as Th1, Th17 and other cell types, including dendritic cells, contribute significantly to the pathogenesis. ANB032 inhibition of inflammatory Th1, Th2 and Th17 activity, and modulation of additional cell types such as B cells and dendritic cells, creates the potential for broader, deeper and more durable responses than more narrowly targeted interventions.</w:t>
      </w:r>
    </w:p>
    <w:p>
      <w:pPr>
        <w:spacing w:after="0" w:line="68"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We plan to conduct a randomized placebo-controlled 160 patient Phase 2 trial assessing three dose levels of subcutaneously administrated ANB032 in moderate-to-severe AD for 12 weeks on well-established endpoints including EASI75 and IGA 0/1. We expect to initiate this clinical trial in the second quarter of 2023 with top-line interim data anticipated by the end of 2024.</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ANB033</w:t>
      </w:r>
    </w:p>
    <w:p>
      <w:pPr>
        <w:spacing w:after="0" w:line="117" w:lineRule="exact"/>
        <w:rPr>
          <w:sz w:val="20"/>
          <w:szCs w:val="20"/>
          <w:color w:val="auto"/>
        </w:rPr>
      </w:pPr>
    </w:p>
    <w:p>
      <w:pPr>
        <w:ind w:right="120" w:firstLine="567"/>
        <w:spacing w:after="0" w:line="233" w:lineRule="auto"/>
        <w:rPr>
          <w:sz w:val="20"/>
          <w:szCs w:val="20"/>
          <w:color w:val="auto"/>
        </w:rPr>
      </w:pPr>
      <w:r>
        <w:rPr>
          <w:rFonts w:ascii="Arial" w:cs="Arial" w:eastAsia="Arial" w:hAnsi="Arial"/>
          <w:sz w:val="17"/>
          <w:szCs w:val="17"/>
          <w:color w:val="auto"/>
        </w:rPr>
        <w:t>ANB033 targets CD122, the common beta subunit shared by the IL-15 and IL-2 receptors. IL-15 signaling mediates the survival and maintenance of tissue resident memory T cells (T</w:t>
      </w:r>
      <w:r>
        <w:rPr>
          <w:rFonts w:ascii="Arial" w:cs="Arial" w:eastAsia="Arial" w:hAnsi="Arial"/>
          <w:sz w:val="22"/>
          <w:szCs w:val="22"/>
          <w:color w:val="auto"/>
          <w:vertAlign w:val="subscript"/>
        </w:rPr>
        <w:t>RM</w:t>
      </w:r>
      <w:r>
        <w:rPr>
          <w:rFonts w:ascii="Arial" w:cs="Arial" w:eastAsia="Arial" w:hAnsi="Arial"/>
          <w:sz w:val="17"/>
          <w:szCs w:val="17"/>
          <w:color w:val="auto"/>
        </w:rPr>
        <w:t>). The presence of long-lived and persistent T</w:t>
      </w:r>
      <w:r>
        <w:rPr>
          <w:rFonts w:ascii="Arial" w:cs="Arial" w:eastAsia="Arial" w:hAnsi="Arial"/>
          <w:sz w:val="22"/>
          <w:szCs w:val="22"/>
          <w:color w:val="auto"/>
          <w:vertAlign w:val="subscript"/>
        </w:rPr>
        <w:t>RM</w:t>
      </w:r>
      <w:r>
        <w:rPr>
          <w:rFonts w:ascii="Arial" w:cs="Arial" w:eastAsia="Arial" w:hAnsi="Arial"/>
          <w:sz w:val="17"/>
          <w:szCs w:val="17"/>
          <w:color w:val="auto"/>
        </w:rPr>
        <w:t xml:space="preserve"> has been shown to drive tissue-specific immune-mediated inflammation. T</w:t>
      </w:r>
      <w:r>
        <w:rPr>
          <w:rFonts w:ascii="Arial" w:cs="Arial" w:eastAsia="Arial" w:hAnsi="Arial"/>
          <w:sz w:val="22"/>
          <w:szCs w:val="22"/>
          <w:color w:val="auto"/>
          <w:vertAlign w:val="subscript"/>
        </w:rPr>
        <w:t>RM</w:t>
      </w:r>
      <w:r>
        <w:rPr>
          <w:rFonts w:ascii="Arial" w:cs="Arial" w:eastAsia="Arial" w:hAnsi="Arial"/>
          <w:sz w:val="17"/>
          <w:szCs w:val="17"/>
          <w:color w:val="auto"/>
        </w:rPr>
        <w:t xml:space="preserve"> are present in the skin in dermatologic diseases, where defined borders of inflammation often recur. T</w:t>
      </w:r>
      <w:r>
        <w:rPr>
          <w:rFonts w:ascii="Arial" w:cs="Arial" w:eastAsia="Arial" w:hAnsi="Arial"/>
          <w:sz w:val="22"/>
          <w:szCs w:val="22"/>
          <w:color w:val="auto"/>
          <w:vertAlign w:val="subscript"/>
        </w:rPr>
        <w:t>RM</w:t>
      </w:r>
      <w:r>
        <w:rPr>
          <w:rFonts w:ascii="Arial" w:cs="Arial" w:eastAsia="Arial" w:hAnsi="Arial"/>
          <w:sz w:val="17"/>
          <w:szCs w:val="17"/>
          <w:color w:val="auto"/>
        </w:rPr>
        <w:t xml:space="preserve"> are also observed in other tissue-specific inflammatory disorders including gastroenterology, rheumatology and respiratory. ANB033 is designed with an affinity to CD122 that inhibits IL-15 signaling, leading to death of pathogenic T</w:t>
      </w:r>
      <w:r>
        <w:rPr>
          <w:rFonts w:ascii="Arial" w:cs="Arial" w:eastAsia="Arial" w:hAnsi="Arial"/>
          <w:sz w:val="22"/>
          <w:szCs w:val="22"/>
          <w:color w:val="auto"/>
          <w:vertAlign w:val="subscript"/>
        </w:rPr>
        <w:t>RM</w:t>
      </w:r>
      <w:r>
        <w:rPr>
          <w:rFonts w:ascii="Arial" w:cs="Arial" w:eastAsia="Arial" w:hAnsi="Arial"/>
          <w:sz w:val="17"/>
          <w:szCs w:val="17"/>
          <w:color w:val="auto"/>
        </w:rPr>
        <w:t xml:space="preserve"> cells in diseased tissue, with the potential to achieve and maintain remission of inflammation through the elimination of these disease-causing cells. In addition, ANB033 inhibits IL-2 signaling through the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low affinity IL-2 receptor (comprised of CD122 and the common gamma subunit, CD132) expressed on T cells, while sparing regulatory T cells which express the high affinity IL-2 receptor (comprised of CD122, CD132 and the alpha receptor subunit for IL-2, CD25). This drives reduction of pathogenic T cell numbers while sparing or potentially enhancing regulatory T cell numbers. We anticipate submitting an IND for a Phase 1 clinical trial with ANB033 during the first half of 2024.</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Imsidolimab</w:t>
      </w:r>
    </w:p>
    <w:p>
      <w:pPr>
        <w:spacing w:after="0" w:line="11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Imsidolimab inhibits the interleukin-36 receptor (IL-36R) and is being developed for the treatment of GPP. We completed a Phase 1 clinical trial in healthy volunteers, which was presented at the European Academy of Allergy and Clinical Immunology in 2018, where imsidolimab was well-tolerated, no dose-limiting toxicities were observed, and no serious adverse events were reported.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in October 2021.</w:t>
      </w:r>
    </w:p>
    <w:p>
      <w:pPr>
        <w:spacing w:after="0" w:line="84"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We have initiated two Phase 3 trials for imsidolimab for GPP. The first, called GEMINI-1, will enroll approximately 45 moderate-to-severe GPP patients, each undergoing an active flare at baseline, which will be randomized equally to receive a single dose of 750mg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3 years of monthly dosing. Top-line data from an interim analysis of GEMINI-1 is anticipated in the fourth quarter of 2023.</w:t>
      </w:r>
    </w:p>
    <w:p>
      <w:pPr>
        <w:spacing w:after="0" w:line="58"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We announced in August 2022 that we intend to complete execution of our Phase 3 program in GPP and out-license imsidolimab prior to potential FDA approval.</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Etokimab</w:t>
      </w:r>
    </w:p>
    <w:p>
      <w:pPr>
        <w:spacing w:after="0" w:line="117"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and atopic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announced in January 2023 that etokimab is available to out-license.</w:t>
      </w:r>
    </w:p>
    <w:p>
      <w:pPr>
        <w:spacing w:after="0" w:line="69"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49" w:lineRule="exact"/>
        <w:rPr>
          <w:sz w:val="20"/>
          <w:szCs w:val="20"/>
          <w:color w:val="auto"/>
        </w:rPr>
      </w:pPr>
    </w:p>
    <w:p>
      <w:pPr>
        <w:ind w:firstLine="567"/>
        <w:spacing w:after="0" w:line="236" w:lineRule="auto"/>
        <w:rPr>
          <w:sz w:val="20"/>
          <w:szCs w:val="20"/>
          <w:color w:val="auto"/>
        </w:rPr>
      </w:pPr>
      <w:r>
        <w:rPr>
          <w:rFonts w:ascii="Arial" w:cs="Arial" w:eastAsia="Arial" w:hAnsi="Arial"/>
          <w:sz w:val="18"/>
          <w:szCs w:val="18"/>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JEMPERLI is currently in Phase 3 trials for various solid tumor indications, including first-line advanced/recurrent endometrial cancer and first-line ovarian cancer.</w:t>
      </w:r>
    </w:p>
    <w:p>
      <w:pPr>
        <w:spacing w:after="0" w:line="86" w:lineRule="exact"/>
        <w:rPr>
          <w:sz w:val="20"/>
          <w:szCs w:val="20"/>
          <w:color w:val="auto"/>
        </w:rPr>
      </w:pPr>
    </w:p>
    <w:p>
      <w:pPr>
        <w:ind w:right="280" w:firstLine="567"/>
        <w:spacing w:after="0" w:line="241" w:lineRule="auto"/>
        <w:rPr>
          <w:sz w:val="20"/>
          <w:szCs w:val="20"/>
          <w:color w:val="auto"/>
        </w:rPr>
      </w:pPr>
      <w:r>
        <w:rPr>
          <w:rFonts w:ascii="Arial" w:cs="Arial" w:eastAsia="Arial" w:hAnsi="Arial"/>
          <w:sz w:val="18"/>
          <w:szCs w:val="18"/>
          <w:color w:val="auto"/>
        </w:rPr>
        <w:t>In addition, under the collaboration, GSK is developing dostarlimab in combination with two other development programs from the GSK Agreement: cobolimab, an anti-TIM-3 antibody, and GSK40974386, an anti-LAG-3 antibody for multiple solid tumor indications.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w:t>
      </w:r>
    </w:p>
    <w:p>
      <w:pPr>
        <w:spacing w:after="0" w:line="8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In June 2021, GSK estimated potential peak annual global JEMPERLI sales on a non-risk adjusted basis of £1-£2 billion for currently approved indications and first-line use in endometrial and ovarian cancer only.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certain key information about our wholly-owned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83185</wp:posOffset>
            </wp:positionV>
            <wp:extent cx="5554980" cy="3060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498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a clinical-stage biotechnology company focused on delivering innovative immunology therapeutics. Our immune cell modulating antibodies, developed internally with our antibody research platform, modulate key nodes governing the body’s regulation of inflammation and autoimmunity. Dysregulated immune responses may result in abnormal and pathological inflammation in disorders with large and substantially underserved patient populations in the therapeutic areas of dermatology, rheumatology, gastroenterology, respiratory and neurology. The key elements of our strategy include:</w:t>
      </w:r>
    </w:p>
    <w:p>
      <w:pPr>
        <w:spacing w:after="0" w:line="80" w:lineRule="exact"/>
        <w:rPr>
          <w:sz w:val="20"/>
          <w:szCs w:val="20"/>
          <w:color w:val="auto"/>
        </w:rPr>
      </w:pPr>
    </w:p>
    <w:p>
      <w:pPr>
        <w:ind w:left="660" w:right="3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Enabling broad development of our immune cell modulator portfolio, including our checkpoint agonist programs, rosnilimab and ANB032, in indications including moderate-to-severe RA and AD, respectively.</w:t>
      </w:r>
    </w:p>
    <w:p>
      <w:pPr>
        <w:spacing w:after="0" w:line="62"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Generating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translational and clinical data to inform the potential differentiation of our molecules from in-class competitors and, relative to standard of care, treat patient populations most likely to have deeper and/or more durable responses by restoring immune balance.</w:t>
      </w:r>
    </w:p>
    <w:p>
      <w:pPr>
        <w:spacing w:after="0" w:line="15"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Facilitating the global commercialization of our checkpoint agonists while retaining rights in key therapeutic areas and/or commercial markets to enable us to become a fully integrated discovery, development and commercial organization.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Continuing to leverage our research platform to generate potentially best-in-class antibodies against high-value immunological targets.</w:t>
      </w:r>
    </w:p>
    <w:p>
      <w:pPr>
        <w:spacing w:after="0" w:line="12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Maximizing return on equity through execution against a multi-year capital and operating plan, including the potential for future royalty revenues from our GSK immuno-oncology collaboration and, where actionable, monetizing our legacy cytokine antagonist programs and enabling further external development and, potentially, commercialization.</w:t>
      </w:r>
    </w:p>
    <w:p>
      <w:pPr>
        <w:spacing w:after="0" w:line="76"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 w:name="page9"/>
    <w:bookmarkEnd w:id="8"/>
    <w:p>
      <w:pPr>
        <w:ind w:right="300"/>
        <w:spacing w:after="0" w:line="259" w:lineRule="auto"/>
        <w:rPr>
          <w:sz w:val="20"/>
          <w:szCs w:val="20"/>
          <w:color w:val="auto"/>
        </w:rPr>
      </w:pPr>
      <w:r>
        <w:rPr>
          <w:rFonts w:ascii="Arial" w:cs="Arial" w:eastAsia="Arial" w:hAnsi="Arial"/>
          <w:sz w:val="18"/>
          <w:szCs w:val="18"/>
          <w:color w:val="auto"/>
        </w:rPr>
        <w:t>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spacing w:after="0" w:line="79"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180" w:hanging="328"/>
        <w:spacing w:after="0" w:line="298"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Fab Domain. </w:t>
      </w:r>
      <w:r>
        <w:rPr>
          <w:rFonts w:ascii="Arial" w:cs="Arial" w:eastAsia="Arial" w:hAnsi="Arial"/>
          <w:sz w:val="16"/>
          <w:szCs w:val="16"/>
          <w:color w:val="auto"/>
        </w:rPr>
        <w:t>Due to the relatively large size and complex nature of the antibody Fab domain, antibodies generally bind with high specificity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45" w:lineRule="exact"/>
        <w:rPr>
          <w:rFonts w:ascii="Arial" w:cs="Arial" w:eastAsia="Arial" w:hAnsi="Arial"/>
          <w:sz w:val="16"/>
          <w:szCs w:val="16"/>
          <w:color w:val="auto"/>
        </w:rPr>
      </w:pPr>
    </w:p>
    <w:p>
      <w:pPr>
        <w:ind w:left="660" w:right="60" w:hanging="328"/>
        <w:spacing w:after="0" w:line="288"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Fc Domain. </w:t>
      </w:r>
      <w:r>
        <w:rPr>
          <w:rFonts w:ascii="Arial" w:cs="Arial" w:eastAsia="Arial" w:hAnsi="Arial"/>
          <w:sz w:val="16"/>
          <w:szCs w:val="16"/>
          <w:color w:val="auto"/>
        </w:rPr>
        <w:t>The Fc domain of an antibody is the tail region that interacts with cell surface receptors called Fc receptors and some proteins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5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w:t>
      </w:r>
    </w:p>
    <w:p>
      <w:pPr>
        <w:spacing w:after="0" w:line="27" w:lineRule="exact"/>
        <w:rPr>
          <w:rFonts w:ascii="Arial" w:cs="Arial" w:eastAsia="Arial" w:hAnsi="Arial"/>
          <w:sz w:val="18"/>
          <w:szCs w:val="18"/>
          <w:color w:val="auto"/>
        </w:rPr>
      </w:pPr>
    </w:p>
    <w:p>
      <w:pPr>
        <w:ind w:left="660"/>
        <w:spacing w:after="0" w:line="260" w:lineRule="auto"/>
        <w:rPr>
          <w:rFonts w:ascii="Arial" w:cs="Arial" w:eastAsia="Arial" w:hAnsi="Arial"/>
          <w:sz w:val="18"/>
          <w:szCs w:val="18"/>
          <w:color w:val="auto"/>
        </w:rPr>
      </w:pPr>
      <w:r>
        <w:rPr>
          <w:rFonts w:ascii="Arial" w:cs="Arial" w:eastAsia="Arial" w:hAnsi="Arial"/>
          <w:sz w:val="18"/>
          <w:szCs w:val="18"/>
          <w:color w:val="auto"/>
        </w:rPr>
        <w:t>molecules. Full length antibodies tend to exhibit serum half-lives of seven to 24 days in humans, leading to bi-weekly or monthly dosing as typical practice for therapeutic antibodies.</w:t>
      </w:r>
    </w:p>
    <w:p>
      <w:pPr>
        <w:spacing w:after="0" w:line="73" w:lineRule="exact"/>
        <w:rPr>
          <w:rFonts w:ascii="Arial" w:cs="Arial" w:eastAsia="Arial" w:hAnsi="Arial"/>
          <w:sz w:val="18"/>
          <w:szCs w:val="18"/>
          <w:color w:val="auto"/>
        </w:rPr>
      </w:pPr>
    </w:p>
    <w:p>
      <w:pPr>
        <w:ind w:left="660" w:hanging="328"/>
        <w:spacing w:after="0" w:line="347"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affinity to their desired target, with binding dissociation constants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low nanomolar to picomolar range. Hence, antibodies tend to be dosed at low amounts (less than 1 gram quantities per course of therapy).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160" w:firstLine="567"/>
        <w:spacing w:after="0" w:line="272"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 insufficient diversity, lack of functional activity selection, and low potency. Antibody discovery technologies are often not utilized in combination, or iteratively in combination, or utilized in the appropriate immunological setting that would be conducive to co-discovery of appropriate Fab and Fc domains that work together to accomplish more challenging therapeutic mechanisms of action, such as immune cell modulation.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Antibody Research Platform</w:t>
      </w:r>
    </w:p>
    <w:p>
      <w:pPr>
        <w:spacing w:after="0" w:line="121"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 xml:space="preserve">Our innovative antibody research platform is designed to discover and optimize therapeutic antibodies that are tailored to modulate immune function, whether they may be antagonists or immune cell modulators. Discovery and optimization occurs first on the Fab domain of the antibody where we often utilize a technology that replicates the natural process of somatic hyper mutation (“SHM”) employed by the human immune system through the expression of a key enzyme called activation-induced cytidine deaminase, (“AID”). SHM is a critical, endogenous process that generates the essential antibody diversity required to develop a natural immune response to pathogens, expanding the limited diversity encoded within human genomes to billions of antibody specificities. By coupling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SHM with our mammalian cell system that simultaneously displays and secretes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antibodies, we believe SHM rapidly evolves in an iterative fashion the binding potency and function of antibodies to levels that we believe will be required for therapeutic use with high potency functional activity while simultaneously mitigating potential manufacturing liabilities.</w:t>
      </w:r>
    </w:p>
    <w:p>
      <w:pPr>
        <w:spacing w:after="0" w:line="62"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 xml:space="preserve">In addition to optimizing the Fab domain of antibodies for therapeutic purposes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SHM, we also optimize the Fc domain of the antibody, when needed, to tailor it for specific activity. Appropriate Fc domains are utilized to reduce Fc receptor interactions or to optimize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68" w:lineRule="exact"/>
        <w:rPr>
          <w:sz w:val="20"/>
          <w:szCs w:val="20"/>
          <w:color w:val="auto"/>
        </w:rPr>
      </w:pPr>
    </w:p>
    <w:p>
      <w:pPr>
        <w:ind w:right="260" w:firstLine="567"/>
        <w:spacing w:after="0" w:line="263" w:lineRule="auto"/>
        <w:rPr>
          <w:sz w:val="20"/>
          <w:szCs w:val="20"/>
          <w:color w:val="auto"/>
        </w:rPr>
      </w:pPr>
      <w:r>
        <w:rPr>
          <w:rFonts w:ascii="Arial" w:cs="Arial" w:eastAsia="Arial" w:hAnsi="Arial"/>
          <w:sz w:val="18"/>
          <w:szCs w:val="18"/>
          <w:color w:val="auto"/>
        </w:rPr>
        <w:t>Optimized antibodies are tested in an extensive suite of immune cell assays, using engineered cell lines, and more relevantly, primary human immune cells from healthy and diseased individuals that we believe most accurately recapitulates the conditions in which the antibody will need to have optimal activity in patients.</w:t>
      </w:r>
    </w:p>
    <w:p>
      <w:pPr>
        <w:spacing w:after="0" w:line="76"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 xml:space="preserve">We believe that by combining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SHM discovery platform with an appropriate Fc domain, in combination with a suite of primary immune cell assays, and finally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functional assessment, we effectively tailor antibody discovery to achieve a unique therapeutic benefit.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GlaxoSmithKline</w:t>
      </w:r>
    </w:p>
    <w:p>
      <w:pPr>
        <w:spacing w:after="0" w:line="121"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In March 2014, we entered into a Collaboration and Exclusive License Agreement with GSK (the “GSK Agreement”) for the development and commercialization of therapeutic monospecific and bispecific antibodies that antagonize PD-1, TIM-3, LAG-3 and/or a fourth undisclosed checkpoint receptor. We received $17.0 million in upfront fees from GSK in March 2014, and in November 2014, we amended the agreement with GSK to include the development 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GSK Agreement in February 2016.</w:t>
      </w:r>
    </w:p>
    <w:p>
      <w:pPr>
        <w:spacing w:after="0" w:line="70"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For each of the targets under the GSK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GSK is obligated to pay us tiered royalties, ranging from 4% to 8%, for each product developed under the agreement, except in the case of JEMPERLI where the royalties payable will be 8% to 25% as described below, on annualized net sales of each antibody commercialized from the collaboration.</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October 23, 2020, we amended the GSK Agreement (the “2020 Amendment”). Under the 2020 Amendment, we were granted increased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royalties upon sales of JEMPERLI (dostarlimab), an anti-PD-1 antagonist antibody under development by GSK for multiple oncological disorders, equal to</w:t>
      </w:r>
    </w:p>
    <w:p>
      <w:pPr>
        <w:spacing w:after="0" w:line="58"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8% of Net Sales (as defined in the GSK Agreement) below $1.0 billion and from 12% up to 25% of Net Sales above $1.0 billion. The 2020 Amendment also provided for a one-time non-refundable cash payment of $60.0 million that we received in the fourth quarter of 2020. The $1.1 billion in cash</w:t>
      </w:r>
    </w:p>
    <w:p>
      <w:pPr>
        <w:jc w:val="both"/>
        <w:ind w:right="80"/>
        <w:spacing w:after="0" w:line="263" w:lineRule="auto"/>
        <w:rPr>
          <w:sz w:val="20"/>
          <w:szCs w:val="20"/>
          <w:color w:val="auto"/>
        </w:rPr>
      </w:pPr>
      <w:r>
        <w:rPr>
          <w:rFonts w:ascii="Arial" w:cs="Arial" w:eastAsia="Arial" w:hAnsi="Arial"/>
          <w:sz w:val="18"/>
          <w:szCs w:val="18"/>
          <w:color w:val="auto"/>
        </w:rPr>
        <w:t>milestone payments due under the GSK Agreement remain unchanged. Additionally, under the terms of the 2020 Amendment, GSK has agreed to certain diligence commitments with respect to the future development of JEMPERLI, and the parties have agreed to review such commitments under regular joint review committee meetings going forward.</w:t>
      </w:r>
    </w:p>
    <w:p>
      <w:pPr>
        <w:spacing w:after="0" w:line="76"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October 2021, we entered into the JEMPERLI Royalty Monetization Agreement (the “JEMPERLI Royalty Monetization Agreement”) with Sagard. Under the terms of the JEMPERLI Royalty Monetization Agreement, we received $250.0 million, upon closing in December 2021, in exchange for royalties payable to us under the GSK collaboration on annual global net sales of JEMPERLI below $1.0 billion, as well as certain milestone payments, starting in October 2021. The aggregate JEMPERLI royalties and certain future milestones to be received by Sagard under the JEMPERLI Royalty Monetization Agreement are capped at certain fixed multiples of the upfront payment based on time. For more information see Note 5 — Sale of Future Royalties in the accompanying notes to the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0" w:name="page11"/>
    <w:bookmarkEnd w:id="10"/>
    <w:p>
      <w:pPr>
        <w:jc w:val="both"/>
        <w:ind w:right="100" w:firstLine="567"/>
        <w:spacing w:after="0" w:line="263" w:lineRule="auto"/>
        <w:rPr>
          <w:sz w:val="20"/>
          <w:szCs w:val="20"/>
          <w:color w:val="auto"/>
        </w:rPr>
      </w:pPr>
      <w:r>
        <w:rPr>
          <w:rFonts w:ascii="Arial" w:cs="Arial" w:eastAsia="Arial" w:hAnsi="Arial"/>
          <w:sz w:val="18"/>
          <w:szCs w:val="18"/>
          <w:color w:val="auto"/>
        </w:rPr>
        <w:t>This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62" w:lineRule="exact"/>
        <w:rPr>
          <w:sz w:val="20"/>
          <w:szCs w:val="20"/>
          <w:color w:val="auto"/>
        </w:rPr>
      </w:pPr>
    </w:p>
    <w:p>
      <w:pPr>
        <w:ind w:right="60" w:firstLine="567"/>
        <w:spacing w:after="0" w:line="252" w:lineRule="auto"/>
        <w:rPr>
          <w:sz w:val="20"/>
          <w:szCs w:val="20"/>
          <w:color w:val="auto"/>
        </w:rPr>
      </w:pPr>
      <w:r>
        <w:rPr>
          <w:rFonts w:ascii="Arial" w:cs="Arial" w:eastAsia="Arial" w:hAnsi="Arial"/>
          <w:sz w:val="17"/>
          <w:szCs w:val="17"/>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JEMPERLI is currently in Phase 3 trials for various solid tumor indications, including first-line advanced/recurrent endometrial cancer and first-line ovarian cancer.</w:t>
      </w:r>
    </w:p>
    <w:p>
      <w:pPr>
        <w:spacing w:after="0" w:line="73" w:lineRule="exact"/>
        <w:rPr>
          <w:sz w:val="20"/>
          <w:szCs w:val="20"/>
          <w:color w:val="auto"/>
        </w:rPr>
      </w:pPr>
    </w:p>
    <w:p>
      <w:pPr>
        <w:ind w:right="280" w:firstLine="567"/>
        <w:spacing w:after="0" w:line="284" w:lineRule="auto"/>
        <w:rPr>
          <w:sz w:val="20"/>
          <w:szCs w:val="20"/>
          <w:color w:val="auto"/>
        </w:rPr>
      </w:pPr>
      <w:r>
        <w:rPr>
          <w:rFonts w:ascii="Arial" w:cs="Arial" w:eastAsia="Arial" w:hAnsi="Arial"/>
          <w:sz w:val="16"/>
          <w:szCs w:val="16"/>
          <w:color w:val="auto"/>
        </w:rPr>
        <w:t>In addition, under the collaboration, GSK is developing dostarlimab in combination with two other development programs from the GSK Agreement: cobolimab, an anti-TIM-3 antibody, and GSK40974386, an anti-LAG-3 antibody for multiple solid tumor indications. GSK is conducting a Phase 3 trial, COSTAR Lung, which is a randomized, open label 3-arm trial comparing cobolimab plus dostarlimab plus docetaxel to dostarlimab plus docetaxel to docetaxel alone in patients with advanced NSCLC who have progressed on prior anti-PD-(L)1 therapy and chemotherapy.</w:t>
      </w:r>
    </w:p>
    <w:p>
      <w:pPr>
        <w:spacing w:after="0" w:line="4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In June 2021, GSK estimated potential peak annual global JEMPERLI sales on a non-risk adjusted basis of £1-£2 billion for currently approved indications and first-line use in endometrial and ovarian cancer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Bristol-Myers Squibb</w:t>
      </w:r>
    </w:p>
    <w:p>
      <w:pPr>
        <w:spacing w:after="0" w:line="121"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0" w:lineRule="exact"/>
        <w:rPr>
          <w:sz w:val="20"/>
          <w:szCs w:val="20"/>
          <w:color w:val="auto"/>
        </w:rPr>
      </w:pPr>
    </w:p>
    <w:p>
      <w:pPr>
        <w:ind w:right="500" w:firstLine="567"/>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The BMS Agreement continues until our royalty rights on any BMS product resulting from the collaboration expire, which period will last at least ten years after any such product first goes to market. Either we or BMS may terminate the BMS Agreement in the event of an uncured material breach by the other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UKRI</w:t>
      </w:r>
    </w:p>
    <w:p>
      <w:pPr>
        <w:spacing w:after="0" w:line="121"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which has subsequently been acquired by United Kingdom Research and Innovation (“UKRI”), to obtain rights to multiple patents and patent applications relating to fundamental discoveries with respect to SHM and AID. We since amended this license agreement to include additional subject matter and reflect the change in ownership. Under the terms of the agreement (the “UKRI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w:t>
      </w:r>
    </w:p>
    <w:p>
      <w:pPr>
        <w:spacing w:after="0" w:line="70"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are responsible for paying UKRI an annual fee of $55,000. Additionally, for each product developed and commercialized under the UKRI Agreement, we are obligated to pay UKRI up to an additional $175,000 upon the achievement of specified development milestone events and up to an additional $275,000 upon the achievement of specified regulatory milestone events. In addition, we owe UKRI royalties at 0.25% of annual net sales for worldwide sales on a product-by-product at or below $750.0 million and 1% of annual net sales of products worldwide above $750.0 million, payable on a country-by-country basis until the expiration of the last licensed patent covering such product in such country. Under this license agreement, we have rights to 10 patents worldwide as of December 31, 2022.</w:t>
      </w:r>
    </w:p>
    <w:p>
      <w:pPr>
        <w:spacing w:after="0" w:line="84"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Unless earlier terminated, the UKRI Agreement will expire upon expiration of all royalty payment obligations under the UKRI Agreement. Either party may terminate the UKRI Agreement in the event of an uncured material breach by the other party or upon the occurrence of specified bankruptcy events for the other party. We may terminate the UKRI Agreement upon 60 days’ notice to UKRI.</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120" w:firstLine="567"/>
        <w:spacing w:after="0" w:line="291" w:lineRule="auto"/>
        <w:rPr>
          <w:sz w:val="20"/>
          <w:szCs w:val="20"/>
          <w:color w:val="auto"/>
        </w:rPr>
      </w:pPr>
      <w:r>
        <w:rPr>
          <w:rFonts w:ascii="Arial" w:cs="Arial" w:eastAsia="Arial" w:hAnsi="Arial"/>
          <w:sz w:val="16"/>
          <w:szCs w:val="16"/>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(the “Millipore Agreement”), we are obligated to pay Millipore $87,500 in annual license fees, adjusted annually for inflation using the Consumer Price Index. Additionally, for each product developed and commercialized under the Millipore Agreement, we are obligated to pay Millipore up to an additional $750,000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58" w:lineRule="exact"/>
        <w:rPr>
          <w:sz w:val="20"/>
          <w:szCs w:val="20"/>
          <w:color w:val="auto"/>
        </w:rPr>
      </w:pPr>
    </w:p>
    <w:p>
      <w:pPr>
        <w:jc w:val="both"/>
        <w:ind w:right="30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UKRI, as well as patents co-owned with GSK consisted of approximately 82 issued patents and 90 pending patent applications as of December 31, 2022.</w:t>
      </w:r>
    </w:p>
    <w:p>
      <w:pPr>
        <w:spacing w:after="0" w:line="49"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internal programs and platform technology are outlined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Rosnilimab</w:t>
      </w:r>
    </w:p>
    <w:p>
      <w:pPr>
        <w:spacing w:after="0" w:line="121" w:lineRule="exact"/>
        <w:rPr>
          <w:sz w:val="20"/>
          <w:szCs w:val="20"/>
          <w:color w:val="auto"/>
        </w:rPr>
      </w:pPr>
    </w:p>
    <w:p>
      <w:pPr>
        <w:ind w:right="120" w:firstLine="567"/>
        <w:spacing w:after="0" w:line="311" w:lineRule="auto"/>
        <w:rPr>
          <w:sz w:val="20"/>
          <w:szCs w:val="20"/>
          <w:color w:val="auto"/>
        </w:rPr>
      </w:pPr>
      <w:r>
        <w:rPr>
          <w:rFonts w:ascii="Arial" w:cs="Arial" w:eastAsia="Arial" w:hAnsi="Arial"/>
          <w:sz w:val="16"/>
          <w:szCs w:val="16"/>
          <w:color w:val="auto"/>
        </w:rPr>
        <w:t>As of December 31, 2022, we owned 16 patent applications in various countries directed to the antibody sequence of rosnilimab and its variants, methods of use and related matters. We intend to prosecute our pending applications and pursue patent issuance and protection in key commercial markets where significant product sales may occur. Patents that may issue from our pending applications could provide protection until June 2040.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ANB032</w:t>
      </w:r>
    </w:p>
    <w:p>
      <w:pPr>
        <w:spacing w:after="0" w:line="121"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As of December 31, 2022, we owned one international (PCT) patent application and one U.S. provisional patent application directed to the antibody sequence of ANB032 and its variants, methods of use and related matters. We intend to prosecute the pending international patent application and file additional patent applications claiming priority to the U.S. provisional patent application, and pursue patent issuance and protection in key commercial markets where significant product sales may occur. Patents that may issue from our pending applications, or other patent applications claiming priority thereto, could provide protection until April 2043.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ANB033</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As of December 31, 2022, we owned one pending U.S. provisional patent application directed to the antibody sequence of ANB033 and its variants, methods of use and related matters. We intend to file additional patent applications claiming priority to the U.S. provisional patent application, and pursue patent issuance, in key commercial markets where significant product sales may occur. Patents that may issue claiming priority to our provisional patent application could provide protection until November 2043.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w:t>
      </w:r>
    </w:p>
    <w:p>
      <w:pPr>
        <w:spacing w:after="0" w:line="121"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As of December 31, 2022, we owned 24 patents and patent applications in various countries directed to the antibody sequence of imsidolimab and its variants, methods of use and related matters. We intend to prosecute our pending applications and pursue patent issuance and protection in key commercial markets where significant product sales may occur. Patents that have issued or may issue from our pending applications could provide protection until May 2042.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Etokimab</w:t>
      </w:r>
    </w:p>
    <w:p>
      <w:pPr>
        <w:spacing w:after="0" w:line="121"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As of December 31, 2022, we owned 17 patents and patent applications in various countries directed to the antibody sequence of etokimab and its variants, methods of use and related matters. We intend to prosecute our pending applications and pursue patent issuance and protection in key commercial markets where significant product sales may occur. Patents that have issued or may issue from our pending applications could provide protection until January 2035.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Dostarlimab (GSK4057190)</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As of December 31, 2022, we owned or co-owned 24 patents and patent applications in various countries directed to the antibody sequence of GSK4057190 (dostarlimab), an anti-PD-1 antagonist, and its variants, methods of use and related matters. We intend to prosecute our pending applications and pursue patent issuance and protection in key commercial markets where significant product sales may occur. Patents that have issued or may issue from our pending applications could provide protection until June 2038.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Cobolimab (GSK4069889)</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As of December 31, 2022, we owned or co-owned 23 patents and patent applications in various countries directed to the antibody sequence of GSK4069889 (cobolimab), an anti-TIM-3 antagonist, and its variants, methods of use and related matters. We intend to prosecute our pending applications and pursue patent issuance and protection in key commercial markets where significant product sales may occur. Patents that have issued or may issue from our pending applications could provide protection until November 2037.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GSK4074386</w:t>
      </w:r>
    </w:p>
    <w:p>
      <w:pPr>
        <w:spacing w:after="0" w:line="121"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As of December 31, 2022, we owned or co-owned 37 patents and patent applications in various countries directed to the antibody sequence of GSK4074386, an anti-LAG-3 antagonist, and its variants, methods of use and related matters. We intend to prosecute our pending applications and pursue patent issuance and protection in key commercial markets where significant product sales may occur. Patents that have issued or may issue from our pending applications could provide protection until April 2038.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emanating from our in-licensed portfolio and wholly-owned portfolio, in various jurisdictions.</w:t>
      </w:r>
    </w:p>
    <w:p>
      <w:pPr>
        <w:spacing w:after="0" w:line="62" w:lineRule="exact"/>
        <w:rPr>
          <w:sz w:val="20"/>
          <w:szCs w:val="20"/>
          <w:color w:val="auto"/>
        </w:rPr>
      </w:pPr>
    </w:p>
    <w:p>
      <w:pPr>
        <w:ind w:right="220" w:firstLine="567"/>
        <w:spacing w:after="0" w:line="311" w:lineRule="auto"/>
        <w:rPr>
          <w:sz w:val="20"/>
          <w:szCs w:val="20"/>
          <w:color w:val="auto"/>
        </w:rPr>
      </w:pPr>
      <w:r>
        <w:rPr>
          <w:rFonts w:ascii="Arial" w:cs="Arial" w:eastAsia="Arial" w:hAnsi="Arial"/>
          <w:sz w:val="16"/>
          <w:szCs w:val="16"/>
          <w:color w:val="auto"/>
        </w:rPr>
        <w:t>Our portfolio includes patents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May 2033.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Intellectual Property Matters</w:t>
      </w:r>
    </w:p>
    <w:p>
      <w:pPr>
        <w:spacing w:after="0" w:line="121"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8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line="279" w:lineRule="auto"/>
        <w:rPr>
          <w:sz w:val="20"/>
          <w:szCs w:val="20"/>
          <w:color w:val="auto"/>
        </w:rPr>
      </w:pPr>
      <w:r>
        <w:rPr>
          <w:rFonts w:ascii="Arial" w:cs="Arial" w:eastAsia="Arial" w:hAnsi="Arial"/>
          <w:sz w:val="17"/>
          <w:szCs w:val="17"/>
          <w:color w:val="auto"/>
        </w:rPr>
        <w:t>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63"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68"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We must manufacture drug product for clinical trial use in compliance with current good manufacturing practices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8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to manufacture cGMP drug substance or filled drug product for use in human clinical trials.</w:t>
      </w:r>
    </w:p>
    <w:p>
      <w:pPr>
        <w:spacing w:after="0" w:line="7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We rely on third-party manufacturers to generate cGMP-grade cell lines and will rely on them to produce cGMP drug product required for our clinical trials, and we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70"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73" w:lineRule="exact"/>
        <w:rPr>
          <w:sz w:val="20"/>
          <w:szCs w:val="20"/>
          <w:color w:val="auto"/>
        </w:rPr>
      </w:pPr>
    </w:p>
    <w:p>
      <w:pPr>
        <w:ind w:right="40" w:firstLine="567"/>
        <w:spacing w:after="0" w:line="296"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53"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product candidates, including major pharmaceutical companies.</w:t>
      </w:r>
    </w:p>
    <w:p>
      <w:pPr>
        <w:spacing w:after="0" w:line="62"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For our anti-PD-1 agonist antibody program, our competitors include other anti-PD-1 agonist antibodies peresolimab (Eli Lilly) in Phase 2b development for the treatment of rheumatoid arthritis, JNJ-67484703 (Janssen) in Phase 2 development, a PD-1 agonist antibody (Boehringer Ingelheim) in Phase 1 development, PT627 and PT001 (Pandion Therapeutics, which has been acquired by Merck) in preclinical development, and MB151 (MiroBio, which has been acquired by Gilead) in preclinical development. Our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84" w:lineRule="exact"/>
        <w:rPr>
          <w:sz w:val="20"/>
          <w:szCs w:val="20"/>
          <w:color w:val="auto"/>
        </w:rPr>
      </w:pPr>
    </w:p>
    <w:p>
      <w:pPr>
        <w:ind w:right="280" w:firstLine="567"/>
        <w:spacing w:after="0" w:line="273" w:lineRule="auto"/>
        <w:rPr>
          <w:sz w:val="20"/>
          <w:szCs w:val="20"/>
          <w:color w:val="auto"/>
        </w:rPr>
      </w:pPr>
      <w:r>
        <w:rPr>
          <w:rFonts w:ascii="Arial" w:cs="Arial" w:eastAsia="Arial" w:hAnsi="Arial"/>
          <w:sz w:val="17"/>
          <w:szCs w:val="17"/>
          <w:color w:val="auto"/>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Phase 1 development which has been acquired by Gilead). Our competitors in moderate-to-severe atopic dermatitis include topical and oral corticosteroids, calcineurin inhibitors (Protopic; LEO Pharma and Elidel; Bausch Health), monoclonal antibodies targeting IL-4/13 (Dupixent; Regeneron/Sanofi), IL-13 (Adbry; LEO Pharma and lebrikizumab; Eli Lilly), IL-31 (nemolizumab; Galderma), OX-40L (amlitelimab; Sanofi), and janus kinase inhibitors (Rinvoq; AbbVie and abrocitinib; Pfizer).</w:t>
      </w:r>
    </w:p>
    <w:p>
      <w:pPr>
        <w:spacing w:after="0" w:line="70" w:lineRule="exact"/>
        <w:rPr>
          <w:sz w:val="20"/>
          <w:szCs w:val="20"/>
          <w:color w:val="auto"/>
        </w:rPr>
      </w:pPr>
    </w:p>
    <w:p>
      <w:pPr>
        <w:ind w:right="480" w:firstLine="567"/>
        <w:spacing w:after="0" w:line="263" w:lineRule="auto"/>
        <w:rPr>
          <w:sz w:val="20"/>
          <w:szCs w:val="20"/>
          <w:color w:val="auto"/>
        </w:rPr>
      </w:pPr>
      <w:r>
        <w:rPr>
          <w:rFonts w:ascii="Arial" w:cs="Arial" w:eastAsia="Arial" w:hAnsi="Arial"/>
          <w:sz w:val="18"/>
          <w:szCs w:val="18"/>
          <w:color w:val="auto"/>
        </w:rPr>
        <w:t>For our anti-CD122 antagonist antibody program, our competitors include one other anti-CD122 antagonist antibody, auremolimab (Villaris Therapeutics, which has been acquired by Incyte), currently in preclinical development, and an anti-IL-15 monoclonal antibody, AMG 714 (Amgen), currently in Phase 2 development for the treatment of vitiligo.</w:t>
      </w:r>
    </w:p>
    <w:p>
      <w:pPr>
        <w:spacing w:after="0" w:line="76"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For imsidolimab in the treatment of GPP, our competitors include one other anti-IL-36 receptor antibody called SPEVIGO or spesolimab (Boehringer Ingelheim), recently approved for GPP flares in adults.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200" w:firstLine="567"/>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right="120"/>
        <w:spacing w:after="0" w:line="255" w:lineRule="auto"/>
        <w:rPr>
          <w:sz w:val="20"/>
          <w:szCs w:val="20"/>
          <w:color w:val="auto"/>
        </w:rPr>
      </w:pPr>
      <w:r>
        <w:rPr>
          <w:rFonts w:ascii="Arial" w:cs="Arial" w:eastAsia="Arial" w:hAnsi="Arial"/>
          <w:sz w:val="18"/>
          <w:szCs w:val="18"/>
          <w:color w:val="auto"/>
        </w:rPr>
        <w:t>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71" w:lineRule="exact"/>
        <w:rPr>
          <w:sz w:val="20"/>
          <w:szCs w:val="20"/>
          <w:color w:val="auto"/>
        </w:rPr>
      </w:pPr>
    </w:p>
    <w:p>
      <w:pPr>
        <w:ind w:right="20" w:firstLine="567"/>
        <w:spacing w:after="0" w:line="259" w:lineRule="auto"/>
        <w:rPr>
          <w:sz w:val="20"/>
          <w:szCs w:val="20"/>
          <w:color w:val="auto"/>
        </w:rPr>
      </w:pPr>
      <w:r>
        <w:rPr>
          <w:rFonts w:ascii="Arial" w:cs="Arial" w:eastAsia="Arial" w:hAnsi="Arial"/>
          <w:sz w:val="17"/>
          <w:szCs w:val="17"/>
          <w:color w:val="auto"/>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9"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80" w:lineRule="exact"/>
        <w:rPr>
          <w:sz w:val="20"/>
          <w:szCs w:val="20"/>
          <w:color w:val="auto"/>
        </w:rPr>
      </w:pPr>
    </w:p>
    <w:p>
      <w:pPr>
        <w:ind w:right="100" w:firstLine="567"/>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60"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220"/>
        <w:spacing w:after="0" w:line="259" w:lineRule="auto"/>
        <w:rPr>
          <w:sz w:val="20"/>
          <w:szCs w:val="20"/>
          <w:color w:val="auto"/>
        </w:rPr>
      </w:pPr>
      <w:r>
        <w:rPr>
          <w:rFonts w:ascii="Arial" w:cs="Arial" w:eastAsia="Arial" w:hAnsi="Arial"/>
          <w:sz w:val="18"/>
          <w:szCs w:val="18"/>
          <w:color w:val="auto"/>
        </w:rPr>
        <w:t>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79"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87" w:lineRule="exact"/>
        <w:rPr>
          <w:sz w:val="20"/>
          <w:szCs w:val="20"/>
          <w:color w:val="auto"/>
        </w:rPr>
      </w:pPr>
    </w:p>
    <w:p>
      <w:pPr>
        <w:ind w:right="160" w:firstLine="567"/>
        <w:spacing w:after="0" w:line="283"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product. Moreover, product approval may require substantial post-approval testing and surveillance to monitor the product’s safety or efficacy.</w:t>
      </w:r>
    </w:p>
    <w:p>
      <w:pPr>
        <w:spacing w:after="0" w:line="11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80" w:firstLine="567"/>
        <w:spacing w:after="0" w:line="275" w:lineRule="auto"/>
        <w:rPr>
          <w:sz w:val="20"/>
          <w:szCs w:val="20"/>
          <w:color w:val="auto"/>
        </w:rPr>
      </w:pPr>
      <w:r>
        <w:rPr>
          <w:rFonts w:ascii="Arial" w:cs="Arial" w:eastAsia="Arial" w:hAnsi="Arial"/>
          <w:sz w:val="17"/>
          <w:szCs w:val="17"/>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8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49"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68"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63" w:lineRule="exact"/>
        <w:rPr>
          <w:sz w:val="20"/>
          <w:szCs w:val="20"/>
          <w:color w:val="auto"/>
        </w:rPr>
      </w:pPr>
    </w:p>
    <w:p>
      <w:pPr>
        <w:ind w:right="40" w:firstLine="567"/>
        <w:spacing w:after="0" w:line="301"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58"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76" w:lineRule="exact"/>
        <w:rPr>
          <w:sz w:val="20"/>
          <w:szCs w:val="20"/>
          <w:color w:val="auto"/>
        </w:rPr>
      </w:pPr>
    </w:p>
    <w:p>
      <w:pPr>
        <w:ind w:right="180" w:firstLine="567"/>
        <w:spacing w:after="0" w:line="301" w:lineRule="auto"/>
        <w:rPr>
          <w:sz w:val="20"/>
          <w:szCs w:val="20"/>
          <w:color w:val="auto"/>
        </w:rPr>
      </w:pPr>
      <w:r>
        <w:rPr>
          <w:rFonts w:ascii="Arial" w:cs="Arial" w:eastAsia="Arial" w:hAnsi="Arial"/>
          <w:sz w:val="16"/>
          <w:szCs w:val="16"/>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49"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180" w:firstLine="567"/>
        <w:spacing w:after="0" w:line="271"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for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would require us to obtain a premarket approval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t>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w:t>
      </w:r>
    </w:p>
    <w:p>
      <w:pPr>
        <w:spacing w:after="0" w:line="84"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58"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 care laws and compliance requirements</w:t>
      </w:r>
    </w:p>
    <w:p>
      <w:pPr>
        <w:spacing w:after="0" w:line="12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84"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ind w:right="300" w:firstLine="567"/>
        <w:spacing w:after="0" w:line="279"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63"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76"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ind w:right="60"/>
        <w:spacing w:after="0" w:line="273" w:lineRule="auto"/>
        <w:rPr>
          <w:sz w:val="20"/>
          <w:szCs w:val="20"/>
          <w:color w:val="auto"/>
        </w:rPr>
      </w:pPr>
      <w:r>
        <w:rPr>
          <w:rFonts w:ascii="Arial" w:cs="Arial" w:eastAsia="Arial" w:hAnsi="Arial"/>
          <w:sz w:val="17"/>
          <w:szCs w:val="17"/>
          <w:color w:val="auto"/>
        </w:rPr>
        <w:t>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70"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69" w:lineRule="exact"/>
        <w:rPr>
          <w:sz w:val="20"/>
          <w:szCs w:val="20"/>
          <w:color w:val="auto"/>
        </w:rPr>
      </w:pPr>
    </w:p>
    <w:p>
      <w:pPr>
        <w:jc w:val="both"/>
        <w:ind w:right="200" w:firstLine="567"/>
        <w:spacing w:after="0" w:line="263"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76" w:lineRule="exact"/>
        <w:rPr>
          <w:sz w:val="20"/>
          <w:szCs w:val="20"/>
          <w:color w:val="auto"/>
        </w:rPr>
      </w:pPr>
    </w:p>
    <w:p>
      <w:pPr>
        <w:ind w:right="300" w:firstLine="567"/>
        <w:spacing w:after="0" w:line="286" w:lineRule="auto"/>
        <w:rPr>
          <w:sz w:val="20"/>
          <w:szCs w:val="20"/>
          <w:color w:val="auto"/>
        </w:rPr>
      </w:pPr>
      <w:r>
        <w:rPr>
          <w:rFonts w:ascii="Arial" w:cs="Arial" w:eastAsia="Arial" w:hAnsi="Arial"/>
          <w:sz w:val="16"/>
          <w:szCs w:val="16"/>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70"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58"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58"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right="280"/>
        <w:spacing w:after="0" w:line="277" w:lineRule="auto"/>
        <w:rPr>
          <w:sz w:val="20"/>
          <w:szCs w:val="20"/>
          <w:color w:val="auto"/>
        </w:rPr>
      </w:pPr>
      <w:r>
        <w:rPr>
          <w:rFonts w:ascii="Arial" w:cs="Arial" w:eastAsia="Arial" w:hAnsi="Arial"/>
          <w:sz w:val="18"/>
          <w:szCs w:val="18"/>
          <w:color w:val="auto"/>
        </w:rPr>
        <w:t>burdens, diminished profits and future earnings, and the curtailment or restructuring of our operations, any of which could adversely affect our ability to operate our business and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67"/>
        <w:spacing w:after="0" w:line="283"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w:t>
      </w:r>
    </w:p>
    <w:p>
      <w:pPr>
        <w:spacing w:after="0" w:line="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through their pricing and reimbursement rules and control of national health care systems that fund a large part of the cost of those products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consumers. Some jurisdictions operate positive and negative list systems under which products may only be marketed once a reimbursement price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To obtain reimbursement or pricing approval, some of these countries may require the completion of clinical trials that compare the cost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a particular product candidate to currently available therapies. Other member states allow companies to fix their own prices for medicines,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monitor and control company profits. The downward pressure on health care costs has become intense. As a result, increasingly high barriers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erected to the entry of new products. In addition, in some countries, cross-border imports from low-priced markets exert a commercial pressure on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a country.</w:t>
      </w:r>
    </w:p>
    <w:p>
      <w:pPr>
        <w:spacing w:after="0" w:line="103"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Recently, healthcare reform initiatives culminated in the enactment of the Inflation Reduction Act (“IRA”), in August 2022, which will, among other things, allow the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940"/>
        <w:spacing w:after="0" w:line="277" w:lineRule="auto"/>
        <w:rPr>
          <w:sz w:val="20"/>
          <w:szCs w:val="20"/>
          <w:color w:val="auto"/>
        </w:rPr>
      </w:pPr>
      <w:r>
        <w:rPr>
          <w:rFonts w:ascii="Arial" w:cs="Arial" w:eastAsia="Arial" w:hAnsi="Arial"/>
          <w:sz w:val="18"/>
          <w:szCs w:val="18"/>
          <w:color w:val="auto"/>
        </w:rPr>
        <w:t>subsidies for individuals purchasing health insurance coverage in ACA marketplaces through plan year 2025. These provisions will take effect progressively starting in 2023, although they may be subject to legal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color w:val="auto"/>
        </w:rPr>
        <w:t>The Foreign Corrupt Practices Act(“FCPA”),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60" w:firstLine="567"/>
        <w:spacing w:after="0" w:line="291" w:lineRule="auto"/>
        <w:rPr>
          <w:sz w:val="20"/>
          <w:szCs w:val="20"/>
          <w:color w:val="auto"/>
        </w:rPr>
      </w:pPr>
      <w:r>
        <w:rPr>
          <w:rFonts w:ascii="Arial" w:cs="Arial" w:eastAsia="Arial" w:hAnsi="Arial"/>
          <w:sz w:val="16"/>
          <w:szCs w:val="16"/>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countries. Certain countries outside of the United States have a similar process that requires the submission of a clinical trial application much like the IND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commencement of human clinical trials. In the United Kingdom (“UK”) and countries in the EU, for example, a Clinical Trial Authorisation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(“CTA”) must be submitted to each country’s national health authority and an independent ethics committee, much like the FDA and IRB,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Once the CTA is approved in accordance with a country’s requirements, clinical trial development may proceed. Because biologically sourced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raw materials are subject to unique contamination risks, their use may be restricted in some countries. The requirements and process governing the conduct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clinical trials, product licensing, pricing and reimbursement vary from country to country. In all cases, the clinical trials are conducted in accordance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GCP and the applicable regulatory requirements and the ethical principles that have their origin in the Declaration of Helsinki.</w:t>
      </w:r>
    </w:p>
    <w:p>
      <w:pPr>
        <w:spacing w:after="0" w:line="103"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84" w:lineRule="exact"/>
        <w:rPr>
          <w:sz w:val="20"/>
          <w:szCs w:val="20"/>
          <w:color w:val="auto"/>
        </w:rPr>
      </w:pPr>
    </w:p>
    <w:p>
      <w:pPr>
        <w:ind w:right="2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16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(the “ARTG”), is required before a pharmaceutical drug product may be marketed in Australia.</w:t>
      </w:r>
    </w:p>
    <w:p>
      <w:pPr>
        <w:spacing w:after="0" w:line="16"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Therapeutic Goods Administration (the “TGA”), for quality, safety and efficacy must occur pursuant to either the Clinical Trial Notification (“CTN”), or Clinical Trial Exemption (“CTX”), process.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3" w:name="page24"/>
    <w:bookmarkEnd w:id="23"/>
    <w:p>
      <w:pPr>
        <w:ind w:right="120" w:firstLine="567"/>
        <w:spacing w:after="0" w:line="275" w:lineRule="auto"/>
        <w:rPr>
          <w:sz w:val="20"/>
          <w:szCs w:val="20"/>
          <w:color w:val="auto"/>
        </w:rPr>
      </w:pPr>
      <w:r>
        <w:rPr>
          <w:rFonts w:ascii="Arial" w:cs="Arial" w:eastAsia="Arial" w:hAnsi="Arial"/>
          <w:sz w:val="17"/>
          <w:szCs w:val="17"/>
          <w:color w:val="auto"/>
        </w:rPr>
        <w:t>The CTN process broadly involves submission to a Human Research Ethics Committee (the “HREC”) of all material relating to the proposed clinical trial after completion of pre-clinical laboratory and animal testing. The institution or organization at which the clinical trial will be conducted (the “Approving Authority”) then gives the final approval for the conduct of the clinical trial at the site, having due regard to the advice from the HREC. After receiving final approval, CTN clinical trials cannot commence until the clinical trial has been notified to the TGA. Following approval, responsibility for all aspects of the trial conducted under a CTN application remains with the HREC of each investigator’s institution.</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Under the CTX process a sponsor submits an application to conduct a clinical trial to the TGA for evaluation and comment and a sponsor cannot commence a CTX clinical trial until written advice has been received from the TGA regarding the application and approval for the conduct of the clinical trial has been obtained from an ethics committee and the institution at which the clinical trial will be conducted.</w:t>
      </w:r>
    </w:p>
    <w:p>
      <w:pPr>
        <w:spacing w:after="0" w:line="165"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In each of the CTN or CTX process, it is required that adequate and well-controlled clinical trials demonstrate the quality, safety and efficacy of the therapeutic product, evidence is compiled which demonstrates that the manufacture of the therapeutic drug product complies with the principles of cGMP and manufacturing and clinical data is derived to submit to the Australian Committee on Prescription Medicines. The Australian Committee on Prescription Medicines then makes recommendations to the TGA and the TGA ultimately decides whether to include the therapeutic drug product in the ARTG.</w:t>
      </w:r>
    </w:p>
    <w:p>
      <w:pPr>
        <w:spacing w:after="0" w:line="4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TGA has developed guidelines for a CTN. Under the CTN process, all material relating to the proposed clinical trial is submitted directly to the HREC of each institution at which the clinical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w:t>
      </w:r>
    </w:p>
    <w:p>
      <w:pPr>
        <w:spacing w:after="0" w:line="70" w:lineRule="exact"/>
        <w:rPr>
          <w:sz w:val="20"/>
          <w:szCs w:val="20"/>
          <w:color w:val="auto"/>
        </w:rPr>
      </w:pPr>
    </w:p>
    <w:p>
      <w:pPr>
        <w:ind w:firstLine="567"/>
        <w:spacing w:after="0" w:line="275"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Harmonisation of Technical Requirements for Registration of Pharmaceuticals for Human Use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67" w:lineRule="exact"/>
        <w:rPr>
          <w:sz w:val="20"/>
          <w:szCs w:val="20"/>
          <w:color w:val="auto"/>
        </w:rPr>
      </w:pPr>
    </w:p>
    <w:p>
      <w:pPr>
        <w:ind w:right="140" w:firstLine="567"/>
        <w:spacing w:after="0" w:line="286" w:lineRule="auto"/>
        <w:rPr>
          <w:sz w:val="20"/>
          <w:szCs w:val="20"/>
          <w:color w:val="auto"/>
        </w:rPr>
      </w:pPr>
      <w:r>
        <w:rPr>
          <w:rFonts w:ascii="Arial" w:cs="Arial" w:eastAsia="Arial" w:hAnsi="Arial"/>
          <w:sz w:val="17"/>
          <w:szCs w:val="17"/>
          <w:color w:val="auto"/>
        </w:rPr>
        <w:t>As of December 31, 2022, we had 96 full-time employees. Of these employees, 65 were primarily engaged in research and development activities and 23 held a doctorate degree such as an M.D., Ph.D., or PharmD. None of our employees are represented by a labor union or covered by collective bargaining agreements. We have never experienced a work stoppage and believe that we have good employee relations.</w:t>
      </w:r>
    </w:p>
    <w:p>
      <w:pPr>
        <w:spacing w:after="0" w:line="3"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80" w:firstLine="567"/>
        <w:spacing w:after="0" w:line="31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120" w:firstLine="567"/>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4" w:name="page25"/>
    <w:bookmarkEnd w:id="24"/>
    <w:p>
      <w:pPr>
        <w:ind w:right="80"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281" w:lineRule="exact"/>
        <w:rPr>
          <w:sz w:val="20"/>
          <w:szCs w:val="20"/>
          <w:color w:val="auto"/>
        </w:rPr>
      </w:pPr>
    </w:p>
    <w:p>
      <w:pPr>
        <w:ind w:left="900" w:right="40" w:hanging="406"/>
        <w:spacing w:after="0" w:line="259"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200" w:hanging="406"/>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5" w:lineRule="exact"/>
        <w:rPr>
          <w:rFonts w:ascii="Arial" w:cs="Arial" w:eastAsia="Arial" w:hAnsi="Arial"/>
          <w:sz w:val="18"/>
          <w:szCs w:val="18"/>
          <w:color w:val="auto"/>
        </w:rPr>
      </w:pPr>
    </w:p>
    <w:p>
      <w:pPr>
        <w:ind w:left="900" w:right="160" w:hanging="406"/>
        <w:spacing w:after="0" w:line="342" w:lineRule="auto"/>
        <w:tabs>
          <w:tab w:leader="none" w:pos="89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hanging="40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product candidates and develop marketable products.</w:t>
      </w:r>
    </w:p>
    <w:p>
      <w:pPr>
        <w:spacing w:after="0" w:line="117" w:lineRule="exact"/>
        <w:rPr>
          <w:rFonts w:ascii="Arial" w:cs="Arial" w:eastAsia="Arial" w:hAnsi="Arial"/>
          <w:sz w:val="18"/>
          <w:szCs w:val="18"/>
          <w:color w:val="auto"/>
        </w:rPr>
      </w:pPr>
    </w:p>
    <w:p>
      <w:pPr>
        <w:ind w:left="900" w:right="580" w:hanging="406"/>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rosnilimab and ANB032, and have no history of commercializing biotechnology products, which may make it difficult to evaluate the prospects for our future viability.</w:t>
      </w:r>
    </w:p>
    <w:p>
      <w:pPr>
        <w:spacing w:after="0" w:line="62" w:lineRule="exact"/>
        <w:rPr>
          <w:rFonts w:ascii="Arial" w:cs="Arial" w:eastAsia="Arial" w:hAnsi="Arial"/>
          <w:sz w:val="18"/>
          <w:szCs w:val="18"/>
          <w:color w:val="auto"/>
        </w:rPr>
      </w:pPr>
    </w:p>
    <w:p>
      <w:pPr>
        <w:ind w:left="900" w:right="200" w:hanging="406"/>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900" w:right="120" w:hanging="406"/>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900" w:right="100" w:hanging="406"/>
        <w:spacing w:after="0" w:line="286"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900" w:right="240" w:hanging="406"/>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75" w:lineRule="exact"/>
        <w:rPr>
          <w:rFonts w:ascii="Arial" w:cs="Arial" w:eastAsia="Arial" w:hAnsi="Arial"/>
          <w:sz w:val="18"/>
          <w:szCs w:val="18"/>
          <w:color w:val="auto"/>
        </w:rPr>
      </w:pPr>
    </w:p>
    <w:p>
      <w:pPr>
        <w:ind w:left="900" w:hanging="40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60" w:hanging="406"/>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hanging="406"/>
        <w:spacing w:after="0" w:line="308"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900" w:right="20" w:hanging="406"/>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5" w:name="page26"/>
    <w:bookmarkEnd w:id="25"/>
    <w:p>
      <w:pPr>
        <w:ind w:left="900" w:right="260" w:hanging="406"/>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62" w:lineRule="exact"/>
        <w:rPr>
          <w:rFonts w:ascii="Arial" w:cs="Arial" w:eastAsia="Arial" w:hAnsi="Arial"/>
          <w:sz w:val="18"/>
          <w:szCs w:val="18"/>
          <w:color w:val="auto"/>
        </w:rPr>
      </w:pPr>
    </w:p>
    <w:p>
      <w:pPr>
        <w:ind w:left="900" w:right="40" w:hanging="406"/>
        <w:spacing w:after="0" w:line="342" w:lineRule="auto"/>
        <w:tabs>
          <w:tab w:leader="none" w:pos="89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15" w:lineRule="exact"/>
        <w:rPr>
          <w:rFonts w:ascii="Arial" w:cs="Arial" w:eastAsia="Arial" w:hAnsi="Arial"/>
          <w:sz w:val="16"/>
          <w:szCs w:val="16"/>
          <w:color w:val="auto"/>
        </w:rPr>
      </w:pPr>
    </w:p>
    <w:p>
      <w:pPr>
        <w:ind w:left="900" w:hanging="406"/>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We are developing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spacing w:after="0" w:line="5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84"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 and we do not currently plan to conduct further development of imsidolimab in indications other than GPP.</w:t>
      </w:r>
    </w:p>
    <w:p>
      <w:pPr>
        <w:spacing w:after="0" w:line="87"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If our other ongoing or future clinical trials of any of our product candidates, including rosnilimab, ANB032, imsidolimab or ANB033, are unsuccessful, whether for one of the reasons mentioned above or otherwise, our product candidates may be delayed in development or fail entirely, which would have a material adverse impact on our business.</w:t>
      </w:r>
    </w:p>
    <w:p>
      <w:pPr>
        <w:spacing w:after="0" w:line="76"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17"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62" w:lineRule="exact"/>
        <w:rPr>
          <w:sz w:val="20"/>
          <w:szCs w:val="20"/>
          <w:color w:val="auto"/>
        </w:rPr>
      </w:pPr>
    </w:p>
    <w:p>
      <w:pPr>
        <w:ind w:right="60" w:firstLine="567"/>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19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2" w:lineRule="exact"/>
        <w:rPr>
          <w:sz w:val="20"/>
          <w:szCs w:val="20"/>
          <w:color w:val="auto"/>
        </w:rPr>
      </w:pPr>
    </w:p>
    <w:p>
      <w:pPr>
        <w:ind w:right="200" w:firstLine="567"/>
        <w:spacing w:after="0" w:line="275"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68"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or planned.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73" w:lineRule="exact"/>
        <w:rPr>
          <w:sz w:val="20"/>
          <w:szCs w:val="20"/>
          <w:color w:val="auto"/>
        </w:rPr>
      </w:pPr>
    </w:p>
    <w:p>
      <w:pPr>
        <w:ind w:right="60" w:firstLine="567"/>
        <w:spacing w:after="0" w:line="288" w:lineRule="auto"/>
        <w:rPr>
          <w:sz w:val="20"/>
          <w:szCs w:val="20"/>
          <w:color w:val="auto"/>
        </w:rPr>
      </w:pPr>
      <w:r>
        <w:rPr>
          <w:rFonts w:ascii="Arial" w:cs="Arial" w:eastAsia="Arial" w:hAnsi="Arial"/>
          <w:sz w:val="16"/>
          <w:szCs w:val="16"/>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right="460"/>
        <w:spacing w:after="0" w:line="342" w:lineRule="auto"/>
        <w:rPr>
          <w:sz w:val="20"/>
          <w:szCs w:val="20"/>
          <w:color w:val="auto"/>
        </w:rPr>
      </w:pPr>
      <w:r>
        <w:rPr>
          <w:rFonts w:ascii="Arial" w:cs="Arial" w:eastAsia="Arial" w:hAnsi="Arial"/>
          <w:sz w:val="16"/>
          <w:szCs w:val="16"/>
          <w:color w:val="auto"/>
        </w:rPr>
        <w:t>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57"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167"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60" w:lineRule="exact"/>
        <w:rPr>
          <w:sz w:val="20"/>
          <w:szCs w:val="20"/>
          <w:color w:val="auto"/>
        </w:rPr>
      </w:pPr>
    </w:p>
    <w:p>
      <w:pPr>
        <w:ind w:right="100" w:firstLine="567"/>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right="2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6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00" w:hanging="406"/>
        <w:spacing w:after="0" w:line="308" w:lineRule="auto"/>
        <w:tabs>
          <w:tab w:leader="none" w:pos="8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117"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our collaborators experience any of the issues described above, or other similar or related issues, we or our collaborators may:</w:t>
      </w:r>
    </w:p>
    <w:p>
      <w:pPr>
        <w:spacing w:after="0" w:line="117" w:lineRule="exact"/>
        <w:rPr>
          <w:sz w:val="20"/>
          <w:szCs w:val="20"/>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may not be successful in our efforts to expand our pipeline of product candidates and develop marketable products.</w:t>
      </w:r>
    </w:p>
    <w:p>
      <w:pPr>
        <w:spacing w:after="0" w:line="121" w:lineRule="exact"/>
        <w:rPr>
          <w:sz w:val="20"/>
          <w:szCs w:val="20"/>
          <w:color w:val="auto"/>
        </w:rPr>
      </w:pPr>
    </w:p>
    <w:p>
      <w:pPr>
        <w:ind w:right="140" w:firstLine="567"/>
        <w:spacing w:after="0" w:line="289"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58"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have recently commenced clinical development of rosnilimab and ANB032, and have no history of commercializing biotechnology products, which may make it difficult to evaluate the prospects for our future viability.</w:t>
      </w:r>
    </w:p>
    <w:p>
      <w:pPr>
        <w:spacing w:after="0" w:line="58"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70" w:lineRule="exact"/>
        <w:rPr>
          <w:sz w:val="20"/>
          <w:szCs w:val="20"/>
          <w:color w:val="auto"/>
        </w:rPr>
      </w:pPr>
    </w:p>
    <w:p>
      <w:pPr>
        <w:ind w:right="380" w:firstLine="567"/>
        <w:spacing w:after="0" w:line="263"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6" w:lineRule="exact"/>
        <w:rPr>
          <w:sz w:val="20"/>
          <w:szCs w:val="20"/>
          <w:color w:val="auto"/>
        </w:rPr>
      </w:pPr>
    </w:p>
    <w:p>
      <w:pPr>
        <w:ind w:left="900" w:right="600" w:hanging="406"/>
        <w:spacing w:after="0" w:line="261"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6" w:lineRule="exact"/>
        <w:rPr>
          <w:rFonts w:ascii="Arial" w:cs="Arial" w:eastAsia="Arial" w:hAnsi="Arial"/>
          <w:sz w:val="18"/>
          <w:szCs w:val="18"/>
          <w:color w:val="auto"/>
        </w:rPr>
      </w:pPr>
    </w:p>
    <w:p>
      <w:pPr>
        <w:ind w:left="900" w:right="4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0" w:name="page31"/>
    <w:bookmarkEnd w:id="30"/>
    <w:p>
      <w:pPr>
        <w:ind w:left="900" w:right="8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117"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38"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7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For our anti-PD-1 agonist antibody program, our competitors include other anti-PD-1 agonist antibodies peresolimab (Eli Lilly) in Phase 2b development for the treatment of rheumatoid arthritis, JNJ-67484703 (Janssen) in Phase 2 development, a PD-1 agonist antibody (Boehringer Ingelheim) in Phase 1 development, PT627 and PT001 (Pandion Therapeutics, which has been acquired by Merck) in preclinical development, and MB151 (MiroBio, which has been acquired by Gilead) in preclinical development. Our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84" w:lineRule="exact"/>
        <w:rPr>
          <w:sz w:val="20"/>
          <w:szCs w:val="20"/>
          <w:color w:val="auto"/>
        </w:rPr>
      </w:pPr>
    </w:p>
    <w:p>
      <w:pPr>
        <w:ind w:right="260" w:firstLine="567"/>
        <w:spacing w:after="0" w:line="273" w:lineRule="auto"/>
        <w:rPr>
          <w:sz w:val="20"/>
          <w:szCs w:val="20"/>
          <w:color w:val="auto"/>
        </w:rPr>
      </w:pPr>
      <w:r>
        <w:rPr>
          <w:rFonts w:ascii="Arial" w:cs="Arial" w:eastAsia="Arial" w:hAnsi="Arial"/>
          <w:sz w:val="17"/>
          <w:szCs w:val="17"/>
          <w:color w:val="auto"/>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Phase 1 development which has been acquired by Gilead). Our competitors in moderate-to-severe atopic dermatitis include topical and oral corticosteroids, calcineurin inhibitors (Protopic; LEO Pharma and Elidel; Bausch Health), monoclonal antibodies targeting IL-4/13 (Dupixent; Regeneron/Sanofi), IL-13 (Adbry; LEO Pharma and lebrikizumab; Eli Lilly), IL-31 (nemolizumab; Galderma), OX-40L (amlitelimab; Sanofi), and janus kinase inhibitors (Rinvoq; AbbVie and abrocitinib; Pfizer).</w:t>
      </w:r>
    </w:p>
    <w:p>
      <w:pPr>
        <w:spacing w:after="0" w:line="70" w:lineRule="exact"/>
        <w:rPr>
          <w:sz w:val="20"/>
          <w:szCs w:val="20"/>
          <w:color w:val="auto"/>
        </w:rPr>
      </w:pPr>
    </w:p>
    <w:p>
      <w:pPr>
        <w:ind w:right="460" w:firstLine="567"/>
        <w:spacing w:after="0" w:line="263" w:lineRule="auto"/>
        <w:rPr>
          <w:sz w:val="20"/>
          <w:szCs w:val="20"/>
          <w:color w:val="auto"/>
        </w:rPr>
      </w:pPr>
      <w:r>
        <w:rPr>
          <w:rFonts w:ascii="Arial" w:cs="Arial" w:eastAsia="Arial" w:hAnsi="Arial"/>
          <w:sz w:val="18"/>
          <w:szCs w:val="18"/>
          <w:color w:val="auto"/>
        </w:rPr>
        <w:t>For our anti-CD122 antagonist antibody program, our competitors include one other anti-CD122 antagonist antibody, auremolimab (Villaris Therapeutics, which has been acquired by Incyte), currently in preclinical development, and an anti-IL-15 monoclonal antibody, AMG 714 (Amgen), currently in Phase 2 development for the treatment of vitiligo.</w:t>
      </w:r>
    </w:p>
    <w:p>
      <w:pPr>
        <w:spacing w:after="0" w:line="76"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For imsidolimab in the treatment of GPP, our competitors include one other anti-IL-36 receptor antibody called SPEVIGO or spesolimab (Boehringer Ingelheim), recently approved for GPP flares in adults.</w:t>
      </w:r>
    </w:p>
    <w:p>
      <w:pPr>
        <w:spacing w:after="0" w:line="62" w:lineRule="exact"/>
        <w:rPr>
          <w:sz w:val="20"/>
          <w:szCs w:val="20"/>
          <w:color w:val="auto"/>
        </w:rPr>
      </w:pPr>
    </w:p>
    <w:p>
      <w:pPr>
        <w:jc w:val="both"/>
        <w:ind w:right="60" w:firstLine="567"/>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1" w:name="page32"/>
    <w:bookmarkEnd w:id="31"/>
    <w:p>
      <w:pPr>
        <w:ind w:right="300"/>
        <w:spacing w:after="0" w:line="263" w:lineRule="auto"/>
        <w:rPr>
          <w:sz w:val="20"/>
          <w:szCs w:val="20"/>
          <w:color w:val="auto"/>
        </w:rPr>
      </w:pPr>
      <w:r>
        <w:rPr>
          <w:rFonts w:ascii="Arial" w:cs="Arial" w:eastAsia="Arial" w:hAnsi="Arial"/>
          <w:sz w:val="18"/>
          <w:szCs w:val="18"/>
          <w:color w:val="auto"/>
        </w:rPr>
        <w:t>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76"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185"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42"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process of manufacturing biologics is complex, highly-regulated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ind w:right="40" w:firstLine="567"/>
        <w:spacing w:after="0" w:line="259" w:lineRule="auto"/>
        <w:rPr>
          <w:sz w:val="20"/>
          <w:szCs w:val="20"/>
          <w:color w:val="auto"/>
        </w:rPr>
      </w:pPr>
      <w:r>
        <w:rPr>
          <w:rFonts w:ascii="Arial" w:cs="Arial" w:eastAsia="Arial" w:hAnsi="Arial"/>
          <w:sz w:val="18"/>
          <w:szCs w:val="18"/>
          <w:color w:val="auto"/>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79" w:lineRule="exact"/>
        <w:rPr>
          <w:sz w:val="20"/>
          <w:szCs w:val="20"/>
          <w:color w:val="auto"/>
        </w:rPr>
      </w:pPr>
    </w:p>
    <w:p>
      <w:pPr>
        <w:ind w:right="60" w:firstLine="567"/>
        <w:spacing w:after="0" w:line="286"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such as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66"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6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7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Political, economic, or public health events, such as the COVID-19 pandemic and related mitigation measures,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virus and the actions to contain its impact.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160" w:firstLine="567"/>
        <w:spacing w:after="0" w:line="275" w:lineRule="auto"/>
        <w:rPr>
          <w:sz w:val="20"/>
          <w:szCs w:val="20"/>
          <w:color w:val="auto"/>
        </w:rPr>
      </w:pPr>
      <w:r>
        <w:rPr>
          <w:rFonts w:ascii="Arial" w:cs="Arial" w:eastAsia="Arial" w:hAnsi="Arial"/>
          <w:sz w:val="17"/>
          <w:szCs w:val="17"/>
          <w:color w:val="auto"/>
        </w:rPr>
        <w:t>We are an early-stage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68" w:lineRule="exact"/>
        <w:rPr>
          <w:sz w:val="20"/>
          <w:szCs w:val="20"/>
          <w:color w:val="auto"/>
        </w:rPr>
      </w:pPr>
    </w:p>
    <w:p>
      <w:pPr>
        <w:ind w:firstLine="567"/>
        <w:spacing w:after="0" w:line="34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For the year ended December 31, 2022, our collaboration revenue was $10.3 million and our net loss was $128.7 million. As of December 31, 2022, we had an accumulated deficit of $450.5 million.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3" w:name="page34"/>
    <w:bookmarkEnd w:id="33"/>
    <w:p>
      <w:pPr>
        <w:ind w:right="80" w:firstLine="567"/>
        <w:spacing w:after="0" w:line="290" w:lineRule="auto"/>
        <w:rPr>
          <w:sz w:val="20"/>
          <w:szCs w:val="20"/>
          <w:color w:val="auto"/>
        </w:rPr>
      </w:pPr>
      <w:r>
        <w:rPr>
          <w:rFonts w:ascii="Arial" w:cs="Arial" w:eastAsia="Arial" w:hAnsi="Arial"/>
          <w:sz w:val="16"/>
          <w:szCs w:val="16"/>
          <w:color w:val="auto"/>
        </w:rPr>
        <w:t>We have financed our operations primarily through our initial public offering of common stock in January 2017, our follow-on public offerings of common stock in October 2017 and September 2018, our JEMPERLI Royalty Monetization Agreement, and our Zejula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80"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2"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200" w:firstLine="567"/>
        <w:spacing w:after="0" w:line="257"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7"/>
          <w:szCs w:val="17"/>
          <w:color w:val="auto"/>
        </w:rPr>
        <w:t>product sales, marketing, manufacturing and distribution. Furthermore, we incur additional costs associated with operating as a public company. We believe that our existing cash, cash equivalents and investments will fund our current operating plan, including our ongoing stock repurchase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70" w:lineRule="exact"/>
        <w:rPr>
          <w:sz w:val="20"/>
          <w:szCs w:val="20"/>
          <w:color w:val="auto"/>
        </w:rPr>
      </w:pPr>
    </w:p>
    <w:p>
      <w:pPr>
        <w:jc w:val="both"/>
        <w:ind w:right="20"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17"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660" w:right="2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60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success or failure of products sold by our collaborators, such as JEMPERLI by GSK, and the timing thereof;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 including any search for a permanent replacement President and Chief Executive Officer, if applicable;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62"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right="50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ind w:firstLine="567"/>
        <w:spacing w:after="0" w:line="286"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Interim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In March 2022, Daniel Faga, a Class I director of our Board, was appointed as our Interim President and Chief Executive Officer. We may in the future conduct a search to identify a permanent replacement to serve as our President and Chief Executive Officer. The competition for qualified personnel in the biotechnology field is intense and, as a result, we may be unable to continue to attract and retain qualified personnel necessary for the development of our business or to recruit suitable replacement personnel, permanent replacement to serve as our President and Chief Executive Officer.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66"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ind w:right="20"/>
        <w:spacing w:after="0" w:line="272" w:lineRule="auto"/>
        <w:rPr>
          <w:sz w:val="20"/>
          <w:szCs w:val="20"/>
          <w:color w:val="auto"/>
        </w:rPr>
      </w:pPr>
      <w:r>
        <w:rPr>
          <w:rFonts w:ascii="Arial" w:cs="Arial" w:eastAsia="Arial" w:hAnsi="Arial"/>
          <w:sz w:val="17"/>
          <w:szCs w:val="17"/>
          <w:color w:val="auto"/>
        </w:rPr>
        <w:t>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7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7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70"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right="500" w:firstLine="567"/>
        <w:spacing w:after="0" w:line="259" w:lineRule="auto"/>
        <w:rPr>
          <w:sz w:val="20"/>
          <w:szCs w:val="20"/>
          <w:color w:val="auto"/>
        </w:rPr>
      </w:pPr>
      <w:r>
        <w:rPr>
          <w:rFonts w:ascii="Arial" w:cs="Arial" w:eastAsia="Arial" w:hAnsi="Arial"/>
          <w:sz w:val="18"/>
          <w:szCs w:val="18"/>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Our operational obligations under each of our collaborations has ended.</w:t>
      </w:r>
    </w:p>
    <w:p>
      <w:pPr>
        <w:spacing w:after="0" w:line="79" w:lineRule="exact"/>
        <w:rPr>
          <w:sz w:val="20"/>
          <w:szCs w:val="20"/>
          <w:color w:val="auto"/>
        </w:rPr>
      </w:pPr>
    </w:p>
    <w:p>
      <w:pPr>
        <w:ind w:firstLine="567"/>
        <w:spacing w:after="0" w:line="283"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6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12"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140" w:firstLine="567"/>
        <w:spacing w:after="0" w:line="293" w:lineRule="auto"/>
        <w:rPr>
          <w:sz w:val="20"/>
          <w:szCs w:val="20"/>
          <w:color w:val="auto"/>
        </w:rPr>
      </w:pPr>
      <w:r>
        <w:rPr>
          <w:rFonts w:ascii="Arial" w:cs="Arial" w:eastAsia="Arial" w:hAnsi="Arial"/>
          <w:sz w:val="16"/>
          <w:szCs w:val="16"/>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8" w:name="page39"/>
    <w:bookmarkEnd w:id="38"/>
    <w:p>
      <w:pPr>
        <w:ind w:right="20"/>
        <w:spacing w:after="0" w:line="263" w:lineRule="auto"/>
        <w:rPr>
          <w:sz w:val="20"/>
          <w:szCs w:val="20"/>
          <w:color w:val="auto"/>
        </w:rPr>
      </w:pPr>
      <w:r>
        <w:rPr>
          <w:rFonts w:ascii="Arial" w:cs="Arial" w:eastAsia="Arial" w:hAnsi="Arial"/>
          <w:sz w:val="18"/>
          <w:szCs w:val="18"/>
          <w:color w:val="auto"/>
        </w:rPr>
        <w:t>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76"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77"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41"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such as the COVID-19 pandemic, it could limit our ability to manufacture our product candidates for our preclinical or clinical studies.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firstLine="567"/>
        <w:spacing w:after="0" w:line="286" w:lineRule="auto"/>
        <w:rPr>
          <w:sz w:val="20"/>
          <w:szCs w:val="20"/>
          <w:color w:val="auto"/>
        </w:rPr>
      </w:pPr>
      <w:r>
        <w:rPr>
          <w:rFonts w:ascii="Arial" w:cs="Arial" w:eastAsia="Arial" w:hAnsi="Arial"/>
          <w:sz w:val="16"/>
          <w:szCs w:val="16"/>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5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alone or with our collaborators, to commercialize our product candidates and generate revenue.</w:t>
      </w:r>
    </w:p>
    <w:p>
      <w:pPr>
        <w:spacing w:after="0" w:line="62"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80"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right="420"/>
        <w:spacing w:after="0" w:line="277" w:lineRule="auto"/>
        <w:rPr>
          <w:sz w:val="20"/>
          <w:szCs w:val="20"/>
          <w:color w:val="auto"/>
        </w:rPr>
      </w:pPr>
      <w:r>
        <w:rPr>
          <w:rFonts w:ascii="Arial" w:cs="Arial" w:eastAsia="Arial" w:hAnsi="Arial"/>
          <w:sz w:val="18"/>
          <w:szCs w:val="18"/>
          <w:color w:val="auto"/>
        </w:rPr>
        <w:t>become subject to such litigation and, if we do not successfully defend against such actions, those actions may have an adverse effect on our business, financial condition and results of operations.</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The failure to obtain regulatory approval in international jurisdictions would prevent us or our collaborators from marketing our product candidates outside the United States.</w:t>
      </w:r>
    </w:p>
    <w:p>
      <w:pPr>
        <w:spacing w:after="0" w:line="58"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87"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58"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70"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spacing w:after="0" w:line="273" w:lineRule="auto"/>
        <w:rPr>
          <w:sz w:val="20"/>
          <w:szCs w:val="20"/>
          <w:color w:val="auto"/>
        </w:rPr>
      </w:pPr>
      <w:r>
        <w:rPr>
          <w:rFonts w:ascii="Arial" w:cs="Arial" w:eastAsia="Arial" w:hAnsi="Arial"/>
          <w:sz w:val="17"/>
          <w:szCs w:val="17"/>
          <w:color w:val="auto"/>
        </w:rPr>
        <w:t>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70"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56"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63"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340" w:firstLine="567"/>
        <w:spacing w:after="0" w:line="275" w:lineRule="auto"/>
        <w:rPr>
          <w:sz w:val="20"/>
          <w:szCs w:val="20"/>
          <w:color w:val="auto"/>
        </w:rPr>
      </w:pPr>
      <w:r>
        <w:rPr>
          <w:rFonts w:ascii="Arial" w:cs="Arial" w:eastAsia="Arial" w:hAnsi="Arial"/>
          <w:sz w:val="17"/>
          <w:szCs w:val="17"/>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7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58"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69" w:lineRule="exact"/>
        <w:rPr>
          <w:sz w:val="20"/>
          <w:szCs w:val="20"/>
          <w:color w:val="auto"/>
        </w:rPr>
      </w:pPr>
    </w:p>
    <w:p>
      <w:pPr>
        <w:ind w:right="140" w:firstLine="567"/>
        <w:spacing w:after="0" w:line="275" w:lineRule="auto"/>
        <w:rPr>
          <w:sz w:val="20"/>
          <w:szCs w:val="20"/>
          <w:color w:val="auto"/>
        </w:rPr>
      </w:pPr>
      <w:r>
        <w:rPr>
          <w:rFonts w:ascii="Arial" w:cs="Arial" w:eastAsia="Arial" w:hAnsi="Arial"/>
          <w:sz w:val="17"/>
          <w:szCs w:val="17"/>
          <w:color w:val="auto"/>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68"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addition, the Biden Administration has indicated an intent to address prescription drug pricing and recent Congressional hearings have brought increased public attention to the costs of prescription drugs.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IRA, in August 2022, which will, among other things, allow the HHS to negotiate the selling price of certain drugs and biologics that CMS reimburses under Medicare Part B and Part D, although this will only apply to high-</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ind w:right="160"/>
        <w:spacing w:after="0" w:line="253" w:lineRule="auto"/>
        <w:rPr>
          <w:sz w:val="20"/>
          <w:szCs w:val="20"/>
          <w:color w:val="auto"/>
        </w:rPr>
      </w:pPr>
      <w:r>
        <w:rPr>
          <w:rFonts w:ascii="Arial" w:cs="Arial" w:eastAsia="Arial" w:hAnsi="Arial"/>
          <w:sz w:val="18"/>
          <w:szCs w:val="18"/>
          <w:color w:val="auto"/>
        </w:rPr>
        <w:t>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86" w:lineRule="exact"/>
        <w:rPr>
          <w:sz w:val="20"/>
          <w:szCs w:val="20"/>
          <w:color w:val="auto"/>
        </w:rPr>
      </w:pPr>
    </w:p>
    <w:p>
      <w:pPr>
        <w:ind w:right="160" w:firstLine="567"/>
        <w:spacing w:after="0" w:line="293"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spacing w:after="0" w:line="56" w:lineRule="exact"/>
        <w:rPr>
          <w:sz w:val="20"/>
          <w:szCs w:val="20"/>
          <w:color w:val="auto"/>
        </w:rPr>
      </w:pPr>
    </w:p>
    <w:p>
      <w:pPr>
        <w:jc w:val="both"/>
        <w:ind w:right="40" w:firstLine="567"/>
        <w:spacing w:after="0" w:line="273" w:lineRule="auto"/>
        <w:rPr>
          <w:sz w:val="20"/>
          <w:szCs w:val="20"/>
          <w:color w:val="auto"/>
        </w:rPr>
      </w:pPr>
      <w:r>
        <w:rPr>
          <w:rFonts w:ascii="Arial" w:cs="Arial" w:eastAsia="Arial" w:hAnsi="Arial"/>
          <w:sz w:val="17"/>
          <w:szCs w:val="17"/>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or our collaborators’ ability to obtain marketing approval for or successfully commercialize our product candidates.</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80" w:lineRule="exact"/>
        <w:rPr>
          <w:sz w:val="20"/>
          <w:szCs w:val="20"/>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left="660" w:right="140"/>
        <w:spacing w:after="0" w:line="277" w:lineRule="auto"/>
        <w:rPr>
          <w:sz w:val="20"/>
          <w:szCs w:val="20"/>
          <w:color w:val="auto"/>
        </w:rPr>
      </w:pPr>
      <w:r>
        <w:rPr>
          <w:rFonts w:ascii="Arial" w:cs="Arial" w:eastAsia="Arial" w:hAnsi="Arial"/>
          <w:sz w:val="18"/>
          <w:szCs w:val="18"/>
          <w:color w:val="auto"/>
        </w:rPr>
        <w:t>or in return for, either the referral of an individual for, or the purchase, order or recommendation of, any good or service, for which payment may be made under a federal health care program such as Medicare and Medicaid;</w:t>
      </w:r>
    </w:p>
    <w:p>
      <w:pPr>
        <w:spacing w:after="0" w:line="62" w:lineRule="exact"/>
        <w:rPr>
          <w:sz w:val="20"/>
          <w:szCs w:val="20"/>
          <w:color w:val="auto"/>
        </w:rPr>
      </w:pPr>
    </w:p>
    <w:p>
      <w:pPr>
        <w:ind w:left="660" w:right="4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executing or attempting to execute a scheme to defraud any health care benefit program or making false statements relating to health care matters;</w:t>
      </w:r>
    </w:p>
    <w:p>
      <w:pPr>
        <w:spacing w:after="0" w:line="62"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79" w:lineRule="exact"/>
        <w:rPr>
          <w:sz w:val="20"/>
          <w:szCs w:val="20"/>
          <w:color w:val="auto"/>
        </w:rPr>
      </w:pPr>
    </w:p>
    <w:p>
      <w:pPr>
        <w:ind w:right="240" w:firstLine="567"/>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73" w:lineRule="exact"/>
        <w:rPr>
          <w:sz w:val="20"/>
          <w:szCs w:val="20"/>
          <w:color w:val="auto"/>
        </w:rPr>
      </w:pPr>
    </w:p>
    <w:p>
      <w:pPr>
        <w:ind w:firstLine="567"/>
        <w:spacing w:after="0" w:line="285"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right="20"/>
        <w:spacing w:after="0" w:line="286" w:lineRule="auto"/>
        <w:rPr>
          <w:sz w:val="20"/>
          <w:szCs w:val="20"/>
          <w:color w:val="auto"/>
        </w:rPr>
      </w:pPr>
      <w:r>
        <w:rPr>
          <w:rFonts w:ascii="Arial" w:cs="Arial" w:eastAsia="Arial" w:hAnsi="Arial"/>
          <w:sz w:val="16"/>
          <w:szCs w:val="16"/>
          <w:color w:val="auto"/>
        </w:rPr>
        <w:t>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 expands upon the CCPA, is now in effect as of January 1, 2023 with enforcement beginning on July 1, 2023, subject to regulations promulgated through a newly created enforcement agency called the California Privacy Protection Agency (“CPPA”). The CCPA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Comparable consumer privacy laws are set to take effect in 2023 in several other states.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59"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line="289" w:lineRule="auto"/>
        <w:rPr>
          <w:sz w:val="20"/>
          <w:szCs w:val="20"/>
          <w:color w:val="auto"/>
        </w:rPr>
      </w:pPr>
      <w:r>
        <w:rPr>
          <w:rFonts w:ascii="Arial" w:cs="Arial" w:eastAsia="Arial" w:hAnsi="Arial"/>
          <w:sz w:val="16"/>
          <w:szCs w:val="16"/>
          <w:color w:val="auto"/>
        </w:rPr>
        <w:t>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5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60"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74"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60"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76"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63"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8" w:lineRule="exact"/>
        <w:rPr>
          <w:sz w:val="20"/>
          <w:szCs w:val="20"/>
          <w:color w:val="auto"/>
        </w:rPr>
      </w:pPr>
    </w:p>
    <w:p>
      <w:pPr>
        <w:ind w:right="80"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70" w:lineRule="exact"/>
        <w:rPr>
          <w:sz w:val="20"/>
          <w:szCs w:val="20"/>
          <w:color w:val="auto"/>
        </w:rPr>
      </w:pPr>
    </w:p>
    <w:p>
      <w:pPr>
        <w:ind w:right="520" w:firstLine="567"/>
        <w:spacing w:after="0" w:line="263" w:lineRule="auto"/>
        <w:rPr>
          <w:sz w:val="20"/>
          <w:szCs w:val="20"/>
          <w:color w:val="auto"/>
        </w:rPr>
      </w:pPr>
      <w:r>
        <w:rPr>
          <w:rFonts w:ascii="Arial" w:cs="Arial" w:eastAsia="Arial" w:hAnsi="Arial"/>
          <w:sz w:val="18"/>
          <w:szCs w:val="18"/>
          <w:color w:val="auto"/>
        </w:rPr>
        <w:t>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7"/>
          <w:szCs w:val="17"/>
          <w:color w:val="auto"/>
        </w:rPr>
        <w:t xml:space="preserve">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xml:space="preserve">, </w:t>
      </w:r>
      <w:r>
        <w:rPr>
          <w:rFonts w:ascii="Arial" w:cs="Arial" w:eastAsia="Arial" w:hAnsi="Arial"/>
          <w:sz w:val="17"/>
          <w:szCs w:val="17"/>
          <w:i w:val="1"/>
          <w:iCs w:val="1"/>
          <w:color w:val="auto"/>
        </w:rPr>
        <w:t>BRCA1- &amp; BRCA2-Based Hereditary</w:t>
      </w:r>
      <w:r>
        <w:rPr>
          <w:rFonts w:ascii="Arial" w:cs="Arial" w:eastAsia="Arial" w:hAnsi="Arial"/>
          <w:sz w:val="17"/>
          <w:szCs w:val="17"/>
          <w:color w:val="auto"/>
        </w:rPr>
        <w:t xml:space="preserve"> </w:t>
      </w:r>
      <w:r>
        <w:rPr>
          <w:rFonts w:ascii="Arial" w:cs="Arial" w:eastAsia="Arial" w:hAnsi="Arial"/>
          <w:sz w:val="17"/>
          <w:szCs w:val="17"/>
          <w:i w:val="1"/>
          <w:iCs w:val="1"/>
          <w:color w:val="auto"/>
        </w:rPr>
        <w:t>Cancer Test Patent Litig</w:t>
      </w:r>
      <w:r>
        <w:rPr>
          <w:rFonts w:ascii="Arial" w:cs="Arial" w:eastAsia="Arial" w:hAnsi="Arial"/>
          <w:sz w:val="17"/>
          <w:szCs w:val="17"/>
          <w:color w:val="auto"/>
        </w:rPr>
        <w:t>., Mayo Collaborative Services v. Prometheus Laboratories, Inc., and Alice Corporation Pty. Ltd. v. CLS Bank International, either</w:t>
      </w:r>
      <w:r>
        <w:rPr>
          <w:rFonts w:ascii="Arial" w:cs="Arial" w:eastAsia="Arial" w:hAnsi="Arial"/>
          <w:sz w:val="17"/>
          <w:szCs w:val="17"/>
          <w:i w:val="1"/>
          <w:iCs w:val="1"/>
          <w:color w:val="auto"/>
        </w:rPr>
        <w:t xml:space="preserve"> </w:t>
      </w:r>
      <w:r>
        <w:rPr>
          <w:rFonts w:ascii="Arial" w:cs="Arial" w:eastAsia="Arial" w:hAnsi="Arial"/>
          <w:sz w:val="17"/>
          <w:szCs w:val="17"/>
          <w:color w:val="auto"/>
        </w:rPr>
        <w:t>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7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73"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right="60"/>
        <w:spacing w:after="0" w:line="291" w:lineRule="auto"/>
        <w:rPr>
          <w:sz w:val="20"/>
          <w:szCs w:val="20"/>
          <w:color w:val="auto"/>
        </w:rPr>
      </w:pPr>
      <w:r>
        <w:rPr>
          <w:rFonts w:ascii="Arial" w:cs="Arial" w:eastAsia="Arial" w:hAnsi="Arial"/>
          <w:sz w:val="16"/>
          <w:szCs w:val="16"/>
          <w:color w:val="auto"/>
        </w:rPr>
        <w:t>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58"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79"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77"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49"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3"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5540" w:right="3800" w:hanging="5208"/>
        <w:spacing w:after="0" w:line="919"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9" w:name="page50"/>
    <w:bookmarkEnd w:id="49"/>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74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0"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6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16"/>
          <w:szCs w:val="16"/>
          <w:color w:val="auto"/>
        </w:rPr>
        <w:t>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purchases of our common stock by us pursuant to our ongoing stock repurchase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uncertainty and capital markets disruptions, which have been substantially impacted by geopolitical instability due to the ongoing military conflict in Ukraine and rising interest rates and inflation.</w:t>
      </w:r>
    </w:p>
    <w:p>
      <w:pPr>
        <w:spacing w:after="0" w:line="62"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7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ind w:right="40"/>
        <w:spacing w:after="0" w:line="255" w:lineRule="auto"/>
        <w:rPr>
          <w:sz w:val="20"/>
          <w:szCs w:val="20"/>
          <w:color w:val="auto"/>
        </w:rPr>
      </w:pPr>
      <w:r>
        <w:rPr>
          <w:rFonts w:ascii="Arial" w:cs="Arial" w:eastAsia="Arial" w:hAnsi="Arial"/>
          <w:sz w:val="18"/>
          <w:szCs w:val="18"/>
          <w:color w:val="auto"/>
        </w:rPr>
        <w:t>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and Company, LLC, through which we may offer and sell shares of our common stock, having an aggregate offering of up to $150.0 million through Cowen and Company, LLC as our sales agent.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0"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62"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7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72"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84"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80"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2"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p>
      <w:pPr>
        <w:ind w:right="120"/>
        <w:spacing w:after="0" w:line="263" w:lineRule="auto"/>
        <w:rPr>
          <w:sz w:val="20"/>
          <w:szCs w:val="20"/>
          <w:color w:val="auto"/>
        </w:rPr>
      </w:pPr>
      <w:r>
        <w:rPr>
          <w:rFonts w:ascii="Arial" w:cs="Arial" w:eastAsia="Arial" w:hAnsi="Arial"/>
          <w:sz w:val="18"/>
          <w:szCs w:val="18"/>
          <w:color w:val="auto"/>
        </w:rPr>
        <w:t>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We plan to use our federal and state net operating loss (“NOL”) carryforwards to offset current year taxable income from revenue generated from operations or corporate collaborations. However, our ability to use NOL carryforwards to offset taxable income in future years could be limited by the provisions of Section 382 of the US Internal Revenue Code of 1986, as amended (the “Code”), in the event a cumulative change in ownership of more than 50% over a three-year period occurs.</w:t>
      </w:r>
    </w:p>
    <w:p>
      <w:pPr>
        <w:spacing w:after="0" w:line="62" w:lineRule="exact"/>
        <w:rPr>
          <w:sz w:val="20"/>
          <w:szCs w:val="20"/>
          <w:color w:val="auto"/>
        </w:rPr>
      </w:pPr>
    </w:p>
    <w:p>
      <w:pPr>
        <w:ind w:right="40" w:firstLine="567"/>
        <w:spacing w:after="0"/>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97" w:lineRule="exact"/>
        <w:rPr>
          <w:sz w:val="20"/>
          <w:szCs w:val="20"/>
          <w:color w:val="auto"/>
        </w:rPr>
      </w:pPr>
    </w:p>
    <w:p>
      <w:pPr>
        <w:ind w:right="360" w:firstLine="567"/>
        <w:spacing w:after="0" w:line="308" w:lineRule="auto"/>
        <w:rPr>
          <w:sz w:val="20"/>
          <w:szCs w:val="20"/>
          <w:color w:val="auto"/>
        </w:rPr>
      </w:pPr>
      <w:r>
        <w:rPr>
          <w:rFonts w:ascii="Arial" w:cs="Arial" w:eastAsia="Arial" w:hAnsi="Arial"/>
          <w:sz w:val="17"/>
          <w:szCs w:val="17"/>
          <w:color w:val="auto"/>
        </w:rPr>
        <w:t>As of December 31, 2022, we have federal NOLs of approximately $287.4 million. Of this, $53.1 million expire beginning December 31, 2029 through December 31, 2037, if not used to reduce income taxes payable in the future and $234.3 million carry forward indefinitely.</w:t>
      </w:r>
    </w:p>
    <w:p>
      <w:pPr>
        <w:spacing w:after="0" w:line="14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Our principal executive office is located at 10770 Wateridge Circle in San Diego, California, and consists of approximately 45,000 square feet of leased office and laboratory space under a lease for a term of 124 months, beginning on April 5, 2021. We use these facilities for our administrative, research and development and other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567"/>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800"/>
        <w:spacing w:after="0" w:line="40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Trading Symbol and Holders</w:t>
      </w:r>
    </w:p>
    <w:p>
      <w:pPr>
        <w:spacing w:after="0" w:line="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26, 2017. As of February 27, 2023, we had approximately 10 holders of record of our common stock. This number does not include beneficial owners whose shares were held in street name.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120" w:firstLine="567"/>
        <w:spacing w:after="0" w:line="301"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in a planned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(JEMPERLI (dostarlimab-gxly)), an anti-TIM-3 antagonist antibody (cobolimab, GSK4069889) and an anti-LAG-3 antagonist antibody (GSK4074386). We currently recognize revenue from milestones and royalties achieved under our immuno-oncology collaboration with GSK.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Product Candidate Pipeline</w:t>
      </w:r>
    </w:p>
    <w:p>
      <w:pPr>
        <w:spacing w:after="0" w:line="121"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Our immune cell modulating antibodies, including anti-inflammatory checkpoint agonists for PD-1 and BTLA, treat inflammatory disorders by down regulating immune responses mediated by multiple immune cell types including T-cells, B-cells, and dendritic cells. We believe these molecules have potential applicability across a broad range of autoimmune and inflammatory disorders including dermatology, rheumatology, gastroenterology, respiratory, and neurology therapeutic areas.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Rosnilimab</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Rosnilimab is designed to suppress aberrant T cell driven inflammation by augmenting signaling through PD-1 or targeted depletion of PD-1+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Rosnilimab binds to PD-1 on a membrane proximal epitope that is on the opposite side of the receptor to that utilized by PD-L1 for binding, and thus preserves the ability of PD-L1 to agonize PD-1. In the setting of T cell activation, rosnilimab binding has been shown to induce agonistic signaling and the recruitment of SHP2 to PD-1, in a manner similar to that by PD-L1. In preclinical assays, rosnilimab prevented T cell expansion in antigen-specific response assays to numerous antigens, demonstrating prevention of T cell expansion and reduction in the secretion of inflammatory cytokines associated with multiple T cell types implicated in inflammatory pathology when dysregulated. In addition to direct agonistic activity, rosnilimab is an IgG1k antibody with effector function that can drive targeted depletion of PD-1+ T cells via the induction of antibody-dependent cellular cytotoxicity (ADCC). We believe this component of the mechanism of rosnilimab may provide more durable immune modulation by effectively eliminating the most pathogenic antigen-specific T cells in the setting of autoimmunity and inflammation. Genetic mutations in the PD-1 pathway are known to be associated with increased susceptibility to human inflammatory diseases, and hence we believe that rosnilimab is applicable to diseases where PD-1 checkpoint receptor function may be insufficient to maintain immune homeostasis.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were administered single subcutaneous or intravenous (“IV”)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 discontinuation. The COVID-19 infection was deemed unrelated to treatment. No serious adverse events were reported in subjects receiving multiple doses of rosnilimab or placebo. Rosnilimab demonstrated a favorable pharmacokinetic profile with an estimated two-week half-life for subcutaneous and IV routes of administration. Full PD-1 receptor occupancy was observed rapidly and was maintained for at least 30 days at or above 200mg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7" w:name="page58"/>
    <w:bookmarkEnd w:id="57"/>
    <w:p>
      <w:pPr>
        <w:ind w:right="20"/>
        <w:spacing w:after="0" w:line="254" w:lineRule="auto"/>
        <w:rPr>
          <w:sz w:val="20"/>
          <w:szCs w:val="20"/>
          <w:color w:val="auto"/>
        </w:rPr>
      </w:pPr>
      <w:r>
        <w:rPr>
          <w:rFonts w:ascii="Arial" w:cs="Arial" w:eastAsia="Arial" w:hAnsi="Arial"/>
          <w:sz w:val="18"/>
          <w:szCs w:val="18"/>
          <w:color w:val="auto"/>
        </w:rPr>
        <w:t>following single subcutaneous rosnilimab doses. Rosnilimab pharmacodynamic activity demonstrated rapid and sustained reduction in the quantity and functional activity of PD-1+ T cells, which are known to be pathogenic drivers of inflammatory diseases. Conventional T (Tcon) cells (CD3+, CD25 low) PD-1+, which represented approximately 25% of peripheral T cells at baseline, were reduced by 50%, including in both CD4+ and CD8+ subsets, in a dose-dependent manner and in correlation with receptor occupancy. This effect was maximized on high-PD-1+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consistent ratio of PD-1+ Tcon cells to total Treg cells post-treatment in healthy volunteers. No effect (&lt;5% reduction from baseline) was observed on any of the aforementioned cell types in placebo-dosed subjects.</w:t>
      </w:r>
    </w:p>
    <w:p>
      <w:pPr>
        <w:spacing w:after="0" w:line="8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plan to conduct a randomized placebo-controlled multi-hundred patient global Phase 2b trial assessing three dose levels of subcutaneously administrated rosnilimab in moderate-to-severe RA for approximately six months on well-established endpoints including ACR 20/50/70 and DAS28. We expect to initiate this trial in the third quarter of 2023 with top-line interim data anticipated by mid-year 2025. We also plan to conduct a second global Phase 2 trial, in an indication to be announced, with trial initiation anticipated by the end of 2023.</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During the fourth quarter of 2021, we initiated AZURE, a randomized placebo-controlled 45-patient Phase 2 trial of rosnilimab in moderate-to-severe alopecia areata patients. We conducted an interim review of blinded data in December 2022 which demonstrated robust reductions in peripheral PD-1+ T cells, including PD-1 high T cells reduction of &gt;80%, across blinded pooled rosnilimab patients and placebo patients, which is consistent with observations in the healthy volunteer Phase 1 trial of &gt;90% in rosnilimab treated patients. The blinded data suggests rosnilimab administration was generally safe and well tolerated. Interim results suggest that target improvement in severity of alopecia tool (SALT) was not achieved potentially due to an inadequate tested dose level, limited duration of treatment, and/or complexity of disease biology including the hair growth cycle. Further development in alopecia areata will not be pursued. The unblinded final results will be available in second half of 2023.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ANB032</w:t>
      </w:r>
    </w:p>
    <w:p>
      <w:pPr>
        <w:spacing w:after="0" w:line="11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ANB032 is designed to augment BTLA signaling, which is broadly applicable to human inflammatory diseases associated with lymphoid and myeloid immune cell dysregulation. Genetic studies have demonstrated that BTLA pathway mutations increase human susceptibility to multiple autoimmune diseases and insufficient BTLA signaling can lead to dysregulated T or B cell responses and changes in the function of dendritic cells. BTLA modulates signaling of HVEM, governing HVEM’s interaction with its natural ligands, including LIGHT. Polymorphisms in BTLA or molecules in the BTLA pathway such as HVEM are associated with inflammatory diseases, including aberrant T cell activity, B cell activity and dysregulation of downstream humoral immune responses (IgE, IgG secretion). Similarly, BTLA knockout animals have spontaneous or enhanced severity of inflammatory disease, demonstrating aberrant T cell activity, B cell activity and dysregulation of pathogenic antibody responses upon immunization. ANB032 is anticipated to down-modulate the activity of T cells, B cells and dendritic cells via several potential mechanisms: BTLA agonistic activity, stabilization of the interaction of BTLA and HVEM in cis which prevents pro-inflammatory signaling mediated by HVEM ligands such as LIGHT, and abrogation of pro-inflammatory HVEM signaling mediated by BTLA in trans.</w:t>
      </w:r>
    </w:p>
    <w:p>
      <w:pPr>
        <w:spacing w:after="0" w:line="77"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color w:val="auto"/>
        </w:rPr>
        <w:t>We announced positive top-line data from a healthy volunteer Phase 1 trial of ANB032, under a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 ANB032 was generally well-tolerated and no dose limiting toxicities were observed. No serious adverse events were reported. ANB032 demonstrated a favorable pharmacokinetic profile with an estimated two-week half-life for subcutaneous and IV routes of administration. Full PD-1 receptor occupancy was observed rapidly and was maintained for at least 30 days.</w:t>
      </w:r>
    </w:p>
    <w:p>
      <w:pPr>
        <w:spacing w:after="0" w:line="70" w:lineRule="exact"/>
        <w:rPr>
          <w:sz w:val="20"/>
          <w:szCs w:val="20"/>
          <w:color w:val="auto"/>
        </w:rPr>
      </w:pPr>
    </w:p>
    <w:p>
      <w:pPr>
        <w:ind w:right="200" w:firstLine="567"/>
        <w:spacing w:after="0" w:line="275"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ANB032 pharmacodynamic activity demonstrated inhibition of T cell proliferation and reduction in inflammatory cytokine secretion (Th1, Th2, Th17). While Th2 targeted therapies provide benefit to patients with chronic moderate-to-severe atopic dermatitis (AD), there is compelling evidence that AD is broader than a Th2 driven disease, as Th1, Th17 and other cell types, including dendritic cells contribute significantly to the pathogenesis. ANB032 inhibition of inflammatory Th1, Th2 and Th17 activity, and modulation of additional cell types such as B cells and dendritic cells, creates the potential for broader, deeper and more durable responses than more narrowly targeted interventions.</w:t>
      </w:r>
    </w:p>
    <w:p>
      <w:pPr>
        <w:spacing w:after="0" w:line="68"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We plan to conduct a randomized placebo-controlled 160 patient Phase 2 trial assessing three dose levels of subcutaneously administrated ANB032 in moderate-to-severe AD for 12 weeks on well-established endpoints including EASI75 and IGA 0/1. We expect to initiate this clinical trial in the second quarter of 2023 with top-line interim data anticipated by the end of 2024.</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ANB033</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8" w:name="page59"/>
    <w:bookmarkEnd w:id="58"/>
    <w:p>
      <w:pPr>
        <w:ind w:right="140" w:firstLine="567"/>
        <w:spacing w:after="0" w:line="264" w:lineRule="auto"/>
        <w:rPr>
          <w:sz w:val="20"/>
          <w:szCs w:val="20"/>
          <w:color w:val="auto"/>
        </w:rPr>
      </w:pPr>
      <w:r>
        <w:rPr>
          <w:rFonts w:ascii="Arial" w:cs="Arial" w:eastAsia="Arial" w:hAnsi="Arial"/>
          <w:sz w:val="16"/>
          <w:szCs w:val="16"/>
          <w:color w:val="auto"/>
        </w:rPr>
        <w:t>ANB033 targets CD122, the common beta subunit shared by the IL-15 and IL-2 receptors. IL-15 signaling mediates the survival and maintenance of tissue resident memory T cells (T</w:t>
      </w:r>
      <w:r>
        <w:rPr>
          <w:rFonts w:ascii="Arial" w:cs="Arial" w:eastAsia="Arial" w:hAnsi="Arial"/>
          <w:sz w:val="20"/>
          <w:szCs w:val="20"/>
          <w:color w:val="auto"/>
          <w:vertAlign w:val="subscript"/>
        </w:rPr>
        <w:t>RM</w:t>
      </w:r>
      <w:r>
        <w:rPr>
          <w:rFonts w:ascii="Arial" w:cs="Arial" w:eastAsia="Arial" w:hAnsi="Arial"/>
          <w:sz w:val="16"/>
          <w:szCs w:val="16"/>
          <w:color w:val="auto"/>
        </w:rPr>
        <w:t>). The presence of long-lived and persistent T</w:t>
      </w:r>
      <w:r>
        <w:rPr>
          <w:rFonts w:ascii="Arial" w:cs="Arial" w:eastAsia="Arial" w:hAnsi="Arial"/>
          <w:sz w:val="20"/>
          <w:szCs w:val="20"/>
          <w:color w:val="auto"/>
          <w:vertAlign w:val="subscript"/>
        </w:rPr>
        <w:t>RM</w:t>
      </w:r>
      <w:r>
        <w:rPr>
          <w:rFonts w:ascii="Arial" w:cs="Arial" w:eastAsia="Arial" w:hAnsi="Arial"/>
          <w:sz w:val="16"/>
          <w:szCs w:val="16"/>
          <w:color w:val="auto"/>
        </w:rPr>
        <w:t xml:space="preserve"> has been shown to drive tissue-specific immune-mediated inflammation. T</w:t>
      </w:r>
      <w:r>
        <w:rPr>
          <w:rFonts w:ascii="Arial" w:cs="Arial" w:eastAsia="Arial" w:hAnsi="Arial"/>
          <w:sz w:val="20"/>
          <w:szCs w:val="20"/>
          <w:color w:val="auto"/>
          <w:vertAlign w:val="subscript"/>
        </w:rPr>
        <w:t>RM</w:t>
      </w:r>
      <w:r>
        <w:rPr>
          <w:rFonts w:ascii="Arial" w:cs="Arial" w:eastAsia="Arial" w:hAnsi="Arial"/>
          <w:sz w:val="16"/>
          <w:szCs w:val="16"/>
          <w:color w:val="auto"/>
        </w:rPr>
        <w:t xml:space="preserve"> are present in the skin in dermatologic diseases, where defined borders of inflammation often recur. T</w:t>
      </w:r>
      <w:r>
        <w:rPr>
          <w:rFonts w:ascii="Arial" w:cs="Arial" w:eastAsia="Arial" w:hAnsi="Arial"/>
          <w:sz w:val="20"/>
          <w:szCs w:val="20"/>
          <w:color w:val="auto"/>
          <w:vertAlign w:val="subscript"/>
        </w:rPr>
        <w:t>RM</w:t>
      </w:r>
      <w:r>
        <w:rPr>
          <w:rFonts w:ascii="Arial" w:cs="Arial" w:eastAsia="Arial" w:hAnsi="Arial"/>
          <w:sz w:val="16"/>
          <w:szCs w:val="16"/>
          <w:color w:val="auto"/>
        </w:rPr>
        <w:t xml:space="preserve"> are also observed in other tissue-specific inflammatory disorders including gastroenterology, rheumatology and respiratory. ANB033 is designed with an affinity to CD122 that inhibits IL-15 signaling, leading to death of pathogenic T</w:t>
      </w:r>
      <w:r>
        <w:rPr>
          <w:rFonts w:ascii="Arial" w:cs="Arial" w:eastAsia="Arial" w:hAnsi="Arial"/>
          <w:sz w:val="20"/>
          <w:szCs w:val="20"/>
          <w:color w:val="auto"/>
          <w:vertAlign w:val="subscript"/>
        </w:rPr>
        <w:t>RM</w:t>
      </w:r>
      <w:r>
        <w:rPr>
          <w:rFonts w:ascii="Arial" w:cs="Arial" w:eastAsia="Arial" w:hAnsi="Arial"/>
          <w:sz w:val="16"/>
          <w:szCs w:val="16"/>
          <w:color w:val="auto"/>
        </w:rPr>
        <w:t xml:space="preserve"> cells in diseased tissue, with the potential to achieve and maintain remission of inflammation through the elimination of these disease-causing cells. In addition, ANB033 inhibits IL-2 signaling through the low affinity IL-2 receptor (comprised of CD122 and the common gamma subunit, CD132) expressed on T cells, while sparing regulatory T cells which express the high affinity IL-2 receptor (comprised of CD122, CD132 and the alpha receptor subunit for IL-2, CD25). This drives reduction of pathogenic T cell numbers while sparing or potentially enhancing regulatory T cell numbers. We anticipate submitting an IND for a Phase 1 clinical trial with ANB033 during the first half of 2024.</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Imsidolimab</w:t>
      </w:r>
    </w:p>
    <w:p>
      <w:pPr>
        <w:spacing w:after="0" w:line="11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Imsidolimab inhibits the interleukin-36 receptor (IL-36R), and is being developed for the treatment of GPP. We completed a Phase 1 clinical trial in healthy volunteers, which was presented at the European Academy of Allergy and Clinical Immunology in 2018, where imsidolimab was well-tolerated, no dose-limiting toxicities were observed, and no serious adverse events were reported.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in October 2021.</w:t>
      </w:r>
    </w:p>
    <w:p>
      <w:pPr>
        <w:spacing w:after="0" w:line="84"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We have initiated two Phase 3 trials for imsidolimab for GPP. The first, called GEMINI-1, will enroll approximately 45 moderate-to-severe GPP patients, each undergoing an active flare at baseline, which will be randomized equally to receive a single dose of 750mg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3 years of monthly dosing. Top-line data from an interim analysis of GEMINI-1 is anticipated in the fourth quarter of 2023.</w:t>
      </w:r>
    </w:p>
    <w:p>
      <w:pPr>
        <w:spacing w:after="0" w:line="58"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We announced in August 2022 that we intend to complete execution of our Phase 3 program in GPP and outl-icense imsidolimab prior to potential FDA approval.</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Etokimab</w:t>
      </w:r>
    </w:p>
    <w:p>
      <w:pPr>
        <w:spacing w:after="0" w:line="117"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and atopic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announced in January 2023 that etokimab is available to out-license.</w:t>
      </w:r>
    </w:p>
    <w:p>
      <w:pPr>
        <w:spacing w:after="0" w:line="69"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49" w:lineRule="exact"/>
        <w:rPr>
          <w:sz w:val="20"/>
          <w:szCs w:val="20"/>
          <w:color w:val="auto"/>
        </w:rPr>
      </w:pPr>
    </w:p>
    <w:p>
      <w:pPr>
        <w:ind w:right="60" w:firstLine="567"/>
        <w:spacing w:after="0" w:line="252" w:lineRule="auto"/>
        <w:rPr>
          <w:sz w:val="20"/>
          <w:szCs w:val="20"/>
          <w:color w:val="auto"/>
        </w:rPr>
      </w:pPr>
      <w:r>
        <w:rPr>
          <w:rFonts w:ascii="Arial" w:cs="Arial" w:eastAsia="Arial" w:hAnsi="Arial"/>
          <w:sz w:val="17"/>
          <w:szCs w:val="17"/>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JEMPERLI is currently in Phase 3 trials for various solid tumor indications, including first-line advanced/recurrent endometrial cancer and first-line ovarian cancer.</w:t>
      </w:r>
    </w:p>
    <w:p>
      <w:pPr>
        <w:spacing w:after="0" w:line="73" w:lineRule="exact"/>
        <w:rPr>
          <w:sz w:val="20"/>
          <w:szCs w:val="20"/>
          <w:color w:val="auto"/>
        </w:rPr>
      </w:pPr>
    </w:p>
    <w:p>
      <w:pPr>
        <w:ind w:right="280" w:firstLine="567"/>
        <w:spacing w:after="0" w:line="248" w:lineRule="auto"/>
        <w:rPr>
          <w:sz w:val="20"/>
          <w:szCs w:val="20"/>
          <w:color w:val="auto"/>
        </w:rPr>
      </w:pPr>
      <w:r>
        <w:rPr>
          <w:rFonts w:ascii="Arial" w:cs="Arial" w:eastAsia="Arial" w:hAnsi="Arial"/>
          <w:sz w:val="18"/>
          <w:szCs w:val="18"/>
          <w:color w:val="auto"/>
        </w:rPr>
        <w:t>In addition, under the collaboration, GSK is developing dostarlimab in combination with two other development programs from the GSK Agreement: cobolimab, an anti-TIM-3 antibody, and GSK40974386, an anti-LAG-3 antibody for multiple solid tumor indications. GSK is conducting a Phase 3 trial, COSTAR Lung, which is a randomized, open label 3-arm</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9" w:name="page60"/>
    <w:bookmarkEnd w:id="59"/>
    <w:p>
      <w:pPr>
        <w:ind w:right="220"/>
        <w:spacing w:after="0" w:line="261" w:lineRule="auto"/>
        <w:rPr>
          <w:sz w:val="20"/>
          <w:szCs w:val="20"/>
          <w:color w:val="auto"/>
        </w:rPr>
      </w:pPr>
      <w:r>
        <w:rPr>
          <w:rFonts w:ascii="Arial" w:cs="Arial" w:eastAsia="Arial" w:hAnsi="Arial"/>
          <w:sz w:val="18"/>
          <w:szCs w:val="18"/>
          <w:color w:val="auto"/>
        </w:rPr>
        <w:t>trial comparing cobolimab plus dostarlimab plus docetaxel to dostarlimab plus docetaxel to docetaxel alone in patients with advanced NSCLC who have progressed on prior anti-PD-(L)1 therapy and chemotherapy.</w:t>
      </w:r>
    </w:p>
    <w:p>
      <w:pPr>
        <w:spacing w:after="0" w:line="63"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In June 2021, GSK estimated potential peak annual global JEMPERLI sales on a non-risk adjusted basis of £1-£2 billion for currently approved indications and first-line use in endometrial and ovarian cancer only. For more information about these collaborations, see “— Collaborations” included in Part I, Item 1 of this Annual Report.</w:t>
      </w:r>
    </w:p>
    <w:p>
      <w:pPr>
        <w:spacing w:after="0" w:line="87"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As of December 31, 2022, we had an accumulated deficit of $450.5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79"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For our discussion related to the results of our operations and liquidity and capital resources for fiscal year ended December 31, 2021 compared to the year ended December 31, 2020, please refer to Part II, Item 7, "Management’s Discussion and Analysis of Financial Condition and Results of Operations" in our Annual Report on Form 10-K for the year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2022, we have recognized $234.2 million in revenue from our collaborators.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Exclusive License Agreement with GSK</w:t>
      </w:r>
    </w:p>
    <w:p>
      <w:pPr>
        <w:spacing w:after="0" w:line="117"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In March 2014, we entered into a Collaboration and Exclusive License Agreement with GSK (the “GSK Agreement”) for the development and commercialization of therapeutic monospecific and bispecific antibodies that antagonize PD-1, TIM-3, LAG-3 and/or a fourth undisclosed checkpoint receptor. We received $17.0 million in upfront fees from GSK in March 2014, and in November 2014, we amended the agreement with GSK to include the development 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GSK Agreement in February 2016.</w:t>
      </w:r>
    </w:p>
    <w:p>
      <w:pPr>
        <w:spacing w:after="0" w:line="70"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For each of the targets under the GSK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GSK is obligated to pay us tiered royalties, ranging from 4% to 8%, for each product developed under the agreement, except in the case of JEMPERLI where the royalties payable will be 8% to 25% as described below, on annualized net sales of each antibody commercialized from the collaboration.</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October 23, 2020, we amended the GSK Agreement (the “2020 Amendment”). Under the 2020 Amendment, we were granted increased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royalties upon sales of JEMPERLI (dostarlimab), an anti-PD-1 antagonist antibody under development by GSK for multiple oncological disorders, equal to</w:t>
      </w:r>
    </w:p>
    <w:p>
      <w:pPr>
        <w:spacing w:after="0" w:line="58"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8% of Net Sales (as defined in the GSK Agreement) below $1.0 billion and from 12% up to 25% of Net Sales above $1.0 billion. The 2020 Amendment also provided for a one-time non-refundable cash payment of $60.0 million that we received in the fourth quarter of 2020. The $1.1 billion in cash</w:t>
      </w:r>
    </w:p>
    <w:p>
      <w:pPr>
        <w:ind w:right="80"/>
        <w:spacing w:after="0" w:line="259" w:lineRule="auto"/>
        <w:rPr>
          <w:sz w:val="20"/>
          <w:szCs w:val="20"/>
          <w:color w:val="auto"/>
        </w:rPr>
      </w:pPr>
      <w:r>
        <w:rPr>
          <w:rFonts w:ascii="Arial" w:cs="Arial" w:eastAsia="Arial" w:hAnsi="Arial"/>
          <w:sz w:val="18"/>
          <w:szCs w:val="18"/>
          <w:color w:val="auto"/>
        </w:rPr>
        <w:t>milestone payments due under the GSK Agreement remain unchanged. Additionally, under the terms of the 2020 Amendment, GSK has agreed to certain diligence commitments with respect to the future development of JEMPERLI, and the parties have agreed to review such commitments under regular joint review committee meetings going forward. From inception of the agreement through December 31, 2022, we have recognized $215.8 million in total revenue from GSK.</w:t>
      </w:r>
    </w:p>
    <w:p>
      <w:pPr>
        <w:spacing w:after="0" w:line="79" w:lineRule="exact"/>
        <w:rPr>
          <w:sz w:val="20"/>
          <w:szCs w:val="20"/>
          <w:color w:val="auto"/>
        </w:rPr>
      </w:pPr>
    </w:p>
    <w:p>
      <w:pPr>
        <w:ind w:firstLine="567"/>
        <w:spacing w:after="0" w:line="275" w:lineRule="auto"/>
        <w:rPr>
          <w:sz w:val="20"/>
          <w:szCs w:val="20"/>
          <w:color w:val="auto"/>
        </w:rPr>
      </w:pPr>
      <w:r>
        <w:rPr>
          <w:rFonts w:ascii="Arial" w:cs="Arial" w:eastAsia="Arial" w:hAnsi="Arial"/>
          <w:sz w:val="17"/>
          <w:szCs w:val="17"/>
          <w:color w:val="auto"/>
        </w:rPr>
        <w:t>In October 2021, we entered into the JEMPERLI Royalty Monetization Agreement (the “JEMPERLI Royalty Monetization Agreement”) with Sagard. Under the terms of the JEMPERLI Royalty Monetization Agreement, we received $250.0 million, upon closing in December 2021, in exchange for royalties payable to us under the GSK collaboration on annual global net sales of JEMPERLI below $1.0 billion, as well as certain milestone payments, starting in October 2021. The aggregate JEMPERLI royalties and certain future milestones to be received by Sagard under the JEMPERLI Royalty Monetization Agreement are capped at certain fixed multiples of the upfront payment based on time.</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under the GSK Agreement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0" w:name="page61"/>
    <w:bookmarkEnd w:id="60"/>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380" w:type="dxa"/>
            <w:vAlign w:val="bottom"/>
            <w:gridSpan w:val="2"/>
          </w:tcPr>
          <w:p>
            <w:pPr>
              <w:ind w:left="860"/>
              <w:spacing w:after="0"/>
              <w:rPr>
                <w:sz w:val="20"/>
                <w:szCs w:val="20"/>
                <w:color w:val="auto"/>
              </w:rPr>
            </w:pPr>
            <w:r>
              <w:rPr>
                <w:rFonts w:ascii="Arial" w:cs="Arial" w:eastAsia="Arial" w:hAnsi="Arial"/>
                <w:sz w:val="14"/>
                <w:szCs w:val="14"/>
                <w:b w:val="1"/>
                <w:bCs w:val="1"/>
                <w:color w:val="auto"/>
              </w:rPr>
              <w:t>Anti-PD-1</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Anti-TIM-3</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(JEMPERLI/Dostarlimab)</w:t>
            </w: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(GSK4069889A/Cobolimab)</w:t>
            </w: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(GSK40974386)</w:t>
            </w:r>
          </w:p>
        </w:tc>
        <w:tc>
          <w:tcPr>
            <w:tcW w:w="0" w:type="dxa"/>
            <w:vAlign w:val="bottom"/>
          </w:tcPr>
          <w:p>
            <w:pPr>
              <w:spacing w:after="0"/>
              <w:rPr>
                <w:sz w:val="1"/>
                <w:szCs w:val="1"/>
                <w:color w:val="auto"/>
              </w:rPr>
            </w:pPr>
          </w:p>
        </w:tc>
      </w:tr>
      <w:tr>
        <w:trPr>
          <w:trHeight w:val="135"/>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1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Quarter</w:t>
            </w:r>
          </w:p>
        </w:tc>
        <w:tc>
          <w:tcPr>
            <w:tcW w:w="11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Quarter</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4"/>
        </w:trPr>
        <w:tc>
          <w:tcPr>
            <w:tcW w:w="41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110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10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3"/>
        </w:trPr>
        <w:tc>
          <w:tcPr>
            <w:tcW w:w="4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1140" w:type="dxa"/>
            <w:vAlign w:val="bottom"/>
            <w:vMerge w:val="restart"/>
            <w:shd w:val="clear" w:color="auto" w:fill="CCEEFF"/>
          </w:tcPr>
          <w:p>
            <w:pPr>
              <w:jc w:val="center"/>
              <w:ind w:left="48"/>
              <w:spacing w:after="0"/>
              <w:rPr>
                <w:sz w:val="20"/>
                <w:szCs w:val="20"/>
                <w:color w:val="auto"/>
              </w:rPr>
            </w:pPr>
            <w:r>
              <w:rPr>
                <w:rFonts w:ascii="Arial" w:cs="Arial" w:eastAsia="Arial" w:hAnsi="Arial"/>
                <w:sz w:val="14"/>
                <w:szCs w:val="14"/>
                <w:color w:val="auto"/>
                <w:w w:val="97"/>
              </w:rPr>
              <w:t>$1.0M</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Q2'15</w:t>
            </w:r>
          </w:p>
        </w:tc>
        <w:tc>
          <w:tcPr>
            <w:tcW w:w="110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7"/>
              </w:rPr>
              <w:t>$1.0M</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Q4'15</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(GLPs)</w:t>
            </w: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1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IND clearance from the FDA</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w w:val="97"/>
              </w:rPr>
              <w:t>$4.0M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Q1'16</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7"/>
              </w:rPr>
              <w:t>$4.0M</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Q2'16</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Phase 2 clinical trial initiation</w:t>
            </w:r>
          </w:p>
        </w:tc>
        <w:tc>
          <w:tcPr>
            <w:tcW w:w="1140" w:type="dxa"/>
            <w:vAlign w:val="bottom"/>
            <w:tcBorders>
              <w:bottom w:val="single" w:sz="8" w:color="CCEEFF"/>
            </w:tcBorders>
            <w:shd w:val="clear" w:color="auto" w:fill="CCEEFF"/>
          </w:tcPr>
          <w:p>
            <w:pPr>
              <w:jc w:val="center"/>
              <w:ind w:left="48"/>
              <w:spacing w:after="0"/>
              <w:rPr>
                <w:sz w:val="20"/>
                <w:szCs w:val="20"/>
                <w:color w:val="auto"/>
              </w:rPr>
            </w:pPr>
            <w:r>
              <w:rPr>
                <w:rFonts w:ascii="Arial" w:cs="Arial" w:eastAsia="Arial" w:hAnsi="Arial"/>
                <w:sz w:val="14"/>
                <w:szCs w:val="14"/>
                <w:color w:val="auto"/>
                <w:w w:val="97"/>
              </w:rPr>
              <w:t>$3.0M</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Q2'17</w:t>
            </w:r>
          </w:p>
        </w:tc>
        <w:tc>
          <w:tcPr>
            <w:tcW w:w="11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7"/>
              </w:rPr>
              <w:t>$3.0M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Q4'17</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4"/>
                <w:szCs w:val="14"/>
                <w:color w:val="auto"/>
              </w:rPr>
              <w:t>Phase 3 clinical trial initiation - first indication</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w w:val="97"/>
              </w:rPr>
              <w:t>$5.0M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Q3'18</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7"/>
              </w:rPr>
              <w:t>$5.0M</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Q4'22</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Phase 3 clinical trial initiation - second indication</w:t>
            </w:r>
          </w:p>
        </w:tc>
        <w:tc>
          <w:tcPr>
            <w:tcW w:w="1140" w:type="dxa"/>
            <w:vAlign w:val="bottom"/>
            <w:tcBorders>
              <w:bottom w:val="single" w:sz="8" w:color="CCEEFF"/>
            </w:tcBorders>
            <w:shd w:val="clear" w:color="auto" w:fill="CCEEFF"/>
          </w:tcPr>
          <w:p>
            <w:pPr>
              <w:jc w:val="center"/>
              <w:ind w:left="48"/>
              <w:spacing w:after="0"/>
              <w:rPr>
                <w:sz w:val="20"/>
                <w:szCs w:val="20"/>
                <w:color w:val="auto"/>
              </w:rPr>
            </w:pPr>
            <w:r>
              <w:rPr>
                <w:rFonts w:ascii="Arial" w:cs="Arial" w:eastAsia="Arial" w:hAnsi="Arial"/>
                <w:sz w:val="14"/>
                <w:szCs w:val="14"/>
                <w:color w:val="auto"/>
                <w:w w:val="97"/>
              </w:rPr>
              <w:t>$5.0M</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Q2'19</w:t>
            </w:r>
          </w:p>
        </w:tc>
        <w:tc>
          <w:tcPr>
            <w:tcW w:w="11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7"/>
              </w:rPr>
              <w:t>$5.0M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4"/>
                <w:szCs w:val="14"/>
                <w:color w:val="auto"/>
              </w:rPr>
              <w:t>Filing of the first BLA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first indication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8"/>
              </w:rPr>
              <w:t>$10.0M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7"/>
              </w:rPr>
              <w:t>$5.0M</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Filing of the first BLA - second indication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Q1'21</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8"/>
              </w:rPr>
              <w:t>$10.0M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BLA approval - first indication</w:t>
            </w:r>
          </w:p>
        </w:tc>
        <w:tc>
          <w:tcPr>
            <w:tcW w:w="1140" w:type="dxa"/>
            <w:vAlign w:val="bottom"/>
            <w:tcBorders>
              <w:bottom w:val="single" w:sz="8" w:color="CCEEFF"/>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$20.0M</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Q2'21</w:t>
            </w:r>
          </w:p>
        </w:tc>
        <w:tc>
          <w:tcPr>
            <w:tcW w:w="11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8"/>
              </w:rPr>
              <w:t>$20.0M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$20.0M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Arial" w:cs="Arial" w:eastAsia="Arial" w:hAnsi="Arial"/>
                <w:sz w:val="14"/>
                <w:szCs w:val="14"/>
                <w:color w:val="auto"/>
              </w:rPr>
              <w:t>First MAA approval - first indication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Q2'21</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8"/>
              </w:rPr>
              <w:t>$10.0M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BLA approval - second indication</w:t>
            </w:r>
          </w:p>
        </w:tc>
        <w:tc>
          <w:tcPr>
            <w:tcW w:w="1140" w:type="dxa"/>
            <w:vAlign w:val="bottom"/>
            <w:tcBorders>
              <w:bottom w:val="single" w:sz="8" w:color="CCEEFF"/>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$20.0M</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Q3'21</w:t>
            </w:r>
          </w:p>
        </w:tc>
        <w:tc>
          <w:tcPr>
            <w:tcW w:w="11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8"/>
              </w:rPr>
              <w:t>$20.0M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$20.0M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4"/>
                <w:szCs w:val="14"/>
                <w:color w:val="auto"/>
              </w:rPr>
              <w:t>Filing of the first MAA - second indication</w:t>
            </w:r>
            <w:r>
              <w:rPr>
                <w:rFonts w:ascii="Arial" w:cs="Arial" w:eastAsia="Arial" w:hAnsi="Arial"/>
                <w:sz w:val="18"/>
                <w:szCs w:val="18"/>
                <w:color w:val="auto"/>
                <w:vertAlign w:val="superscript"/>
              </w:rPr>
              <w:t>(3)</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w w:val="97"/>
              </w:rPr>
              <w:t>$5.0M</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7"/>
              </w:rPr>
              <w:t>$5.0M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First MAA approval - second indication</w:t>
            </w:r>
            <w:r>
              <w:rPr>
                <w:rFonts w:ascii="Arial" w:cs="Arial" w:eastAsia="Arial" w:hAnsi="Arial"/>
                <w:sz w:val="18"/>
                <w:szCs w:val="18"/>
                <w:color w:val="auto"/>
                <w:vertAlign w:val="superscript"/>
              </w:rPr>
              <w:t>(3)</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$10.0M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8"/>
              </w:rPr>
              <w:t>$10.0M</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$10.0M</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4"/>
                <w:szCs w:val="14"/>
                <w:color w:val="auto"/>
              </w:rPr>
              <w:t>First commercial sales milestone</w:t>
            </w:r>
            <w:r>
              <w:rPr>
                <w:rFonts w:ascii="Arial" w:cs="Arial" w:eastAsia="Arial" w:hAnsi="Arial"/>
                <w:sz w:val="18"/>
                <w:szCs w:val="18"/>
                <w:color w:val="auto"/>
                <w:vertAlign w:val="superscript"/>
              </w:rPr>
              <w:t>(3)</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$15.0M</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8"/>
              </w:rPr>
              <w:t>$15.0M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$15.0M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Second commercial sales milestone</w:t>
            </w:r>
            <w:r>
              <w:rPr>
                <w:rFonts w:ascii="Arial" w:cs="Arial" w:eastAsia="Arial" w:hAnsi="Arial"/>
                <w:sz w:val="18"/>
                <w:szCs w:val="18"/>
                <w:color w:val="auto"/>
                <w:vertAlign w:val="superscript"/>
              </w:rPr>
              <w:t>(3)</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$25.0M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8"/>
              </w:rPr>
              <w:t>$25.0M</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$25.0M</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4"/>
                <w:szCs w:val="14"/>
                <w:color w:val="auto"/>
              </w:rPr>
              <w:t>Third commercial sales milestone</w:t>
            </w:r>
            <w:r>
              <w:rPr>
                <w:rFonts w:ascii="Arial" w:cs="Arial" w:eastAsia="Arial" w:hAnsi="Arial"/>
                <w:sz w:val="18"/>
                <w:szCs w:val="18"/>
                <w:color w:val="auto"/>
                <w:vertAlign w:val="superscript"/>
              </w:rPr>
              <w:t>(3)</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$50.0M</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8"/>
              </w:rPr>
              <w:t>$50.0M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$50.0M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Fourth commercial sales milestone</w:t>
            </w:r>
          </w:p>
        </w:tc>
        <w:tc>
          <w:tcPr>
            <w:tcW w:w="1140" w:type="dxa"/>
            <w:vAlign w:val="bottom"/>
            <w:tcBorders>
              <w:bottom w:val="single" w:sz="8" w:color="CCEEFF"/>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$75.0M</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8"/>
              </w:rPr>
              <w:t>$75.0M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$75.0M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Milestones recognized through December 31, 2022</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$93.0M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8"/>
              </w:rPr>
              <w:t>$13.0M</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$8.0M</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Milestones that may be recognized in the future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5"/>
              </w:rPr>
              <w:t>$180.0M</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
              <w:spacing w:after="0"/>
              <w:rPr>
                <w:sz w:val="20"/>
                <w:szCs w:val="20"/>
                <w:color w:val="auto"/>
              </w:rPr>
            </w:pPr>
            <w:r>
              <w:rPr>
                <w:rFonts w:ascii="Arial" w:cs="Arial" w:eastAsia="Arial" w:hAnsi="Arial"/>
                <w:sz w:val="14"/>
                <w:szCs w:val="14"/>
                <w:color w:val="auto"/>
                <w:w w:val="99"/>
              </w:rPr>
              <w:t>$260.0M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$265.0M</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0" w:hanging="392"/>
        <w:spacing w:after="0"/>
        <w:tabs>
          <w:tab w:leader="none" w:pos="4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Biologics License Application (“BLA”)</w:t>
      </w:r>
    </w:p>
    <w:p>
      <w:pPr>
        <w:spacing w:after="0" w:line="15" w:lineRule="exact"/>
        <w:rPr>
          <w:rFonts w:ascii="Arial" w:cs="Arial" w:eastAsia="Arial" w:hAnsi="Arial"/>
          <w:sz w:val="23"/>
          <w:szCs w:val="23"/>
          <w:color w:val="auto"/>
          <w:vertAlign w:val="superscript"/>
        </w:rPr>
      </w:pPr>
    </w:p>
    <w:p>
      <w:pPr>
        <w:ind w:left="440" w:hanging="392"/>
        <w:spacing w:after="0" w:line="194" w:lineRule="auto"/>
        <w:tabs>
          <w:tab w:leader="none" w:pos="4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Marketing Authorization Application (“MAA”)</w:t>
      </w:r>
    </w:p>
    <w:p>
      <w:pPr>
        <w:spacing w:after="0" w:line="15" w:lineRule="exact"/>
        <w:rPr>
          <w:rFonts w:ascii="Arial" w:cs="Arial" w:eastAsia="Arial" w:hAnsi="Arial"/>
          <w:sz w:val="23"/>
          <w:szCs w:val="23"/>
          <w:color w:val="auto"/>
          <w:vertAlign w:val="superscript"/>
        </w:rPr>
      </w:pPr>
    </w:p>
    <w:p>
      <w:pPr>
        <w:ind w:left="460" w:right="180" w:hanging="412"/>
        <w:spacing w:after="0" w:line="219" w:lineRule="auto"/>
        <w:tabs>
          <w:tab w:leader="none" w:pos="4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For JEMPERLI, the filing and approval of the first MAA for a second indication and first three commercial sales milestones are included as part of the royalty monetization agreement with Sagard, see Note 5</w:t>
      </w:r>
    </w:p>
    <w:p>
      <w:pPr>
        <w:spacing w:after="0" w:line="94"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connection with the 2020 Amendment, in October 2020 GSK agreed, under the terms of a settlement agreement (the “GSK Settlement Agreement”), to pay us a royalty on all GSK net sales of Zejula starting January 1, 2021. Zejula is an oral, once-daily poly (ADP-ribose) polymerase (PARP) inhibitor, which has received U.S. and European approval for the maintenance treatment of adult patients with advanced epithelial ovarian, fallopian tube, or primary peritoneal cancer who are in a complete or partial response to first-line platinum-based chemotherapy, has been approved for certain other indications, and is under development for additional cancer indications as well.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61" w:name="page62"/>
    <w:bookmarkEnd w:id="61"/>
    <w:p>
      <w:pPr>
        <w:ind w:right="240"/>
        <w:spacing w:after="0" w:line="277" w:lineRule="auto"/>
        <w:rPr>
          <w:sz w:val="20"/>
          <w:szCs w:val="20"/>
          <w:color w:val="auto"/>
        </w:rPr>
      </w:pPr>
      <w:r>
        <w:rPr>
          <w:rFonts w:ascii="Arial" w:cs="Arial" w:eastAsia="Arial" w:hAnsi="Arial"/>
          <w:sz w:val="18"/>
          <w:szCs w:val="18"/>
          <w:color w:val="auto"/>
        </w:rPr>
        <w:t>antibodies generated against each of the targets under the agreement, which option was triggered on a target-by-target basis by our delivery of antibodies meeting certain pre-specified parameters pertaining to each target under the agreement.</w:t>
      </w:r>
    </w:p>
    <w:p>
      <w:pPr>
        <w:spacing w:after="0" w:line="62"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 From inception of the agreement through December 31, 2022, we have recognized $10.0 million in total revenue from BMS.</w:t>
      </w:r>
    </w:p>
    <w:p>
      <w:pPr>
        <w:spacing w:after="0" w:line="187"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There was no revenue recognized under this agreement during the years ended December 31, 2022 or 2021. Revenue was last recognized under this agreement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660" w:right="260" w:hanging="328"/>
        <w:spacing w:after="0" w:line="308" w:lineRule="auto"/>
        <w:tabs>
          <w:tab w:leader="none" w:pos="65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660" w:hanging="40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660" w:right="840" w:hanging="409"/>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40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117" w:lineRule="exact"/>
        <w:rPr>
          <w:sz w:val="20"/>
          <w:szCs w:val="20"/>
          <w:color w:val="auto"/>
        </w:rPr>
      </w:pPr>
    </w:p>
    <w:p>
      <w:pPr>
        <w:ind w:right="120" w:firstLine="567"/>
        <w:spacing w:after="0" w:line="342" w:lineRule="auto"/>
        <w:rPr>
          <w:sz w:val="20"/>
          <w:szCs w:val="20"/>
          <w:color w:val="auto"/>
        </w:rPr>
      </w:pPr>
      <w:r>
        <w:rPr>
          <w:rFonts w:ascii="Arial" w:cs="Arial" w:eastAsia="Arial" w:hAnsi="Arial"/>
          <w:sz w:val="16"/>
          <w:szCs w:val="16"/>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6" w:lineRule="exact"/>
        <w:rPr>
          <w:sz w:val="20"/>
          <w:szCs w:val="20"/>
          <w:color w:val="auto"/>
        </w:rPr>
      </w:pPr>
    </w:p>
    <w:p>
      <w:pPr>
        <w:ind w:right="240" w:firstLine="567"/>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expect our research and development expenses to be higher for the foreseeable future as we continue to advance our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80" w:firstLine="567"/>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Since inception, we have accumulated net operating losses (“NOLs”) in all years except December 31, 2022, 2015 and 2014, in which we generated taxable income primarily attributable to our collaboration agreement with GSK in 2014 and 2015,</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right="80"/>
        <w:spacing w:after="0" w:line="263" w:lineRule="auto"/>
        <w:rPr>
          <w:sz w:val="20"/>
          <w:szCs w:val="20"/>
          <w:color w:val="auto"/>
        </w:rPr>
      </w:pPr>
      <w:r>
        <w:rPr>
          <w:rFonts w:ascii="Arial" w:cs="Arial" w:eastAsia="Arial" w:hAnsi="Arial"/>
          <w:sz w:val="18"/>
          <w:szCs w:val="18"/>
          <w:color w:val="auto"/>
        </w:rPr>
        <w:t>and our Zejula Royalty Monetization Agreement and the requirement to capitalize and amortize R&amp;D expenditure for tax purposes in 2022. While we utilized NOLs in 2022, 2015 and 2014, we continue to incur losses and therefore continue to have a valuation allowance against our net deferred tax assets due to the uncertainty of the realization of such assets.</w:t>
      </w:r>
    </w:p>
    <w:p>
      <w:pPr>
        <w:spacing w:after="0" w:line="76"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As of December 31, 2022, we had federal and state NOL carryforwards of $287.4 million and $69.6 million, respectively. The federal and state NOLs generated prior to 2018 will begin to expire in 2029 and 2028, respectively, unless previously utilized. The federal NOL includes $234.3 million of net operating losses generated in 2018 and after. Federal net operating losses generated in 2018 and after carryover indefinitely and may generally be used to offset up to 80% of future taxable income. As of December 31, 2022, we had federal and California research tax credit carryforwards of approximately $6.1 million and $12.2 million, respectively. The federal research tax credit carryforwards will begin to expire in 2041 and the California research tax credits carryforward indefinitely.</w:t>
      </w:r>
    </w:p>
    <w:p>
      <w:pPr>
        <w:spacing w:after="0" w:line="84"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firstLine="567"/>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56"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right="22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3" w:name="page64"/>
    <w:bookmarkEnd w:id="63"/>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73"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4" w:lineRule="exact"/>
        <w:rPr>
          <w:sz w:val="20"/>
          <w:szCs w:val="20"/>
          <w:color w:val="auto"/>
        </w:rPr>
      </w:pPr>
    </w:p>
    <w:p>
      <w:pPr>
        <w:ind w:right="80" w:firstLine="567"/>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Sale of Future Royalties</w:t>
      </w:r>
    </w:p>
    <w:p>
      <w:pPr>
        <w:spacing w:after="0" w:line="121" w:lineRule="exact"/>
        <w:rPr>
          <w:sz w:val="20"/>
          <w:szCs w:val="20"/>
          <w:color w:val="auto"/>
        </w:rPr>
      </w:pPr>
    </w:p>
    <w:p>
      <w:pPr>
        <w:ind w:right="60" w:firstLine="567"/>
        <w:spacing w:after="0" w:line="288" w:lineRule="auto"/>
        <w:rPr>
          <w:sz w:val="20"/>
          <w:szCs w:val="20"/>
          <w:color w:val="auto"/>
        </w:rPr>
      </w:pPr>
      <w:r>
        <w:rPr>
          <w:rFonts w:ascii="Arial" w:cs="Arial" w:eastAsia="Arial" w:hAnsi="Arial"/>
          <w:sz w:val="16"/>
          <w:szCs w:val="16"/>
          <w:color w:val="auto"/>
        </w:rPr>
        <w:t>We treated the sale of future revenue from the JEMPERLI Royalty Monetization Agreement with Sagard and the Zejula Royalty Monetization Agreement with DRI LLP as a liability related to the sale of future royalties on the balance sheet. The recorded the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Zejula, and we will record the royalty payments made as a reduction of the liability when paid. As such payments are made, the balance of the liability will be effectively repaid over the life of the JEMPERLI 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0" w:firstLine="567"/>
        <w:spacing w:after="0" w:line="263" w:lineRule="auto"/>
        <w:rPr>
          <w:sz w:val="20"/>
          <w:szCs w:val="20"/>
          <w:color w:val="auto"/>
        </w:rPr>
      </w:pPr>
      <w:r>
        <w:rPr>
          <w:rFonts w:ascii="Arial" w:cs="Arial" w:eastAsia="Arial" w:hAnsi="Arial"/>
          <w:sz w:val="18"/>
          <w:szCs w:val="18"/>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Collaboration revenue was $10.3 million compared to $63.2 million for the years ended December 31, 2022 and 2021, respectively. A comparison of collaboration revenue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GSK Milestones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GSK Royalty Revenue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w:t>
            </w: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collaboration revenue</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63,175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(52,888)</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Collaboration revenue during the year ended December 31, 2022 decreased $52.9 million compared to the year ended December 31, 2021 primarily due to one milestone earned and recognized in 2022 as compared to four milestones earned and recognized in 2021, partially offset by an increase of $2.1 million in royalty revenue.</w:t>
      </w:r>
    </w:p>
    <w:p>
      <w:pPr>
        <w:spacing w:after="0" w:line="76"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Research and development expenses were $88.8 million during the year ended December 31, 2022 compared to $98.5 million during the year ended December 31, 2021, for a decrease of approximately $9.7 million. The decrease is primarily attributable to a $6.8 million decrease in outside services for preclinical and manufacturing expenses, a $4.7 million decrease in clinical expenses, partially offset by a $1.7 million increase in salaries and related expenses, including stock compensation expense, and a $0.1 million increase in other research and development expenses.</w:t>
      </w:r>
    </w:p>
    <w:p>
      <w:pPr>
        <w:spacing w:after="0" w:line="6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Imsidolimab</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38,812</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50,095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(11,283)</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Rosnilimab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ANB032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Etokimab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Preclinical and other unallocated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Internal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300" w:firstLine="567"/>
        <w:spacing w:after="0" w:line="279" w:lineRule="auto"/>
        <w:rPr>
          <w:sz w:val="20"/>
          <w:szCs w:val="20"/>
          <w:color w:val="auto"/>
        </w:rPr>
      </w:pPr>
      <w:r>
        <w:rPr>
          <w:rFonts w:ascii="Arial" w:cs="Arial" w:eastAsia="Arial" w:hAnsi="Arial"/>
          <w:sz w:val="17"/>
          <w:szCs w:val="17"/>
          <w:color w:val="auto"/>
        </w:rPr>
        <w:t>General and administrative expenses were $36.6 million during the year ended December 31, 2022 compared to $21.5 million during the year ended December 31, 2021, for an increase of approximately $15.1 million. The increase is primarily due to a $13.5 million increase in personnel costs, including $11.1 million in stock compensation expense, a $0.9 million increase in market research cost, and a $0.8 million increase in other general and administrative expense, partially offset by a $0.1 million decrease in insurance and legal expense.</w:t>
      </w:r>
    </w:p>
    <w:p>
      <w:pPr>
        <w:spacing w:after="0" w:line="63"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Interest expense was $21.1 million during the year ended December 31, 2022 compared to $1.5 million during the year ended December 31, 2021. The increase in interest expense during the period is directly related to the non-cash interest expense accrued on the liability related to the sale of future royalties, of which we had a full year of expense during 2022 as compared to one month of expense during 2021. We also had an additional sale of future royalties in 2022 compared to 2021.</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20" w:firstLine="567"/>
        <w:spacing w:after="0" w:line="286" w:lineRule="auto"/>
        <w:rPr>
          <w:sz w:val="20"/>
          <w:szCs w:val="20"/>
          <w:color w:val="auto"/>
        </w:rPr>
      </w:pPr>
      <w:r>
        <w:rPr>
          <w:rFonts w:ascii="Arial" w:cs="Arial" w:eastAsia="Arial" w:hAnsi="Arial"/>
          <w:sz w:val="17"/>
          <w:szCs w:val="17"/>
          <w:color w:val="auto"/>
        </w:rPr>
        <w:t>Interest income was $7.6 million during the year ended December 31, 2022 compared to $0.4 million during the year ended December 31, 2021. The increase in interest income was primarily related to our short-term and long-term investments, the balance of which increased during the periods. The increase in interest income is also attributable to higher interest rates during the year ended December 31,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380" w:firstLine="567"/>
        <w:spacing w:after="0" w:line="286" w:lineRule="auto"/>
        <w:rPr>
          <w:sz w:val="20"/>
          <w:szCs w:val="20"/>
          <w:color w:val="auto"/>
        </w:rPr>
      </w:pPr>
      <w:r>
        <w:rPr>
          <w:rFonts w:ascii="Arial" w:cs="Arial" w:eastAsia="Arial" w:hAnsi="Arial"/>
          <w:sz w:val="17"/>
          <w:szCs w:val="17"/>
          <w:color w:val="auto"/>
        </w:rPr>
        <w:t>From our inception through December 31, 2022, we have received an aggregate of $1.2 billion to fund our operations, which included $634.7 million from the sale of equity securities, $285.0 million from the sale of future royalties, $234.2 million from our collaboration agreements and $19.1 million from venture debt. As of December 31, 2022, we had $584.2 million in cash, cash equivalents and investments.</w:t>
      </w:r>
    </w:p>
    <w:p>
      <w:pPr>
        <w:spacing w:after="0" w:line="57" w:lineRule="exact"/>
        <w:rPr>
          <w:sz w:val="20"/>
          <w:szCs w:val="20"/>
          <w:color w:val="auto"/>
        </w:rPr>
      </w:pPr>
    </w:p>
    <w:p>
      <w:pPr>
        <w:ind w:right="40" w:firstLine="567"/>
        <w:spacing w:after="0" w:line="275" w:lineRule="auto"/>
        <w:rPr>
          <w:sz w:val="20"/>
          <w:szCs w:val="20"/>
          <w:color w:val="auto"/>
        </w:rPr>
      </w:pPr>
      <w:r>
        <w:rPr>
          <w:rFonts w:ascii="Arial" w:cs="Arial" w:eastAsia="Arial" w:hAnsi="Arial"/>
          <w:sz w:val="17"/>
          <w:szCs w:val="17"/>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6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In October 2021, we signed the JEMPERLI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We treated the sale of future revenue from the JEMPERLI Royalty Monetization Agreement with Sagard as debt, which will be amortized under the effective interest rate method over the estimated life of the related expected royalty stream. We recorded the upfront proceeds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3" w:right="359" w:bottom="1440" w:gutter="0" w:footer="0" w:header="0"/>
        </w:sectPr>
      </w:pPr>
    </w:p>
    <w:bookmarkStart w:id="66" w:name="page67"/>
    <w:bookmarkEnd w:id="66"/>
    <w:p>
      <w:pPr>
        <w:spacing w:after="0" w:line="271" w:lineRule="auto"/>
        <w:rPr>
          <w:sz w:val="20"/>
          <w:szCs w:val="20"/>
          <w:color w:val="auto"/>
        </w:rPr>
      </w:pPr>
      <w:r>
        <w:rPr>
          <w:rFonts w:ascii="Arial" w:cs="Arial" w:eastAsia="Arial" w:hAnsi="Arial"/>
          <w:sz w:val="17"/>
          <w:szCs w:val="17"/>
          <w:color w:val="auto"/>
        </w:rPr>
        <w:t>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we will record the royalty payments to Sagard as a reduction of the liability when paid. As such payments are made to Sagard, the balance of the liability will be effectively repaid over the life of the JEMPERLI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70"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Monetization Agreement.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71" w:lineRule="exact"/>
        <w:rPr>
          <w:sz w:val="20"/>
          <w:szCs w:val="20"/>
          <w:color w:val="auto"/>
        </w:rPr>
      </w:pPr>
    </w:p>
    <w:p>
      <w:pPr>
        <w:ind w:right="380" w:firstLine="567"/>
        <w:spacing w:after="0" w:line="263" w:lineRule="auto"/>
        <w:rPr>
          <w:sz w:val="20"/>
          <w:szCs w:val="20"/>
          <w:color w:val="auto"/>
        </w:rPr>
      </w:pPr>
      <w:r>
        <w:rPr>
          <w:rFonts w:ascii="Arial" w:cs="Arial" w:eastAsia="Arial" w:hAnsi="Arial"/>
          <w:sz w:val="18"/>
          <w:szCs w:val="18"/>
          <w:color w:val="auto"/>
        </w:rPr>
        <w:t>In December 2021, we entered into an Open Market Sales Agreement with Jefferies LLC, through which we may offer and sell shares of our common stock having an aggregate offering of up to $150.0 million through Jefferies LLC as our sales agent. This agreement was terminated effective November 8, 2022.</w:t>
      </w:r>
    </w:p>
    <w:p>
      <w:pPr>
        <w:spacing w:after="0" w:line="76"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In November 2022, we entered into the Cowen Sales Agreement with Cowen and Company, LLC, through which we may offer and sell shares of our common stock, having an aggregate offering of up to $150.0 million through Cowen and Company, LLC as our sales agent.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6"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8"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Additionally, on January 13, 2023, our board of directors authorized a stock repurchase program, whereby we may purchase up to $50.0 million in shares of our common stock, or the Repurchase Program. The Repurchase Program may be carried out at the discretion of our board of directors through open market purchases, one or more Rule 10b5-1 trading plans, or other means in accordance with Rule 10b5-1 of the Exchange Act and Rule 10b-18 of the Exchange Act. The Repurchase Program may be suspended, modified or discontinued at any time, and we have no obligation to repurchase any amount of our common stock under the Repurchase Program.</w:t>
      </w:r>
    </w:p>
    <w:p>
      <w:pPr>
        <w:spacing w:after="0" w:line="80" w:lineRule="exact"/>
        <w:rPr>
          <w:sz w:val="20"/>
          <w:szCs w:val="20"/>
          <w:color w:val="auto"/>
        </w:rPr>
      </w:pPr>
    </w:p>
    <w:p>
      <w:pPr>
        <w:ind w:right="80" w:firstLine="567"/>
        <w:spacing w:after="0" w:line="275" w:lineRule="auto"/>
        <w:rPr>
          <w:sz w:val="20"/>
          <w:szCs w:val="20"/>
          <w:color w:val="auto"/>
        </w:rPr>
      </w:pPr>
      <w:r>
        <w:rPr>
          <w:rFonts w:ascii="Arial" w:cs="Arial" w:eastAsia="Arial" w:hAnsi="Arial"/>
          <w:sz w:val="17"/>
          <w:szCs w:val="17"/>
          <w:color w:val="auto"/>
        </w:rPr>
        <w:t>Cash, cash equivalents and investments totaled $584.2 million as of December 31, 2022, compared to $615.2 million as of December 31, 2021. We believe that our existing cash, cash equivalents and investments will fund our current operating plan, including the Repurchase Program,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96"/>
        </w:trPr>
        <w:tc>
          <w:tcPr>
            <w:tcW w:w="8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6"/>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16"/>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(73,593)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(45,920)</w:t>
            </w:r>
          </w:p>
        </w:tc>
      </w:tr>
      <w:tr>
        <w:trPr>
          <w:trHeight w:val="230"/>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(394,845)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38,835</w:t>
            </w:r>
          </w:p>
        </w:tc>
      </w:tr>
      <w:tr>
        <w:trPr>
          <w:trHeight w:val="229"/>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44,017</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252,298</w:t>
            </w:r>
          </w:p>
        </w:tc>
      </w:tr>
      <w:tr>
        <w:trPr>
          <w:trHeight w:val="248"/>
        </w:trPr>
        <w:tc>
          <w:tcPr>
            <w:tcW w:w="8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(424,421)</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245,213</w:t>
            </w:r>
          </w:p>
        </w:tc>
      </w:tr>
      <w:tr>
        <w:trPr>
          <w:trHeight w:val="20"/>
        </w:trPr>
        <w:tc>
          <w:tcPr>
            <w:tcW w:w="8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80" w:firstLine="567"/>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2022 was $73.6 million, primarily due to our net loss of $128.7 million, adjusted for addbacks for non-cash items of $46.8 million which includes stock-based compensation, amortization of operating right-of-use assets and liabilities, non-cash interest expense, and income from marketable securities and increases in working capital of $8.3 million.</w:t>
      </w:r>
    </w:p>
    <w:p>
      <w:pPr>
        <w:spacing w:after="0" w:line="165" w:lineRule="exact"/>
        <w:rPr>
          <w:sz w:val="20"/>
          <w:szCs w:val="20"/>
          <w:color w:val="auto"/>
        </w:rPr>
      </w:pPr>
    </w:p>
    <w:p>
      <w:pPr>
        <w:ind w:right="280" w:firstLine="567"/>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2021 was $45.9 million, primarily due to our net loss of $57.8 million, adjusted for addbacks for non-cash items of $19.3 million which includes stock-based compensation, amortization of operating right-of-use assets and liabilities, non-cash interest expense, and income from marketable securities and decreases in working capital of $7.4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00" w:firstLine="567"/>
        <w:spacing w:after="0" w:line="263" w:lineRule="auto"/>
        <w:rPr>
          <w:sz w:val="20"/>
          <w:szCs w:val="20"/>
          <w:color w:val="auto"/>
        </w:rPr>
      </w:pPr>
      <w:r>
        <w:rPr>
          <w:rFonts w:ascii="Arial" w:cs="Arial" w:eastAsia="Arial" w:hAnsi="Arial"/>
          <w:sz w:val="18"/>
          <w:szCs w:val="18"/>
          <w:color w:val="auto"/>
        </w:rPr>
        <w:t>Cash used in investing activities during the year ended December 31, 2022 was $394.8 million, primarily due to the sale and maturities of investments of $408.0 million, offset by the acquisition of investments of $802.5 million and the purchases of property and equipment of approximately $0.3 million.</w:t>
      </w:r>
    </w:p>
    <w:p>
      <w:pPr>
        <w:spacing w:after="0" w:line="76" w:lineRule="exact"/>
        <w:rPr>
          <w:sz w:val="20"/>
          <w:szCs w:val="20"/>
          <w:color w:val="auto"/>
        </w:rPr>
      </w:pPr>
    </w:p>
    <w:p>
      <w:pPr>
        <w:ind w:right="420" w:firstLine="567"/>
        <w:spacing w:after="0" w:line="342" w:lineRule="auto"/>
        <w:rPr>
          <w:sz w:val="20"/>
          <w:szCs w:val="20"/>
          <w:color w:val="auto"/>
        </w:rPr>
      </w:pPr>
      <w:r>
        <w:rPr>
          <w:rFonts w:ascii="Arial" w:cs="Arial" w:eastAsia="Arial" w:hAnsi="Arial"/>
          <w:sz w:val="16"/>
          <w:szCs w:val="16"/>
          <w:color w:val="auto"/>
        </w:rPr>
        <w:t>Cash provided by investing activities during the year ended December 31, 2021 was $38.8 million, primarily due to the sale and maturities of investments of $158.8 million, offset by the acquisition of investments of $118.7 million and the purchases of property and equipment of $1.3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60" w:firstLine="567"/>
        <w:spacing w:after="0" w:line="286" w:lineRule="auto"/>
        <w:rPr>
          <w:sz w:val="20"/>
          <w:szCs w:val="20"/>
          <w:color w:val="auto"/>
        </w:rPr>
      </w:pPr>
      <w:r>
        <w:rPr>
          <w:rFonts w:ascii="Arial" w:cs="Arial" w:eastAsia="Arial" w:hAnsi="Arial"/>
          <w:sz w:val="17"/>
          <w:szCs w:val="17"/>
          <w:color w:val="auto"/>
        </w:rPr>
        <w:t>Cash provided by financing activities during the year ended December 31, 2022 was $44.0 million, primarily related to $35.0 million received for the sale of future royalties, $11.8 million proceeds received from the issuance of common stock, offset by $2.5 million for repayments of the liability for the sale of future royalties and $0.3 million for payments of issuance costs related to the sale of future royalties.</w:t>
      </w:r>
    </w:p>
    <w:p>
      <w:pPr>
        <w:spacing w:after="0" w:line="57"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Cash provided by financing activities during the year ended December 31, 2021 was $252.3 million, primarily related to $250.0 million received for the sale of future royalties, and $2.6 million proceeds received from the issuance of common stock, offset by $0.3 million for payments of issuance costs related to the sale of future royalties.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0"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For further information related to our operating lease and future minimum annual obligations for license payments under our collaboration in-license agreements, see Note 10 — Commitments and Contingencies in the accompanying notes to the consolidated financial statements included in Part II, Item 8, “Consolidated Financial Statements and Supplementary Data”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2022, our investment portfolio includes cash, cash equivalents, and investments of $584.2 million that earn interest at market rates. Our investments held during the year were comprised of highly rated instruments such as, money market funds, commercial paper and debt instruments of financial institutions, corporations, and obligations issued by the U.S. government-sponsored agencies and U.S. Treasury. As of December 31, 2022,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2022,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Inflation generally affects us by increasing our clinical trial and other operational costs. We do not believe that inflation has had a material effect on our business, financial condition or results of operations during the years ended December 31, 2022, 2021 or 2020.</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18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214"/>
        </w:trPr>
        <w:tc>
          <w:tcPr>
            <w:tcW w:w="500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6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0"/>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Financial Statements</w:t>
            </w:r>
          </w:p>
        </w:tc>
        <w:tc>
          <w:tcPr>
            <w:tcW w:w="780" w:type="dxa"/>
            <w:vAlign w:val="bottom"/>
          </w:tcPr>
          <w:p>
            <w:pPr>
              <w:spacing w:after="0"/>
              <w:rPr>
                <w:sz w:val="18"/>
                <w:szCs w:val="18"/>
                <w:color w:val="auto"/>
              </w:rPr>
            </w:pPr>
          </w:p>
        </w:tc>
        <w:tc>
          <w:tcPr>
            <w:tcW w:w="6180" w:type="dxa"/>
            <w:vAlign w:val="bottom"/>
          </w:tcPr>
          <w:p>
            <w:pPr>
              <w:spacing w:after="0"/>
              <w:rPr>
                <w:sz w:val="18"/>
                <w:szCs w:val="18"/>
                <w:color w:val="auto"/>
              </w:rPr>
            </w:pPr>
          </w:p>
        </w:tc>
      </w:tr>
      <w:tr>
        <w:trPr>
          <w:trHeight w:val="209"/>
        </w:trPr>
        <w:tc>
          <w:tcPr>
            <w:tcW w:w="320" w:type="dxa"/>
            <w:vAlign w:val="bottom"/>
            <w:tcBorders>
              <w:top w:val="single" w:sz="8" w:color="0000FF"/>
            </w:tcBorders>
          </w:tcPr>
          <w:p>
            <w:pPr>
              <w:spacing w:after="0"/>
              <w:rPr>
                <w:sz w:val="18"/>
                <w:szCs w:val="18"/>
                <w:color w:val="auto"/>
              </w:rPr>
            </w:pPr>
          </w:p>
        </w:tc>
        <w:tc>
          <w:tcPr>
            <w:tcW w:w="210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87"/>
              </w:rPr>
              <w:t>Consolidated Balance Sheets</w:t>
            </w:r>
          </w:p>
        </w:tc>
        <w:tc>
          <w:tcPr>
            <w:tcW w:w="80" w:type="dxa"/>
            <w:vAlign w:val="bottom"/>
            <w:tcBorders>
              <w:top w:val="single" w:sz="8" w:color="0000FF"/>
            </w:tcBorders>
          </w:tcPr>
          <w:p>
            <w:pPr>
              <w:spacing w:after="0"/>
              <w:rPr>
                <w:sz w:val="18"/>
                <w:szCs w:val="18"/>
                <w:color w:val="auto"/>
              </w:rPr>
            </w:pPr>
          </w:p>
        </w:tc>
        <w:tc>
          <w:tcPr>
            <w:tcW w:w="2500" w:type="dxa"/>
            <w:vAlign w:val="bottom"/>
            <w:gridSpan w:val="5"/>
          </w:tcPr>
          <w:p>
            <w:pPr>
              <w:spacing w:after="0"/>
              <w:rPr>
                <w:sz w:val="18"/>
                <w:szCs w:val="18"/>
                <w:color w:val="auto"/>
              </w:rPr>
            </w:pPr>
          </w:p>
        </w:tc>
        <w:tc>
          <w:tcPr>
            <w:tcW w:w="6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320" w:type="dxa"/>
            <w:vAlign w:val="bottom"/>
          </w:tcPr>
          <w:p>
            <w:pPr>
              <w:spacing w:after="0"/>
              <w:rPr>
                <w:sz w:val="18"/>
                <w:szCs w:val="18"/>
                <w:color w:val="auto"/>
              </w:rPr>
            </w:pPr>
          </w:p>
        </w:tc>
        <w:tc>
          <w:tcPr>
            <w:tcW w:w="468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88"/>
              </w:rPr>
              <w:t>Consolidated Statements of Operations and Comprehensive Loss</w:t>
            </w:r>
          </w:p>
        </w:tc>
        <w:tc>
          <w:tcPr>
            <w:tcW w:w="6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9"/>
        </w:trPr>
        <w:tc>
          <w:tcPr>
            <w:tcW w:w="320" w:type="dxa"/>
            <w:vAlign w:val="bottom"/>
          </w:tcPr>
          <w:p>
            <w:pPr>
              <w:spacing w:after="0"/>
              <w:rPr>
                <w:sz w:val="18"/>
                <w:szCs w:val="18"/>
                <w:color w:val="auto"/>
              </w:rPr>
            </w:pPr>
          </w:p>
        </w:tc>
        <w:tc>
          <w:tcPr>
            <w:tcW w:w="356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0"/>
              </w:rPr>
              <w:t>Consolidated Statements of Stockholders’ Equity</w:t>
            </w:r>
          </w:p>
        </w:tc>
        <w:tc>
          <w:tcPr>
            <w:tcW w:w="1120" w:type="dxa"/>
            <w:vAlign w:val="bottom"/>
            <w:gridSpan w:val="2"/>
          </w:tcPr>
          <w:p>
            <w:pPr>
              <w:spacing w:after="0"/>
              <w:rPr>
                <w:sz w:val="18"/>
                <w:szCs w:val="18"/>
                <w:color w:val="auto"/>
              </w:rPr>
            </w:pPr>
          </w:p>
        </w:tc>
        <w:tc>
          <w:tcPr>
            <w:tcW w:w="6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320" w:type="dxa"/>
            <w:vAlign w:val="bottom"/>
          </w:tcPr>
          <w:p>
            <w:pPr>
              <w:spacing w:after="0"/>
              <w:rPr>
                <w:sz w:val="18"/>
                <w:szCs w:val="18"/>
                <w:color w:val="auto"/>
              </w:rPr>
            </w:pPr>
          </w:p>
        </w:tc>
        <w:tc>
          <w:tcPr>
            <w:tcW w:w="28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8"/>
              </w:rPr>
              <w:t>Consolidated Statements of Cash Flows</w:t>
            </w:r>
          </w:p>
        </w:tc>
        <w:tc>
          <w:tcPr>
            <w:tcW w:w="1800" w:type="dxa"/>
            <w:vAlign w:val="bottom"/>
            <w:gridSpan w:val="4"/>
          </w:tcPr>
          <w:p>
            <w:pPr>
              <w:spacing w:after="0"/>
              <w:rPr>
                <w:sz w:val="18"/>
                <w:szCs w:val="18"/>
                <w:color w:val="auto"/>
              </w:rPr>
            </w:pPr>
          </w:p>
        </w:tc>
        <w:tc>
          <w:tcPr>
            <w:tcW w:w="6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320" w:type="dxa"/>
            <w:vAlign w:val="bottom"/>
          </w:tcPr>
          <w:p>
            <w:pPr>
              <w:spacing w:after="0"/>
              <w:rPr>
                <w:sz w:val="18"/>
                <w:szCs w:val="18"/>
                <w:color w:val="auto"/>
              </w:rPr>
            </w:pPr>
          </w:p>
        </w:tc>
        <w:tc>
          <w:tcPr>
            <w:tcW w:w="316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9"/>
              </w:rPr>
              <w:t>Notes to Consolidated Financial Statements</w:t>
            </w:r>
          </w:p>
        </w:tc>
        <w:tc>
          <w:tcPr>
            <w:tcW w:w="1520" w:type="dxa"/>
            <w:vAlign w:val="bottom"/>
            <w:gridSpan w:val="3"/>
          </w:tcPr>
          <w:p>
            <w:pPr>
              <w:spacing w:after="0"/>
              <w:rPr>
                <w:sz w:val="18"/>
                <w:szCs w:val="18"/>
                <w:color w:val="auto"/>
              </w:rPr>
            </w:pPr>
          </w:p>
        </w:tc>
        <w:tc>
          <w:tcPr>
            <w:tcW w:w="61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AnaptysBio, Inc. and subsidiary (the Company) as of December 31, 2022 and 2021, the related consolidated statements of operations and comprehensive loss,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Research and Development Costs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 of each reporting period.</w:t>
      </w:r>
    </w:p>
    <w:p>
      <w:pPr>
        <w:spacing w:after="0" w:line="13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identified the evaluation of research and development costs as a critical audit matter. These estimates are based on certain assumptions and inputs that were challenging to assess, including the Company’s knowledge of the status of research and development programs and associated completion status, project milestones achieved, raw materials used in manufacturing,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71" w:name="page72"/>
    <w:bookmarkEnd w:id="71"/>
    <w:p>
      <w:pPr>
        <w:ind w:right="160"/>
        <w:spacing w:after="0" w:line="277" w:lineRule="auto"/>
        <w:rPr>
          <w:sz w:val="20"/>
          <w:szCs w:val="20"/>
          <w:color w:val="auto"/>
        </w:rPr>
      </w:pPr>
      <w:r>
        <w:rPr>
          <w:rFonts w:ascii="Arial" w:cs="Arial" w:eastAsia="Arial" w:hAnsi="Arial"/>
          <w:sz w:val="18"/>
          <w:szCs w:val="18"/>
          <w:color w:val="auto"/>
        </w:rPr>
        <w:t>and, for larger clinical trials, per patient costs, patient enrollment status, project costs, and site costs. Significant auditor judgment, subjectivity, and effort were required to evaluate the assumptions and inputs to these estimates.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2022 and evaluated whether services received prior to December 31, 2022 were included in the Company’s estimate of costs incurred as of December 31, 2022.</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2022</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792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71,308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495,729</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Receivables from collaborative partners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369,933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52,368</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207"/>
        </w:trPr>
        <w:tc>
          <w:tcPr>
            <w:tcW w:w="79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447,205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553,876</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19,558</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142,935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67,097</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5"/>
        </w:trPr>
        <w:tc>
          <w:tcPr>
            <w:tcW w:w="7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610,383</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20" w:type="dxa"/>
            <w:vAlign w:val="bottom"/>
            <w:tcBorders>
              <w:top w:val="single" w:sz="8" w:color="CFF0FC"/>
              <w:bottom w:val="single" w:sz="8" w:color="CFF0FC"/>
            </w:tcBorders>
            <w:vMerge w:val="restart"/>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3"/>
        </w:trPr>
        <w:tc>
          <w:tcPr>
            <w:tcW w:w="79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26,054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16,099</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Liability related to sale of future royalties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304,413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251,093</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92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2022</w:t>
            </w:r>
          </w:p>
        </w:tc>
        <w:tc>
          <w:tcPr>
            <w:tcW w:w="240" w:type="dxa"/>
            <w:vAlign w:val="bottom"/>
            <w:shd w:val="clear" w:color="auto" w:fill="CFF0FC"/>
          </w:tcPr>
          <w:p>
            <w:pPr>
              <w:spacing w:after="0"/>
              <w:rPr>
                <w:sz w:val="15"/>
                <w:szCs w:val="15"/>
                <w:color w:val="auto"/>
              </w:rPr>
            </w:pP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and December 31, 2021, respectively</w:t>
            </w:r>
          </w:p>
        </w:tc>
        <w:tc>
          <w:tcPr>
            <w:tcW w:w="2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20" w:type="dxa"/>
            <w:vAlign w:val="bottom"/>
          </w:tcPr>
          <w:p>
            <w:pPr>
              <w:spacing w:after="0" w:line="166" w:lineRule="exact"/>
              <w:rPr>
                <w:sz w:val="20"/>
                <w:szCs w:val="20"/>
                <w:color w:val="auto"/>
              </w:rPr>
            </w:pPr>
            <w:r>
              <w:rPr>
                <w:rFonts w:ascii="Arial" w:cs="Arial" w:eastAsia="Arial" w:hAnsi="Arial"/>
                <w:sz w:val="16"/>
                <w:szCs w:val="16"/>
                <w:color w:val="auto"/>
                <w:w w:val="91"/>
              </w:rPr>
              <w:t>Common stock, $0.001 par value, 500,000 shares authorized, 28,513 shares and 27,647 shares issued and outstanding at</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December 31, 2022 and December 31, 2021, respectively</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 in capital</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717,797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678,575</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(450,477)</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(321,753)</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262,103</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356,428</w:t>
            </w:r>
          </w:p>
        </w:tc>
        <w:tc>
          <w:tcPr>
            <w:tcW w:w="0" w:type="dxa"/>
            <w:vAlign w:val="bottom"/>
          </w:tcPr>
          <w:p>
            <w:pPr>
              <w:spacing w:after="0"/>
              <w:rPr>
                <w:sz w:val="1"/>
                <w:szCs w:val="1"/>
                <w:color w:val="auto"/>
              </w:rPr>
            </w:pPr>
          </w:p>
        </w:tc>
      </w:tr>
      <w:tr>
        <w:trPr>
          <w:trHeight w:val="234"/>
        </w:trPr>
        <w:tc>
          <w:tcPr>
            <w:tcW w:w="7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610,383</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Year Ended</w:t>
      </w:r>
    </w:p>
    <w:p>
      <w:pPr>
        <w:jc w:val="center"/>
        <w:ind w:left="730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63,175</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88,798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98,496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80,025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36,643</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21,493</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125,441</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119,989</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98,879</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(115,154)</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(56,814)</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(23,879)</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73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other (expense) income, net</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(13,546)</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(128,700)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(57,796)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(19,931)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(128,724)</w:t>
            </w:r>
          </w:p>
        </w:tc>
        <w:tc>
          <w:tcPr>
            <w:tcW w:w="1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(57,796)</w:t>
            </w:r>
          </w:p>
        </w:tc>
        <w:tc>
          <w:tcPr>
            <w:tcW w:w="1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(19,931)</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Unrealized loss on available for sale securities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(133,548)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(58,214)</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(20,273)</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28,165</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27,302</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172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3"/>
        </w:trPr>
        <w:tc>
          <w:tcPr>
            <w:tcW w:w="45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restart"/>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Additional</w:t>
            </w:r>
          </w:p>
        </w:tc>
        <w:tc>
          <w:tcPr>
            <w:tcW w:w="1260" w:type="dxa"/>
            <w:vAlign w:val="bottom"/>
            <w:gridSpan w:val="3"/>
            <w:vMerge w:val="restart"/>
          </w:tcPr>
          <w:p>
            <w:pPr>
              <w:jc w:val="center"/>
              <w:ind w:right="100"/>
              <w:spacing w:after="0" w:line="88" w:lineRule="exact"/>
              <w:rPr>
                <w:sz w:val="20"/>
                <w:szCs w:val="20"/>
                <w:color w:val="auto"/>
              </w:rPr>
            </w:pPr>
            <w:r>
              <w:rPr>
                <w:rFonts w:ascii="Arial" w:cs="Arial" w:eastAsia="Arial" w:hAnsi="Arial"/>
                <w:sz w:val="10"/>
                <w:szCs w:val="10"/>
                <w:b w:val="1"/>
                <w:bCs w:val="1"/>
                <w:color w:val="auto"/>
                <w:w w:val="95"/>
              </w:rPr>
              <w:t>Comprehensive Income</w:t>
            </w:r>
          </w:p>
        </w:tc>
        <w:tc>
          <w:tcPr>
            <w:tcW w:w="180" w:type="dxa"/>
            <w:vAlign w:val="bottom"/>
          </w:tcPr>
          <w:p>
            <w:pPr>
              <w:spacing w:after="0"/>
              <w:rPr>
                <w:sz w:val="6"/>
                <w:szCs w:val="6"/>
                <w:color w:val="auto"/>
              </w:rPr>
            </w:pPr>
          </w:p>
        </w:tc>
        <w:tc>
          <w:tcPr>
            <w:tcW w:w="1100" w:type="dxa"/>
            <w:vAlign w:val="bottom"/>
            <w:gridSpan w:val="2"/>
            <w:vMerge w:val="restart"/>
          </w:tcPr>
          <w:p>
            <w:pPr>
              <w:ind w:left="100"/>
              <w:spacing w:after="0" w:line="88"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6"/>
                <w:szCs w:val="6"/>
                <w:color w:val="auto"/>
              </w:rPr>
            </w:pPr>
          </w:p>
        </w:tc>
        <w:tc>
          <w:tcPr>
            <w:tcW w:w="1000" w:type="dxa"/>
            <w:vAlign w:val="bottom"/>
            <w:vMerge w:val="restart"/>
          </w:tcPr>
          <w:p>
            <w:pPr>
              <w:jc w:val="center"/>
              <w:ind w:right="106"/>
              <w:spacing w:after="0" w:line="88"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Paid-in Capital</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180" w:type="dxa"/>
            <w:vAlign w:val="bottom"/>
          </w:tcPr>
          <w:p>
            <w:pPr>
              <w:spacing w:after="0"/>
              <w:rPr>
                <w:sz w:val="11"/>
                <w:szCs w:val="11"/>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27,255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648,669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(244,026)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405,008</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Issuance of common stock from exercises of options</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11,499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11,499</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(19,931)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(19,931)</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27,356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660,665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(263,957)</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396,731</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2,564</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15,347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15,347</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(418)</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(57,796)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(57,796)</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27,647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678,575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(321,753)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356,428</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11,866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11,867</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27,356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27,356</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(4,824)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(4,824)</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(128,724)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(128,724)</w:t>
            </w:r>
          </w:p>
        </w:tc>
        <w:tc>
          <w:tcPr>
            <w:tcW w:w="0" w:type="dxa"/>
            <w:vAlign w:val="bottom"/>
          </w:tcPr>
          <w:p>
            <w:pPr>
              <w:spacing w:after="0"/>
              <w:rPr>
                <w:sz w:val="1"/>
                <w:szCs w:val="1"/>
                <w:color w:val="auto"/>
              </w:rPr>
            </w:pPr>
          </w:p>
        </w:tc>
      </w:tr>
      <w:tr>
        <w:trPr>
          <w:trHeight w:val="156"/>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28,513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717,797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(5,246)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(450,477)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262,103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Year Ended</w:t>
      </w:r>
    </w:p>
    <w:p>
      <w:pPr>
        <w:jc w:val="center"/>
        <w:ind w:left="736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(128,724)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(57,796)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(19,931)</w:t>
            </w:r>
          </w:p>
        </w:tc>
        <w:tc>
          <w:tcPr>
            <w:tcW w:w="0" w:type="dxa"/>
            <w:vAlign w:val="bottom"/>
          </w:tcPr>
          <w:p>
            <w:pPr>
              <w:spacing w:after="0"/>
              <w:rPr>
                <w:sz w:val="1"/>
                <w:szCs w:val="1"/>
                <w:color w:val="auto"/>
              </w:rPr>
            </w:pPr>
          </w:p>
        </w:tc>
      </w:tr>
      <w:tr>
        <w:trPr>
          <w:trHeight w:val="232"/>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11,499</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right-of-use assets – operating</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loss on disposal of property and equipment, net of gain on lease termination</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 from collaborative partners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(7,694)</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(73,593)</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(45,920)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(14,157)</w:t>
            </w: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(802,503)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(118,662)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(194,927)</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Sales and maturities of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289,971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sale of property and equipment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(394,845)</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38,835</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94,475</w:t>
            </w: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11,827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the sale of future royalties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notes payable</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Repayment of liability for sale of future royalties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issuance costs related to the sale of future royalties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(used in) by financing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44,017</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252,298</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(424,421)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245,213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79,439</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495,729</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250,516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71,308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495,729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250,516</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 related to issuance of common stock, upon exercise of stock options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60" w:type="dxa"/>
            <w:vAlign w:val="bottom"/>
          </w:tcPr>
          <w:p>
            <w:pPr>
              <w:ind w:left="260"/>
              <w:spacing w:after="0"/>
              <w:rPr>
                <w:sz w:val="20"/>
                <w:szCs w:val="20"/>
                <w:color w:val="auto"/>
              </w:rPr>
            </w:pPr>
            <w:r>
              <w:rPr>
                <w:rFonts w:ascii="Arial" w:cs="Arial" w:eastAsia="Arial" w:hAnsi="Arial"/>
                <w:sz w:val="16"/>
                <w:szCs w:val="16"/>
                <w:color w:val="auto"/>
              </w:rPr>
              <w:t>Amounts accrued for issuance costs related to the sale of future royalties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in a planned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(JEMPERLI (dostarlimab-gxly)), an anti-TIM-3 antagonist antibody (cobolimab, GSK4069889) and an anti-LAG-3 antagonist antibody (GSK4074386). We currently recognize revenue from milestones and royalties achieved under our immuno-oncology collaboration with GSK.</w:t>
      </w:r>
    </w:p>
    <w:p>
      <w:pPr>
        <w:spacing w:after="0" w:line="64"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69" w:lineRule="exact"/>
        <w:rPr>
          <w:sz w:val="20"/>
          <w:szCs w:val="20"/>
          <w:color w:val="auto"/>
        </w:rPr>
      </w:pPr>
    </w:p>
    <w:p>
      <w:pPr>
        <w:ind w:left="260" w:right="7660" w:hanging="252"/>
        <w:spacing w:after="0" w:line="378" w:lineRule="auto"/>
        <w:tabs>
          <w:tab w:leader="none" w:pos="19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340" w:firstLine="567"/>
        <w:spacing w:after="0" w:line="263"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(“U.S. GAAP”).</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80" w:firstLine="567"/>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67"/>
        <w:spacing w:after="0" w:line="296"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7" w:name="page78"/>
    <w:bookmarkEnd w:id="77"/>
    <w:p>
      <w:pPr>
        <w:ind w:firstLine="567"/>
        <w:spacing w:after="0" w:line="290" w:lineRule="auto"/>
        <w:rPr>
          <w:sz w:val="20"/>
          <w:szCs w:val="20"/>
          <w:color w:val="auto"/>
        </w:rPr>
      </w:pPr>
      <w:r>
        <w:rPr>
          <w:rFonts w:ascii="Arial" w:cs="Arial" w:eastAsia="Arial" w:hAnsi="Arial"/>
          <w:sz w:val="16"/>
          <w:szCs w:val="16"/>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2022, 2021, or 2020.</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lease payments over the lease term. For this purpose, we consider only payments that are fixed and determinable at the time of commencement.</w:t>
      </w:r>
    </w:p>
    <w:p>
      <w:pPr>
        <w:spacing w:after="0" w:line="70"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38"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We keep leases with an initial term of 12 months or less off the balance sheet and recognize the associated lease payments in the consolidated statements of operations on a straight-line basis over the lease term.</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117"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We treat the liability related to the sale of future royalties as debt, amortized under the effective interest rate method over the estimated life of the JEMPERLI Royalty Monetization Agreement and the Zejula Royalty Monetization Agreement. See Note 5. The amortization of the liability related to the sale of future revenue is based on our current estimates of future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8" w:name="page79"/>
    <w:bookmarkEnd w:id="78"/>
    <w:p>
      <w:pPr>
        <w:ind w:right="80"/>
        <w:spacing w:after="0" w:line="277" w:lineRule="auto"/>
        <w:rPr>
          <w:sz w:val="20"/>
          <w:szCs w:val="20"/>
          <w:color w:val="auto"/>
        </w:rPr>
      </w:pPr>
      <w:r>
        <w:rPr>
          <w:rFonts w:ascii="Arial" w:cs="Arial" w:eastAsia="Arial" w:hAnsi="Arial"/>
          <w:sz w:val="18"/>
          <w:szCs w:val="18"/>
          <w:color w:val="auto"/>
        </w:rPr>
        <w:t>royalty payments. Royalty and milestone revenue will be recognized as earned and the payments made will be recorded as a reduction of the liability when paid.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240" w:firstLine="567"/>
        <w:spacing w:after="0" w:line="263" w:lineRule="auto"/>
        <w:rPr>
          <w:sz w:val="20"/>
          <w:szCs w:val="20"/>
          <w:color w:val="auto"/>
        </w:rPr>
      </w:pPr>
      <w:r>
        <w:rPr>
          <w:rFonts w:ascii="Arial" w:cs="Arial" w:eastAsia="Arial" w:hAnsi="Arial"/>
          <w:sz w:val="18"/>
          <w:szCs w:val="18"/>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Non-Cash Interest Expense on the Liability Related to the Sale of Future Royalties</w:t>
      </w:r>
    </w:p>
    <w:p>
      <w:pPr>
        <w:spacing w:after="0" w:line="117"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The total threshold of royalties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JEMPERLI Royalty Monetization Agreement and the Zejula Royalty Monetization Agreement. Over the course of the agreement, the actual interest rate will be affected by the timing of royalty and milestone payments made and changes in the forecasted revenue.</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ind w:left="22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2022, there have not been material differences between actual and estimated royalty revenues.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7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60"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80"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76" w:lineRule="exact"/>
        <w:rPr>
          <w:sz w:val="20"/>
          <w:szCs w:val="20"/>
          <w:color w:val="auto"/>
        </w:rPr>
      </w:pPr>
    </w:p>
    <w:p>
      <w:pPr>
        <w:jc w:val="both"/>
        <w:ind w:right="320" w:firstLine="567"/>
        <w:spacing w:after="0" w:line="286" w:lineRule="auto"/>
        <w:rPr>
          <w:sz w:val="20"/>
          <w:szCs w:val="20"/>
          <w:color w:val="auto"/>
        </w:rPr>
      </w:pPr>
      <w:r>
        <w:rPr>
          <w:rFonts w:ascii="Arial" w:cs="Arial" w:eastAsia="Arial" w:hAnsi="Arial"/>
          <w:sz w:val="17"/>
          <w:szCs w:val="17"/>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spacing w:after="0" w:line="5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ind w:right="380"/>
        <w:spacing w:after="0" w:line="277" w:lineRule="auto"/>
        <w:rPr>
          <w:sz w:val="20"/>
          <w:szCs w:val="20"/>
          <w:color w:val="auto"/>
        </w:rPr>
      </w:pPr>
      <w:r>
        <w:rPr>
          <w:rFonts w:ascii="Arial" w:cs="Arial" w:eastAsia="Arial" w:hAnsi="Arial"/>
          <w:sz w:val="18"/>
          <w:szCs w:val="18"/>
          <w:color w:val="auto"/>
        </w:rPr>
        <w:t>likely than not that some portion or all of a deferred tax asset will not be realized based on the weight of available evidence, including expected future earnings.</w:t>
      </w:r>
    </w:p>
    <w:p>
      <w:pPr>
        <w:spacing w:after="0" w:line="62" w:lineRule="exact"/>
        <w:rPr>
          <w:sz w:val="20"/>
          <w:szCs w:val="20"/>
          <w:color w:val="auto"/>
        </w:rPr>
      </w:pPr>
    </w:p>
    <w:p>
      <w:pPr>
        <w:ind w:right="80" w:firstLine="567"/>
        <w:spacing w:after="0" w:line="296"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63"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spacing w:after="0"/>
              <w:rPr>
                <w:sz w:val="14"/>
                <w:szCs w:val="14"/>
                <w:color w:val="auto"/>
              </w:rPr>
            </w:pPr>
          </w:p>
        </w:tc>
      </w:tr>
      <w:tr>
        <w:trPr>
          <w:trHeight w:val="196"/>
        </w:trPr>
        <w:tc>
          <w:tcPr>
            <w:tcW w:w="73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w:t>
            </w: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60" w:firstLine="567"/>
        <w:spacing w:after="0" w:line="263" w:lineRule="auto"/>
        <w:rPr>
          <w:sz w:val="20"/>
          <w:szCs w:val="20"/>
          <w:color w:val="auto"/>
        </w:rPr>
      </w:pPr>
      <w:r>
        <w:rPr>
          <w:rFonts w:ascii="Arial" w:cs="Arial" w:eastAsia="Arial" w:hAnsi="Arial"/>
          <w:sz w:val="18"/>
          <w:szCs w:val="18"/>
          <w:color w:val="auto"/>
        </w:rPr>
        <w:t>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81" w:name="page82"/>
    <w:bookmarkEnd w:id="81"/>
    <w:p>
      <w:pPr>
        <w:ind w:left="260" w:right="6860" w:hanging="252"/>
        <w:spacing w:after="0" w:line="377" w:lineRule="auto"/>
        <w:tabs>
          <w:tab w:leader="none" w:pos="19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FF0FC"/>
            </w:tcBorders>
          </w:tcPr>
          <w:p>
            <w:pPr>
              <w:spacing w:after="0"/>
              <w:rPr>
                <w:sz w:val="2"/>
                <w:szCs w:val="2"/>
                <w:color w:val="auto"/>
              </w:rPr>
            </w:pPr>
          </w:p>
        </w:tc>
        <w:tc>
          <w:tcPr>
            <w:tcW w:w="78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Property and equipment, gross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vMerge w:val="restart"/>
          </w:tcPr>
          <w:p>
            <w:pPr>
              <w:ind w:left="280"/>
              <w:spacing w:after="0"/>
              <w:rPr>
                <w:sz w:val="20"/>
                <w:szCs w:val="20"/>
                <w:color w:val="auto"/>
              </w:rPr>
            </w:pPr>
            <w:r>
              <w:rPr>
                <w:rFonts w:ascii="Arial" w:cs="Arial" w:eastAsia="Arial" w:hAnsi="Arial"/>
                <w:sz w:val="18"/>
                <w:szCs w:val="18"/>
                <w:b w:val="1"/>
                <w:bCs w:val="1"/>
                <w:i w:val="1"/>
                <w:iCs w:val="1"/>
                <w:color w:val="auto"/>
              </w:rPr>
              <w:t>Accrued Expenses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40" w:type="dxa"/>
            <w:vAlign w:val="bottom"/>
          </w:tcPr>
          <w:p>
            <w:pPr>
              <w:ind w:left="560"/>
              <w:spacing w:after="0"/>
              <w:rPr>
                <w:sz w:val="20"/>
                <w:szCs w:val="20"/>
                <w:color w:val="auto"/>
              </w:rPr>
            </w:pPr>
            <w:r>
              <w:rPr>
                <w:rFonts w:ascii="Arial" w:cs="Arial" w:eastAsia="Arial" w:hAnsi="Arial"/>
                <w:sz w:val="18"/>
                <w:szCs w:val="18"/>
                <w:color w:val="auto"/>
              </w:rPr>
              <w:t>Accrued expenses consist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7,953</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21,633</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GlaxoSmithKline Collaboration</w:t>
      </w:r>
    </w:p>
    <w:p>
      <w:pPr>
        <w:spacing w:after="0" w:line="117" w:lineRule="exact"/>
        <w:rPr>
          <w:sz w:val="20"/>
          <w:szCs w:val="20"/>
          <w:color w:val="auto"/>
        </w:rPr>
      </w:pPr>
    </w:p>
    <w:p>
      <w:pPr>
        <w:ind w:right="80" w:firstLine="567"/>
        <w:spacing w:after="0" w:line="253" w:lineRule="auto"/>
        <w:rPr>
          <w:sz w:val="20"/>
          <w:szCs w:val="20"/>
          <w:color w:val="auto"/>
        </w:rPr>
      </w:pPr>
      <w:r>
        <w:rPr>
          <w:rFonts w:ascii="Arial" w:cs="Arial" w:eastAsia="Arial" w:hAnsi="Arial"/>
          <w:sz w:val="18"/>
          <w:szCs w:val="18"/>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additional antibody discovery program for an upfront license fee of $2.0 million. Currently, under the GSK Agreement, GSK is developing JEMPERLI (dostarlimab), an anti-PD-1 antagonist antibody, as a monotherapy and in combination with additional therapies, for various solid tumor indications. In addition, under the collaboration, GSK is developing dostarlimab in combination with two other development programs from the GSK Agreement: cobolimab, an anti-TIM-3 antibody, and GSK40974386, an anti-LAG antibody, for various solid tumor indications.</w:t>
      </w:r>
    </w:p>
    <w:p>
      <w:pPr>
        <w:spacing w:after="0" w:line="8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4-8%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determined that the upfront license fees and research funding under the GSK Agreement, as amended, should be accounted for as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82" w:name="page83"/>
    <w:bookmarkEnd w:id="82"/>
    <w:p>
      <w:pPr>
        <w:ind w:firstLine="567"/>
        <w:spacing w:after="0" w:line="271" w:lineRule="auto"/>
        <w:rPr>
          <w:sz w:val="20"/>
          <w:szCs w:val="20"/>
          <w:color w:val="auto"/>
        </w:rPr>
      </w:pPr>
      <w:r>
        <w:rPr>
          <w:rFonts w:ascii="Arial" w:cs="Arial" w:eastAsia="Arial" w:hAnsi="Arial"/>
          <w:sz w:val="17"/>
          <w:szCs w:val="17"/>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70" w:lineRule="exact"/>
        <w:rPr>
          <w:sz w:val="20"/>
          <w:szCs w:val="20"/>
          <w:color w:val="auto"/>
        </w:rPr>
      </w:pPr>
    </w:p>
    <w:p>
      <w:pPr>
        <w:ind w:right="200" w:firstLine="567"/>
        <w:spacing w:after="0" w:line="292"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JEMPERLI,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The $1.1 billion in cash milestone payments due</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76"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right="20" w:firstLine="170"/>
        <w:spacing w:after="0" w:line="263" w:lineRule="auto"/>
        <w:rPr>
          <w:sz w:val="20"/>
          <w:szCs w:val="20"/>
          <w:color w:val="auto"/>
        </w:rPr>
      </w:pPr>
      <w:r>
        <w:rPr>
          <w:rFonts w:ascii="Arial" w:cs="Arial" w:eastAsia="Arial" w:hAnsi="Arial"/>
          <w:sz w:val="18"/>
          <w:szCs w:val="18"/>
          <w:color w:val="auto"/>
        </w:rPr>
        <w:t>As of December 31, 2022, the transaction price for the GSK Agreement and Amendment includes the upfront payment, research reimbursement revenue, one-time payment associated with the Amendment, and milestones and royalties earned to date, which are allocated in their entirety to the single performance obligation.</w:t>
      </w:r>
    </w:p>
    <w:p>
      <w:pPr>
        <w:spacing w:after="0" w:line="184"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earned and recognized $5.3 million in royalty revenue during the year ended December 31, 2022 related to GSK’s net sales of Zejula and JEMPERLI during the period based on estimates or actual GSK’s sales historical experience. Of the royalty revenue recognized, $2.3 million is JEMPERLI non-cash revenue related to the JEMPERLI Royalty Monetization Agreement, $1.6 million is Zejula revenue prior to the Zejula Royalty Monetization Agreement and $1.4 million is Zejula non-cash revenue related to the Zejula Royalty Monetization Agreement, see Note 5. We earned and recognized $3.2 million in royalty revenue during the year ended December 31, 2021 related to GSK’s net sales of Zejula and JEMPERLI during the period based on estimates or actual GSK’s sales historical experience. Of the royalty revenue recognized, $0.2 million is JEMPERLI non-cash revenue related to the JEMPERLI Royalty Monetization Agreement and the remaining is Zejula and JEMPERLI revenue prior to the royalty monetization agreements. GSK reports sales information to us on a one quarter lag and differences between actual and estimated royalty revenues will be adjusted in the following quarter. There was no royalty revenue recognized during the year ended December 31, 2020. All royalty revenue related to Zejula global net sales starting July 2022, will be paid directly to a wholly-owned subsidiary of DRI Healthcare Trust pursuant to the Zejula Royalty Monetization Agreement, see Note 5.</w:t>
      </w:r>
    </w:p>
    <w:p>
      <w:pPr>
        <w:spacing w:after="0" w:line="16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earned and recognized one clinical milestone for $5.0 million during the year ended December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under the GSK Agreement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340" w:type="dxa"/>
            <w:vAlign w:val="bottom"/>
            <w:gridSpan w:val="3"/>
          </w:tcPr>
          <w:p>
            <w:pPr>
              <w:ind w:left="800"/>
              <w:spacing w:after="0"/>
              <w:rPr>
                <w:sz w:val="20"/>
                <w:szCs w:val="20"/>
                <w:color w:val="auto"/>
              </w:rPr>
            </w:pPr>
            <w:r>
              <w:rPr>
                <w:rFonts w:ascii="Arial" w:cs="Arial" w:eastAsia="Arial" w:hAnsi="Arial"/>
                <w:sz w:val="14"/>
                <w:szCs w:val="14"/>
                <w:b w:val="1"/>
                <w:bCs w:val="1"/>
                <w:color w:val="auto"/>
              </w:rPr>
              <w:t>Anti-PD-1</w:t>
            </w:r>
          </w:p>
        </w:tc>
        <w:tc>
          <w:tcPr>
            <w:tcW w:w="2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340" w:type="dxa"/>
            <w:vAlign w:val="bottom"/>
            <w:gridSpan w:val="3"/>
          </w:tcPr>
          <w:p>
            <w:pPr>
              <w:ind w:left="300"/>
              <w:spacing w:after="0"/>
              <w:rPr>
                <w:sz w:val="20"/>
                <w:szCs w:val="20"/>
                <w:color w:val="auto"/>
              </w:rPr>
            </w:pPr>
            <w:r>
              <w:rPr>
                <w:rFonts w:ascii="Arial" w:cs="Arial" w:eastAsia="Arial" w:hAnsi="Arial"/>
                <w:sz w:val="14"/>
                <w:szCs w:val="14"/>
                <w:b w:val="1"/>
                <w:bCs w:val="1"/>
                <w:color w:val="auto"/>
              </w:rPr>
              <w:t>(JEMPERLI/Dostarlimab)</w:t>
            </w:r>
          </w:p>
        </w:tc>
        <w:tc>
          <w:tcPr>
            <w:tcW w:w="2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(GSK4069889A/Cobolimab)</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106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1"/>
                <w:szCs w:val="11"/>
                <w:color w:val="auto"/>
              </w:rPr>
            </w:pPr>
          </w:p>
        </w:tc>
        <w:tc>
          <w:tcPr>
            <w:tcW w:w="108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06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4"/>
        </w:trPr>
        <w:tc>
          <w:tcPr>
            <w:tcW w:w="4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c>
          <w:tcPr>
            <w:tcW w:w="1080" w:type="dxa"/>
            <w:vAlign w:val="bottom"/>
            <w:vMerge w:val="continue"/>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c>
          <w:tcPr>
            <w:tcW w:w="106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3"/>
        </w:trPr>
        <w:tc>
          <w:tcPr>
            <w:tcW w:w="42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1"/>
              </w:rPr>
              <w:t>Q2'15</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1"/>
              </w:rPr>
              <w:t>Q4'15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Q3'16</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(GLPs)</w:t>
            </w: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Q1'16</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Q2'16</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Q2'17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Phase 2 clinical trial initiation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Q2'17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Q4'17</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Q4'19</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Q3'18</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Q4'22</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Q2'19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4"/>
                <w:szCs w:val="14"/>
                <w:color w:val="auto"/>
              </w:rPr>
              <w:t>Filing of the first BLA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first indication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Q1'20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Q1'20</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$5.0M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Filing of the first BLA - second indication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Q1'21</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BLA approval - first indication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$20.0M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Q2'21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$20.0M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First MAA approval - first indication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Q2'21</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BLA approval - second indication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$20.0M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Q3'21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$20.0M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4"/>
                <w:szCs w:val="14"/>
                <w:color w:val="auto"/>
              </w:rPr>
              <w:t>Filing of the first MAA - second indication</w:t>
            </w:r>
            <w:r>
              <w:rPr>
                <w:rFonts w:ascii="Arial" w:cs="Arial" w:eastAsia="Arial" w:hAnsi="Arial"/>
                <w:sz w:val="18"/>
                <w:szCs w:val="18"/>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First MAA approval - second indication</w:t>
            </w:r>
            <w:r>
              <w:rPr>
                <w:rFonts w:ascii="Arial" w:cs="Arial" w:eastAsia="Arial" w:hAnsi="Arial"/>
                <w:sz w:val="18"/>
                <w:szCs w:val="18"/>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4"/>
                <w:szCs w:val="14"/>
                <w:color w:val="auto"/>
              </w:rPr>
              <w:t>First commercial sales milestone</w:t>
            </w:r>
            <w:r>
              <w:rPr>
                <w:rFonts w:ascii="Arial" w:cs="Arial" w:eastAsia="Arial" w:hAnsi="Arial"/>
                <w:sz w:val="18"/>
                <w:szCs w:val="18"/>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$15.0M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Second commercial sales milestone</w:t>
            </w:r>
            <w:r>
              <w:rPr>
                <w:rFonts w:ascii="Arial" w:cs="Arial" w:eastAsia="Arial" w:hAnsi="Arial"/>
                <w:sz w:val="18"/>
                <w:szCs w:val="18"/>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$25.0M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4"/>
                <w:szCs w:val="14"/>
                <w:color w:val="auto"/>
              </w:rPr>
              <w:t>Third commercial sales milestone</w:t>
            </w:r>
            <w:r>
              <w:rPr>
                <w:rFonts w:ascii="Arial" w:cs="Arial" w:eastAsia="Arial" w:hAnsi="Arial"/>
                <w:sz w:val="18"/>
                <w:szCs w:val="18"/>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$50.0M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$50.0M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$50.0M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commercial sales milestone</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$75.0M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$75.0M</w:t>
            </w:r>
          </w:p>
        </w:tc>
        <w:tc>
          <w:tcPr>
            <w:tcW w:w="12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$75.0M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Milestones recognized through December 31, 2022</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$93.0M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$8.0M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Milestones that may be recognized in the future</w:t>
            </w: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$180.0M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$260.0M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$265.0M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0" w:hanging="392"/>
        <w:spacing w:after="0"/>
        <w:tabs>
          <w:tab w:leader="none" w:pos="4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Biologics License Application (“BLA”)</w:t>
      </w:r>
    </w:p>
    <w:p>
      <w:pPr>
        <w:spacing w:after="0" w:line="15" w:lineRule="exact"/>
        <w:rPr>
          <w:rFonts w:ascii="Arial" w:cs="Arial" w:eastAsia="Arial" w:hAnsi="Arial"/>
          <w:sz w:val="23"/>
          <w:szCs w:val="23"/>
          <w:color w:val="auto"/>
          <w:vertAlign w:val="superscript"/>
        </w:rPr>
      </w:pPr>
    </w:p>
    <w:p>
      <w:pPr>
        <w:ind w:left="440" w:hanging="392"/>
        <w:spacing w:after="0" w:line="194" w:lineRule="auto"/>
        <w:tabs>
          <w:tab w:leader="none" w:pos="4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Marketing Authorization Application (“MAA”)</w:t>
      </w:r>
    </w:p>
    <w:p>
      <w:pPr>
        <w:spacing w:after="0" w:line="15" w:lineRule="exact"/>
        <w:rPr>
          <w:rFonts w:ascii="Arial" w:cs="Arial" w:eastAsia="Arial" w:hAnsi="Arial"/>
          <w:sz w:val="23"/>
          <w:szCs w:val="23"/>
          <w:color w:val="auto"/>
          <w:vertAlign w:val="superscript"/>
        </w:rPr>
      </w:pPr>
    </w:p>
    <w:p>
      <w:pPr>
        <w:ind w:left="460" w:right="180" w:hanging="412"/>
        <w:spacing w:after="0" w:line="219" w:lineRule="auto"/>
        <w:tabs>
          <w:tab w:leader="none" w:pos="44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For JEMPERLI, the filing and approval of the first MAA for a second indication and first three commercial sales milestones are included as part of the royalty monetization agreement with Sagard, see Note 5</w:t>
      </w:r>
    </w:p>
    <w:p>
      <w:pPr>
        <w:spacing w:after="0" w:line="202"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recognized $10.3 million in revenue under the GSK Agreement during the year ended December 31, 2022, of which $5.0 million was related to one milestone and $5.3 million was related to royalty revenue. We recognized $63.2 million in revenue during the year ended December 31, 2021, of which $60.0 million was related to four milestones and $3.2 million was related to royalty revenue. We recognized $75.0 million in revenue during the year ended December 31, 2020, of which $60.0 million was related to terms under Amendment No. 3 to the GSK Agreement that were satisfied and $15.0 million in milestone revenue related to two milestones.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0" w:lineRule="exact"/>
        <w:rPr>
          <w:sz w:val="20"/>
          <w:szCs w:val="20"/>
          <w:color w:val="auto"/>
        </w:rPr>
      </w:pPr>
    </w:p>
    <w:p>
      <w:pPr>
        <w:jc w:val="both"/>
        <w:ind w:right="540" w:firstLine="567"/>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84" w:name="page85"/>
    <w:bookmarkEnd w:id="84"/>
    <w:p>
      <w:pPr>
        <w:ind w:right="180" w:firstLine="567"/>
        <w:spacing w:after="0" w:line="277" w:lineRule="auto"/>
        <w:rPr>
          <w:sz w:val="20"/>
          <w:szCs w:val="20"/>
          <w:color w:val="auto"/>
        </w:rPr>
      </w:pPr>
      <w:r>
        <w:rPr>
          <w:rFonts w:ascii="Arial" w:cs="Arial" w:eastAsia="Arial" w:hAnsi="Arial"/>
          <w:sz w:val="18"/>
          <w:szCs w:val="18"/>
          <w:color w:val="auto"/>
        </w:rPr>
        <w:t>There was no revenue recognized under this agreement during the years ended December 31, 2022, 2021, and 2020. Revenue was last recognized under this agreement in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of Future Royalties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JEMPERLI Royalty Monetization Agreement</w:t>
      </w:r>
    </w:p>
    <w:p>
      <w:pPr>
        <w:spacing w:after="0" w:line="117" w:lineRule="exact"/>
        <w:rPr>
          <w:sz w:val="20"/>
          <w:szCs w:val="20"/>
          <w:color w:val="auto"/>
        </w:rPr>
      </w:pPr>
    </w:p>
    <w:p>
      <w:pPr>
        <w:ind w:right="80" w:firstLine="567"/>
        <w:spacing w:after="0" w:line="271" w:lineRule="auto"/>
        <w:rPr>
          <w:sz w:val="20"/>
          <w:szCs w:val="20"/>
          <w:color w:val="auto"/>
        </w:rPr>
      </w:pPr>
      <w:r>
        <w:rPr>
          <w:rFonts w:ascii="Arial" w:cs="Arial" w:eastAsia="Arial" w:hAnsi="Arial"/>
          <w:sz w:val="17"/>
          <w:szCs w:val="17"/>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 below $1.0 billion starting in October 2021. The aggregate JEMPERLI royalties and milestones to be received by Sagard under the JEMPERLI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JEMPERLI Royalty Monetization Agreement will expire resulting in us regaining all subsequent JEMPERLI royalties and milestones. As of December 31, 2022, Sagard has received a total of $1.8 million in royalties and milestones.</w:t>
      </w:r>
    </w:p>
    <w:p>
      <w:pPr>
        <w:spacing w:after="0" w:line="70" w:lineRule="exact"/>
        <w:rPr>
          <w:sz w:val="20"/>
          <w:szCs w:val="20"/>
          <w:color w:val="auto"/>
        </w:rPr>
      </w:pPr>
    </w:p>
    <w:p>
      <w:pPr>
        <w:jc w:val="both"/>
        <w:ind w:right="140" w:firstLine="567"/>
        <w:spacing w:after="0" w:line="263" w:lineRule="auto"/>
        <w:rPr>
          <w:sz w:val="20"/>
          <w:szCs w:val="20"/>
          <w:color w:val="auto"/>
        </w:rPr>
      </w:pPr>
      <w:r>
        <w:rPr>
          <w:rFonts w:ascii="Arial" w:cs="Arial" w:eastAsia="Arial" w:hAnsi="Arial"/>
          <w:sz w:val="18"/>
          <w:szCs w:val="18"/>
          <w:color w:val="auto"/>
        </w:rPr>
        <w:t>The JEMPERLI Royalty Monetization Agreement includes a call option pursuant to which at any time after December 1, 2024, we may reacquire our interest in the specified royalties by paying Sagard (in cash) a specified amount as described in the JEMPERLI Royalty Monetization Agreement. The exercise of this call option is at our sole discretion, which we currently do not anticipate exercising.</w:t>
      </w:r>
    </w:p>
    <w:p>
      <w:pPr>
        <w:spacing w:after="0" w:line="76" w:lineRule="exact"/>
        <w:rPr>
          <w:sz w:val="20"/>
          <w:szCs w:val="20"/>
          <w:color w:val="auto"/>
        </w:rPr>
      </w:pPr>
    </w:p>
    <w:p>
      <w:pPr>
        <w:jc w:val="both"/>
        <w:ind w:right="20" w:firstLine="567"/>
        <w:spacing w:after="0" w:line="296" w:lineRule="auto"/>
        <w:rPr>
          <w:sz w:val="20"/>
          <w:szCs w:val="20"/>
          <w:color w:val="auto"/>
        </w:rPr>
      </w:pPr>
      <w:r>
        <w:rPr>
          <w:rFonts w:ascii="Arial" w:cs="Arial" w:eastAsia="Arial" w:hAnsi="Arial"/>
          <w:sz w:val="16"/>
          <w:szCs w:val="16"/>
          <w:color w:val="auto"/>
        </w:rPr>
        <w:t>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JEMPERLI Royalty Monetization Agreement.</w:t>
      </w:r>
    </w:p>
    <w:p>
      <w:pPr>
        <w:spacing w:after="0" w:line="53"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We estimate the effective interest rate used to record non-cash interest expense under the JEMPERLI Royalty Monetization Agreement based on the estimate of future royalty payments to be received by Sagard. As of December 31, 2022, the estimated effective rate under the agreement was 5.5%.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84" w:lineRule="exact"/>
        <w:rPr>
          <w:sz w:val="20"/>
          <w:szCs w:val="20"/>
          <w:color w:val="auto"/>
        </w:rPr>
      </w:pPr>
    </w:p>
    <w:p>
      <w:pPr>
        <w:ind w:right="280" w:firstLine="567"/>
        <w:spacing w:after="0" w:line="259" w:lineRule="auto"/>
        <w:rPr>
          <w:sz w:val="20"/>
          <w:szCs w:val="20"/>
          <w:color w:val="auto"/>
        </w:rPr>
      </w:pPr>
      <w:r>
        <w:rPr>
          <w:rFonts w:ascii="Arial" w:cs="Arial" w:eastAsia="Arial" w:hAnsi="Arial"/>
          <w:sz w:val="18"/>
          <w:szCs w:val="18"/>
          <w:color w:val="auto"/>
        </w:rPr>
        <w:t>We recognized JEMPERLI non-cash royalty revenue of approximately $2.3 million and $0.2 million during the years ended December 31, 2022 and 2021, respectively and non-cash interest expense of approximately $20.4 million and $1.5 million during the years ended December 31, 2022 and 2021, respectively. The interest and amortization of issuance costs is reflected as non-cash interest expense for the sale of future royalties in the Consolidated Statements of Operations.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activity within the liability account for the year ended December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2040" w:type="dxa"/>
            <w:vAlign w:val="bottom"/>
          </w:tcPr>
          <w:p>
            <w:pPr>
              <w:jc w:val="right"/>
              <w:ind w:right="533"/>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JEMPERLI royalties and milestones - balance at 12/31/2021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251,093</w:t>
            </w: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Issuance costs related to the sale of future royalties</w:t>
            </w: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issuance costs</w:t>
            </w: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Royalty and milestone payments to Sagard</w:t>
            </w: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recognized</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 - 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269,540</w:t>
            </w:r>
          </w:p>
        </w:tc>
      </w:tr>
      <w:tr>
        <w:trPr>
          <w:trHeight w:val="20"/>
        </w:trPr>
        <w:tc>
          <w:tcPr>
            <w:tcW w:w="8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Zejula Royalty Monetization Agreement</w:t>
      </w:r>
    </w:p>
    <w:p>
      <w:pPr>
        <w:spacing w:after="0" w:line="117"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5" w:name="page86"/>
    <w:bookmarkEnd w:id="85"/>
    <w:p>
      <w:pPr>
        <w:ind w:firstLine="567"/>
        <w:spacing w:after="0" w:line="255" w:lineRule="auto"/>
        <w:rPr>
          <w:sz w:val="20"/>
          <w:szCs w:val="20"/>
          <w:color w:val="auto"/>
        </w:rPr>
      </w:pPr>
      <w:r>
        <w:rPr>
          <w:rFonts w:ascii="Arial" w:cs="Arial" w:eastAsia="Arial" w:hAnsi="Arial"/>
          <w:sz w:val="18"/>
          <w:szCs w:val="18"/>
          <w:color w:val="auto"/>
        </w:rPr>
        <w:t>In September 2022, we signed a purchase and sale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84" w:lineRule="exact"/>
        <w:rPr>
          <w:sz w:val="20"/>
          <w:szCs w:val="20"/>
          <w:color w:val="auto"/>
        </w:rPr>
      </w:pPr>
    </w:p>
    <w:p>
      <w:pPr>
        <w:ind w:right="40" w:firstLine="567"/>
        <w:spacing w:after="0" w:line="275" w:lineRule="auto"/>
        <w:rPr>
          <w:sz w:val="20"/>
          <w:szCs w:val="20"/>
          <w:color w:val="auto"/>
        </w:rPr>
      </w:pPr>
      <w:r>
        <w:rPr>
          <w:rFonts w:ascii="Arial" w:cs="Arial" w:eastAsia="Arial" w:hAnsi="Arial"/>
          <w:sz w:val="17"/>
          <w:szCs w:val="17"/>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we will record the royalty payments to DRI as a reduction of the liability when paid. The aggregate future estimated payments, less the $34.8 million, of net proceeds, will be recorded as non-cash interest expense over the life of the arrangement. As such payments are made to DRI, the balance of the liability will be effectively repaid over the life of the Zejula Royalty Monetization Agreement.</w:t>
      </w:r>
    </w:p>
    <w:p>
      <w:pPr>
        <w:spacing w:after="0" w:line="68"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We estimate the effective interest rate used to record non-cash interest expense under the Zejula Royalty Monetization Agreement based on the estimate of future royalty payments to be received by DRI. As of December 31, 2022, the estimated effective rate under the agreement was 5.2%.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84"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We recognized Zejula non-cash royalty revenue of approximately $1.4 million and non-cash interest expense of approximately $0.7 million for the year ended December 31, 2022. The interest and amortization of issuance costs is reflected as non-cash interest expense for the sale of future royalties in the Consolidated Statements of Operations.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activity within the liability account for the year ended December 31, 2022:</w:t>
      </w:r>
    </w:p>
    <w:p>
      <w:pPr>
        <w:sectPr>
          <w:pgSz w:w="11900" w:h="16838" w:orient="portrait"/>
          <w:cols w:equalWidth="0" w:num="1">
            <w:col w:w="11240"/>
          </w:cols>
          <w:pgMar w:left="320" w:top="1003"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140" w:right="1740" w:hanging="107"/>
        <w:spacing w:after="0" w:line="266" w:lineRule="auto"/>
        <w:rPr>
          <w:sz w:val="20"/>
          <w:szCs w:val="20"/>
          <w:color w:val="auto"/>
        </w:rPr>
      </w:pPr>
      <w:r>
        <w:rPr>
          <w:rFonts w:ascii="Arial" w:cs="Arial" w:eastAsia="Arial" w:hAnsi="Arial"/>
          <w:sz w:val="18"/>
          <w:szCs w:val="18"/>
          <w:color w:val="auto"/>
        </w:rPr>
        <w:t>Liability related to sale of future Zejula royalties and milestones - balance at 12/31/2021 Proceeds from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Issuance costs related to the sale of future royalties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Royalty and milestone payments to DRI</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related to sale of future royalties and milestones - ending balance</w:t>
      </w:r>
    </w:p>
    <w:p>
      <w:pPr>
        <w:spacing w:after="0" w:line="200" w:lineRule="exact"/>
        <w:rPr>
          <w:sz w:val="20"/>
          <w:szCs w:val="20"/>
          <w:color w:val="auto"/>
        </w:rPr>
      </w:pPr>
    </w:p>
    <w:p>
      <w:pPr>
        <w:spacing w:after="0" w:line="251" w:lineRule="exact"/>
        <w:rPr>
          <w:sz w:val="20"/>
          <w:szCs w:val="20"/>
          <w:color w:val="auto"/>
        </w:rPr>
      </w:pPr>
    </w:p>
    <w:p>
      <w:pPr>
        <w:ind w:left="260" w:right="3240" w:hanging="252"/>
        <w:spacing w:after="0" w:line="440" w:lineRule="auto"/>
        <w:tabs>
          <w:tab w:leader="none" w:pos="19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63" w:lineRule="exact"/>
        <w:rPr>
          <w:sz w:val="20"/>
          <w:szCs w:val="20"/>
          <w:color w:val="auto"/>
        </w:rPr>
      </w:pPr>
    </w:p>
    <w:p>
      <w:pPr>
        <w:jc w:val="both"/>
        <w:spacing w:after="0"/>
        <w:tabs>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35,000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(692)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742</w:t>
      </w:r>
    </w:p>
    <w:p>
      <w:pPr>
        <w:spacing w:after="0" w:line="35"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34,873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1534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48" w:lineRule="exact"/>
        <w:rPr>
          <w:sz w:val="20"/>
          <w:szCs w:val="20"/>
          <w:color w:val="auto"/>
        </w:rPr>
      </w:pPr>
    </w:p>
    <w:p>
      <w:pPr>
        <w:sectPr>
          <w:pgSz w:w="11900" w:h="16838" w:orient="portrait"/>
          <w:cols w:equalWidth="0" w:num="2">
            <w:col w:w="8120" w:space="720"/>
            <w:col w:w="2400"/>
          </w:cols>
          <w:pgMar w:left="320" w:top="1003" w:right="339" w:bottom="1440" w:gutter="0" w:footer="0" w:header="0"/>
          <w:type w:val="continuous"/>
        </w:sectPr>
      </w:pPr>
    </w:p>
    <w:p>
      <w:pPr>
        <w:ind w:right="80" w:firstLine="567"/>
        <w:spacing w:after="0" w:line="263" w:lineRule="auto"/>
        <w:rPr>
          <w:sz w:val="20"/>
          <w:szCs w:val="20"/>
          <w:color w:val="auto"/>
        </w:rPr>
      </w:pPr>
      <w:r>
        <w:rPr>
          <w:rFonts w:ascii="Arial" w:cs="Arial" w:eastAsia="Arial" w:hAnsi="Arial"/>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86" w:name="page87"/>
    <w:bookmarkEnd w:id="86"/>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0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30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00" w:type="dxa"/>
            <w:vAlign w:val="bottom"/>
          </w:tcPr>
          <w:p>
            <w:pPr>
              <w:jc w:val="center"/>
              <w:ind w:right="135"/>
              <w:spacing w:after="0" w:line="13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20" w:type="dxa"/>
            <w:vAlign w:val="bottom"/>
            <w:tcBorders>
              <w:bottom w:val="single" w:sz="8" w:color="CFF0FC"/>
            </w:tcBorders>
          </w:tcPr>
          <w:p>
            <w:pPr>
              <w:spacing w:after="0"/>
              <w:rPr>
                <w:sz w:val="2"/>
                <w:szCs w:val="2"/>
                <w:color w:val="auto"/>
              </w:rPr>
            </w:pPr>
          </w:p>
        </w:tc>
        <w:tc>
          <w:tcPr>
            <w:tcW w:w="1700" w:type="dxa"/>
            <w:vAlign w:val="bottom"/>
            <w:tcBorders>
              <w:bottom w:val="single" w:sz="8" w:color="CFF0FC"/>
            </w:tcBorders>
          </w:tcPr>
          <w:p>
            <w:pPr>
              <w:spacing w:after="0"/>
              <w:rPr>
                <w:sz w:val="2"/>
                <w:szCs w:val="2"/>
                <w:color w:val="auto"/>
              </w:rPr>
            </w:pPr>
          </w:p>
        </w:tc>
        <w:tc>
          <w:tcPr>
            <w:tcW w:w="3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0"/>
              </w:rPr>
              <w:t>At December 31, 2022</w:t>
            </w:r>
          </w:p>
        </w:tc>
        <w:tc>
          <w:tcPr>
            <w:tcW w:w="3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29,702</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41,812</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41,812</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374,527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374,527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74,602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60,883</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At December 31, 2021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445,647</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445,647</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87,831</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82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80" w:hanging="232"/>
        <w:spacing w:after="0"/>
        <w:tabs>
          <w:tab w:leader="none" w:pos="2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in the accompanying consolidated balance sheets.</w:t>
      </w:r>
    </w:p>
    <w:p>
      <w:pPr>
        <w:spacing w:after="0" w:line="42"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180" w:firstLine="567"/>
        <w:spacing w:after="0" w:line="28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2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2022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Losses</w:t>
            </w:r>
          </w:p>
        </w:tc>
        <w:tc>
          <w:tcPr>
            <w:tcW w:w="26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75,504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74,602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374,527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517,907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512,868</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-33655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519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196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425196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1960" cy="15430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87" w:name="page88"/>
    <w:bookmarkEnd w:id="87"/>
    <w:p>
      <w:pPr>
        <w:ind w:left="500" w:right="40" w:hanging="492"/>
        <w:spacing w:after="0" w:line="227" w:lineRule="auto"/>
        <w:tabs>
          <w:tab w:leader="none" w:pos="375"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$57.1 million have maturity dates of less than one year and $17.5 million have a maturity date of between one to two years as of December 31, 2022.</w:t>
      </w:r>
    </w:p>
    <w:p>
      <w:pPr>
        <w:spacing w:after="0" w:line="13" w:lineRule="exact"/>
        <w:rPr>
          <w:rFonts w:ascii="Arial" w:cs="Arial" w:eastAsia="Arial" w:hAnsi="Arial"/>
          <w:sz w:val="23"/>
          <w:szCs w:val="23"/>
          <w:color w:val="auto"/>
          <w:vertAlign w:val="superscript"/>
        </w:rPr>
      </w:pPr>
    </w:p>
    <w:p>
      <w:pPr>
        <w:ind w:left="500" w:right="120" w:hanging="492"/>
        <w:spacing w:after="0" w:line="227" w:lineRule="auto"/>
        <w:tabs>
          <w:tab w:leader="none" w:pos="296"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$2.6 million have a maturity date of less than one year and $0.3 million have a maturity date of between one to two years as of December 31, 2022.</w:t>
      </w:r>
    </w:p>
    <w:p>
      <w:pPr>
        <w:spacing w:after="0" w:line="26" w:lineRule="exact"/>
        <w:rPr>
          <w:rFonts w:ascii="Arial" w:cs="Arial" w:eastAsia="Arial" w:hAnsi="Arial"/>
          <w:sz w:val="23"/>
          <w:szCs w:val="23"/>
          <w:color w:val="auto"/>
          <w:vertAlign w:val="superscript"/>
        </w:rPr>
      </w:pPr>
    </w:p>
    <w:p>
      <w:pPr>
        <w:ind w:left="500" w:right="220" w:hanging="492"/>
        <w:spacing w:after="0" w:line="227" w:lineRule="auto"/>
        <w:tabs>
          <w:tab w:leader="none" w:pos="375"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$44.0 million have maturity dates of less than one year and $16.9 million have a maturity date of between one to two years as of December 31, 2022.</w:t>
      </w:r>
    </w:p>
    <w:p>
      <w:pPr>
        <w:spacing w:after="0" w:line="26" w:lineRule="exact"/>
        <w:rPr>
          <w:rFonts w:ascii="Arial" w:cs="Arial" w:eastAsia="Arial" w:hAnsi="Arial"/>
          <w:sz w:val="23"/>
          <w:szCs w:val="23"/>
          <w:color w:val="auto"/>
          <w:vertAlign w:val="superscript"/>
        </w:rPr>
      </w:pPr>
    </w:p>
    <w:p>
      <w:pPr>
        <w:ind w:left="500" w:right="500" w:hanging="492"/>
        <w:spacing w:after="0" w:line="227" w:lineRule="auto"/>
        <w:tabs>
          <w:tab w:leader="none" w:pos="375"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$266.2 million have maturity dates of less than one year and $108.3 million have a maturity date of between one to two years as of December 31, 2022.</w:t>
      </w:r>
    </w:p>
    <w:p>
      <w:pPr>
        <w:spacing w:after="0" w:line="202" w:lineRule="exact"/>
        <w:rPr>
          <w:sz w:val="20"/>
          <w:szCs w:val="20"/>
          <w:color w:val="auto"/>
        </w:rPr>
      </w:pPr>
    </w:p>
    <w:p>
      <w:pPr>
        <w:ind w:right="200" w:firstLine="567"/>
        <w:spacing w:after="0" w:line="269"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cash equivalents, short-term and long-term investments as of December 31, 2021 are as follows:</w:t>
      </w:r>
    </w:p>
    <w:tbl>
      <w:tblPr>
        <w:tblLayout w:type="fixed"/>
        <w:tblInd w:w="0" w:type="dxa"/>
        <w:tblCellMar>
          <w:top w:w="0" w:type="dxa"/>
          <w:left w:w="0" w:type="dxa"/>
          <w:bottom w:w="0" w:type="dxa"/>
          <w:right w:w="0" w:type="dxa"/>
        </w:tblCellMar>
      </w:tblPr>
      <w:tr>
        <w:trPr>
          <w:trHeight w:val="144"/>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1180" w:type="dxa"/>
            <w:vAlign w:val="bottom"/>
          </w:tcPr>
          <w:p>
            <w:pPr>
              <w:jc w:val="right"/>
              <w:ind w:right="475"/>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Losses</w:t>
            </w:r>
          </w:p>
        </w:tc>
        <w:tc>
          <w:tcPr>
            <w:tcW w:w="26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87,831</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-33655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327469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74695" cy="154305"/>
                    </a:xfrm>
                    <a:prstGeom prst="rect">
                      <a:avLst/>
                    </a:prstGeom>
                    <a:noFill/>
                  </pic:spPr>
                </pic:pic>
              </a:graphicData>
            </a:graphic>
          </wp:anchor>
        </w:drawing>
      </w:r>
    </w:p>
    <w:p>
      <w:pPr>
        <w:spacing w:after="0" w:line="263" w:lineRule="exact"/>
        <w:rPr>
          <w:sz w:val="20"/>
          <w:szCs w:val="20"/>
          <w:color w:val="auto"/>
        </w:rPr>
      </w:pPr>
    </w:p>
    <w:p>
      <w:pPr>
        <w:ind w:left="500" w:right="22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 million have maturity dates of less than one year and $4.8 million have a maturity date of between one to two years as of December 31, 2021.</w:t>
      </w:r>
    </w:p>
    <w:p>
      <w:pPr>
        <w:spacing w:after="0" w:line="26" w:lineRule="exact"/>
        <w:rPr>
          <w:rFonts w:ascii="Arial" w:cs="Arial" w:eastAsia="Arial" w:hAnsi="Arial"/>
          <w:sz w:val="23"/>
          <w:szCs w:val="23"/>
          <w:color w:val="auto"/>
          <w:vertAlign w:val="superscript"/>
        </w:rPr>
      </w:pPr>
    </w:p>
    <w:p>
      <w:pPr>
        <w:ind w:left="500" w:right="4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$1.3 million have a maturity date of less than one year and $2.5 million have a maturity date of between one to two years as of December 31, 2021.</w:t>
      </w:r>
    </w:p>
    <w:p>
      <w:pPr>
        <w:spacing w:after="0" w:line="26" w:lineRule="exact"/>
        <w:rPr>
          <w:rFonts w:ascii="Arial" w:cs="Arial" w:eastAsia="Arial" w:hAnsi="Arial"/>
          <w:sz w:val="23"/>
          <w:szCs w:val="23"/>
          <w:color w:val="auto"/>
          <w:vertAlign w:val="superscript"/>
        </w:rPr>
      </w:pPr>
    </w:p>
    <w:p>
      <w:pPr>
        <w:ind w:left="500" w:right="32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$4.8 million have maturity dates of less than one year and $17.3 million have a maturity date of between one to two years as of December 31, 2021.</w:t>
      </w:r>
    </w:p>
    <w:p>
      <w:pPr>
        <w:spacing w:after="0" w:line="13" w:lineRule="exact"/>
        <w:rPr>
          <w:rFonts w:ascii="Arial" w:cs="Arial" w:eastAsia="Arial" w:hAnsi="Arial"/>
          <w:sz w:val="23"/>
          <w:szCs w:val="23"/>
          <w:color w:val="auto"/>
          <w:vertAlign w:val="superscript"/>
        </w:rPr>
      </w:pPr>
    </w:p>
    <w:p>
      <w:pPr>
        <w:ind w:left="500" w:right="140" w:hanging="492"/>
        <w:spacing w:after="0" w:line="227" w:lineRule="auto"/>
        <w:tabs>
          <w:tab w:leader="none" w:pos="267"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$45.3 million have maturity dates of less than one year and $42.5 million have a maturity date of between one to two years as of December 31, 2021.</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w:t>
      </w:r>
    </w:p>
    <w:p>
      <w:pPr>
        <w:spacing w:after="0" w:line="23"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of December 31, 2022 and December 31, 2021, aggregated by investment category and the length of time that individual securities have been in a continuous loss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46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6"/>
                <w:szCs w:val="16"/>
                <w:color w:val="auto"/>
              </w:rPr>
            </w:pPr>
          </w:p>
        </w:tc>
        <w:tc>
          <w:tcPr>
            <w:tcW w:w="19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12 Months or Greater</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3"/>
              <w:spacing w:after="0" w:line="13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Borders>
              <w:top w:val="single" w:sz="8" w:color="auto"/>
            </w:tcBorders>
          </w:tcPr>
          <w:p>
            <w:pPr>
              <w:jc w:val="center"/>
              <w:ind w:left="339"/>
              <w:spacing w:after="0" w:line="139"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3"/>
              <w:spacing w:after="0" w:line="139"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2"/>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0" w:type="dxa"/>
            <w:vAlign w:val="bottom"/>
          </w:tcPr>
          <w:p>
            <w:pPr>
              <w:spacing w:after="0"/>
              <w:rPr>
                <w:sz w:val="1"/>
                <w:szCs w:val="1"/>
                <w:color w:val="auto"/>
              </w:rPr>
            </w:pPr>
          </w:p>
        </w:tc>
      </w:tr>
      <w:tr>
        <w:trPr>
          <w:trHeight w:val="23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ind w:left="5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Less than 12 Months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jc w:val="center"/>
              <w:ind w:left="339"/>
              <w:spacing w:after="0" w:line="139"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9"/>
              <w:spacing w:after="0" w:line="139"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98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2"/>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As of December 31, 2022 and 2021, unrealized losses on available-for-sale investments were $5.1 million and $0.2 million, respectively, with unrealized losses of $0.9 million, on available for sale investments that were in an unrealized loss position for greater than 12 months as of December 31, 2022. We do not intend to sell the investments and it is not more likely than not that we will be required to sell the investments before recovery of their amortized cost basis, accordingly, no allowance for credit losses was recorded.</w:t>
      </w:r>
    </w:p>
    <w:p>
      <w:pPr>
        <w:spacing w:after="0" w:line="291" w:lineRule="exact"/>
        <w:rPr>
          <w:sz w:val="20"/>
          <w:szCs w:val="20"/>
          <w:color w:val="auto"/>
        </w:rPr>
      </w:pPr>
    </w:p>
    <w:p>
      <w:pPr>
        <w:ind w:left="260" w:right="9420" w:hanging="252"/>
        <w:spacing w:after="0" w:line="425" w:lineRule="auto"/>
        <w:tabs>
          <w:tab w:leader="none" w:pos="19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right="160" w:firstLine="567"/>
        <w:spacing w:after="0" w:line="342" w:lineRule="auto"/>
        <w:rPr>
          <w:sz w:val="20"/>
          <w:szCs w:val="20"/>
          <w:color w:val="auto"/>
        </w:rPr>
      </w:pPr>
      <w:r>
        <w:rPr>
          <w:rFonts w:ascii="Arial" w:cs="Arial" w:eastAsia="Arial" w:hAnsi="Arial"/>
          <w:sz w:val="16"/>
          <w:szCs w:val="16"/>
          <w:color w:val="auto"/>
        </w:rPr>
        <w:t>Of the 500,000,000 shares of common stock authorized, 28,513,163 shares were issued and outstanding as of December 31, 2022. Common stock reserved for future issuance upon the exercise, issuance or conversion of the respective equity instruments at December 31, 2022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340" w:type="dxa"/>
            <w:vAlign w:val="bottom"/>
            <w:shd w:val="clear" w:color="auto" w:fill="CCEEFF"/>
          </w:tcPr>
          <w:p>
            <w:pPr>
              <w:spacing w:after="0"/>
              <w:rPr>
                <w:sz w:val="19"/>
                <w:szCs w:val="19"/>
                <w:color w:val="auto"/>
              </w:rPr>
            </w:pPr>
          </w:p>
        </w:tc>
      </w:tr>
      <w:tr>
        <w:trPr>
          <w:trHeight w:val="230"/>
        </w:trPr>
        <w:tc>
          <w:tcPr>
            <w:tcW w:w="990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3,673,208</w:t>
            </w:r>
          </w:p>
        </w:tc>
      </w:tr>
      <w:tr>
        <w:trPr>
          <w:trHeight w:val="256"/>
        </w:trPr>
        <w:tc>
          <w:tcPr>
            <w:tcW w:w="9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1,028,843</w:t>
            </w:r>
          </w:p>
        </w:tc>
      </w:tr>
      <w:tr>
        <w:trPr>
          <w:trHeight w:val="230"/>
        </w:trPr>
        <w:tc>
          <w:tcPr>
            <w:tcW w:w="9900" w:type="dxa"/>
            <w:vAlign w:val="bottom"/>
            <w:gridSpan w:val="2"/>
          </w:tcPr>
          <w:p>
            <w:pPr>
              <w:ind w:left="20"/>
              <w:spacing w:after="0"/>
              <w:rPr>
                <w:sz w:val="20"/>
                <w:szCs w:val="20"/>
                <w:color w:val="auto"/>
              </w:rPr>
            </w:pPr>
            <w:r>
              <w:rPr>
                <w:rFonts w:ascii="Arial" w:cs="Arial" w:eastAsia="Arial" w:hAnsi="Arial"/>
                <w:sz w:val="18"/>
                <w:szCs w:val="18"/>
                <w:color w:val="auto"/>
              </w:rPr>
              <w:t>Shares Reserved For:</w:t>
            </w:r>
          </w:p>
        </w:tc>
        <w:tc>
          <w:tcPr>
            <w:tcW w:w="1340" w:type="dxa"/>
            <w:vAlign w:val="bottom"/>
          </w:tcPr>
          <w:p>
            <w:pPr>
              <w:spacing w:after="0"/>
              <w:rPr>
                <w:sz w:val="19"/>
                <w:szCs w:val="19"/>
                <w:color w:val="auto"/>
              </w:rPr>
            </w:pPr>
          </w:p>
        </w:tc>
      </w:tr>
      <w:tr>
        <w:trPr>
          <w:trHeight w:val="256"/>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2,297,242</w:t>
            </w:r>
          </w:p>
        </w:tc>
      </w:tr>
      <w:tr>
        <w:trPr>
          <w:trHeight w:val="230"/>
        </w:trPr>
        <w:tc>
          <w:tcPr>
            <w:tcW w:w="6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4"/>
              </w:rPr>
              <w:t>2017</w:t>
            </w:r>
          </w:p>
        </w:tc>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1,497,742</w:t>
            </w:r>
          </w:p>
        </w:tc>
      </w:tr>
      <w:tr>
        <w:trPr>
          <w:trHeight w:val="248"/>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8,497,035</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Open Market Sales Agreement</w:t>
      </w:r>
    </w:p>
    <w:p>
      <w:pPr>
        <w:spacing w:after="0" w:line="117"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In November 2022, we entered into the Cowen Sales Agreement with Cowen and Company, LLC, through which we may offer and sell shares of our common stock, having an aggregate offering of up to $150.0 million through Cowen and Company, LLC as our sales agent. As of December 31, 2022, we had sold no shares under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prior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1,105,890 shares as of January 1,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9" w:name="page90"/>
    <w:bookmarkEnd w:id="89"/>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276,472 shares as of January 1, 2022. As of December 31, 2022, 49,967 shares have been issued under the ESPP.</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67"/>
        <w:spacing w:after="0" w:line="30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2022 is as follows:</w:t>
      </w:r>
    </w:p>
    <w:tbl>
      <w:tblPr>
        <w:tblLayout w:type="fixed"/>
        <w:tblInd w:w="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line="150" w:lineRule="exact"/>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0"/>
              <w:spacing w:after="0" w:line="150"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Price per</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4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3,460,295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1,693,080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(835,159)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(645,008)</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3,673,208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18,686</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5.57</w:t>
            </w:r>
          </w:p>
        </w:tc>
        <w:tc>
          <w:tcPr>
            <w:tcW w:w="360" w:type="dxa"/>
            <w:vAlign w:val="bottom"/>
            <w:tcBorders>
              <w:top w:val="single" w:sz="8" w:color="CFF0FC"/>
              <w:bottom w:val="single" w:sz="8" w:color="CFF0FC"/>
            </w:tcBorders>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line="20" w:lineRule="exact"/>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1,735,447</w:t>
            </w: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cash received from the exercise of stock options was approximately $11.3 million during the year ended December 31,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11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Each Restricted Stock Unit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20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5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5"/>
              </w:rPr>
              <w:t>Number of 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7"/>
                <w:szCs w:val="17"/>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1,030,443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1,028,843</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RSU expected to vest at December 31,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1,028,843</w:t>
            </w:r>
          </w:p>
        </w:tc>
        <w:tc>
          <w:tcPr>
            <w:tcW w:w="24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90" w:name="page91"/>
    <w:bookmarkEnd w:id="90"/>
    <w:p>
      <w:pPr>
        <w:ind w:right="300"/>
        <w:spacing w:after="0" w:line="263" w:lineRule="auto"/>
        <w:rPr>
          <w:sz w:val="20"/>
          <w:szCs w:val="20"/>
          <w:color w:val="auto"/>
        </w:rPr>
      </w:pPr>
      <w:r>
        <w:rPr>
          <w:rFonts w:ascii="Arial" w:cs="Arial" w:eastAsia="Arial" w:hAnsi="Arial"/>
          <w:sz w:val="18"/>
          <w:szCs w:val="18"/>
          <w:color w:val="auto"/>
        </w:rPr>
        <w:t>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84"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Year Ended</w:t>
      </w:r>
    </w:p>
    <w:p>
      <w:pPr>
        <w:jc w:val="center"/>
        <w:ind w:left="624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0"/>
        </w:trPr>
        <w:tc>
          <w:tcPr>
            <w:tcW w:w="4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2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87.4 %</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92.9 %</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90.2 %</w:t>
            </w: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r>
    </w:tbl>
    <w:p>
      <w:pPr>
        <w:spacing w:after="0" w:line="283"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Expected volatility for 2022 and 2021 incorporates the historical volatility of our stock price, and volatility for 2020 incorporates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69"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r>
      <w:tr>
        <w:trPr>
          <w:trHeight w:val="248"/>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year ended December 31, 2022, we recognized $9.2 million of non-cash stock-based compensation cost related to the award.</w:t>
      </w:r>
    </w:p>
    <w:p>
      <w:pPr>
        <w:spacing w:after="0" w:line="195"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At December 31, 2022, there was $27.1 million of unrecognized compensation cost related to unvested stock option awards, which is expected to be recognized over a remaining weighted average vesting period of 2.32 years, $16.8 million of unrecognized cost related to unvested RSU awards, which is expected to be recognized over a period of 1.24 years, and $0.2 million of unrecognized compensation cost related to the ESPP, which is expected to be recognized over a remaining weighted-average vesting period of 0.37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200" w:firstLine="567"/>
        <w:spacing w:after="0" w:line="296" w:lineRule="auto"/>
        <w:rPr>
          <w:sz w:val="20"/>
          <w:szCs w:val="20"/>
          <w:color w:val="auto"/>
        </w:rPr>
      </w:pPr>
      <w:r>
        <w:rPr>
          <w:rFonts w:ascii="Arial" w:cs="Arial" w:eastAsia="Arial" w:hAnsi="Arial"/>
          <w:sz w:val="16"/>
          <w:szCs w:val="16"/>
          <w:color w:val="auto"/>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6% of the employees’ eligible salary with a maximum annual match limit of $11,000 in 2022, $8,000 in 2021, and 50% of an employee’s contributions up to 6% of the employees’ eligible salary with a maximum annual match limit of $6,000 in 2020. For the years ended December 31, 2022, 2021, and 2020, we incurred approximately $1.0 million, $0.6 million and $0.5 million, respectively of costs related to the 401(k)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ind w:left="300" w:right="8420" w:hanging="292"/>
        <w:spacing w:after="0" w:line="425" w:lineRule="auto"/>
        <w:tabs>
          <w:tab w:leader="none" w:pos="28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right="20" w:firstLine="486"/>
        <w:spacing w:after="0" w:line="269" w:lineRule="auto"/>
        <w:rPr>
          <w:sz w:val="20"/>
          <w:szCs w:val="20"/>
          <w:color w:val="auto"/>
        </w:rPr>
      </w:pPr>
      <w:r>
        <w:rPr>
          <w:rFonts w:ascii="Arial" w:cs="Arial" w:eastAsia="Arial" w:hAnsi="Arial"/>
          <w:sz w:val="17"/>
          <w:szCs w:val="17"/>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2022, we have recorded $0.3 million as a security deposit in accordance with the terms of the Lease Agreement.</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8.7 years.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482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Classification on the Cash Flow</w:t>
            </w:r>
          </w:p>
        </w:tc>
        <w:tc>
          <w:tcPr>
            <w:tcW w:w="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60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960" w:type="dxa"/>
            <w:vAlign w:val="bottom"/>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20"/>
                <w:szCs w:val="20"/>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2,213</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78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7"/>
              </w:rPr>
              <w:t>Cash paid for amounts included in the measurement of lease</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Operating</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9380" w:type="dxa"/>
            <w:vAlign w:val="bottom"/>
            <w:gridSpan w:val="8"/>
          </w:tcPr>
          <w:p>
            <w:pPr>
              <w:ind w:left="460"/>
              <w:spacing w:after="0"/>
              <w:rPr>
                <w:sz w:val="20"/>
                <w:szCs w:val="20"/>
                <w:color w:val="auto"/>
              </w:rPr>
            </w:pPr>
            <w:r>
              <w:rPr>
                <w:rFonts w:ascii="Arial" w:cs="Arial" w:eastAsia="Arial" w:hAnsi="Arial"/>
                <w:sz w:val="18"/>
                <w:szCs w:val="18"/>
                <w:color w:val="auto"/>
                <w:w w:val="92"/>
              </w:rPr>
              <w:t>At December 31, 2022, the future minimum annual obligations for the Company’s operating lease liabilities are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 (in thousands)</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2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We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79" w:lineRule="exact"/>
        <w:rPr>
          <w:sz w:val="20"/>
          <w:szCs w:val="20"/>
          <w:color w:val="auto"/>
        </w:rPr>
      </w:pPr>
    </w:p>
    <w:p>
      <w:pPr>
        <w:ind w:right="360" w:firstLine="567"/>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19 years and, in some cases, may be subject to earlier termination by either party upon specified circumstances.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2" w:name="page93"/>
    <w:bookmarkEnd w:id="92"/>
    <w:p>
      <w:pPr>
        <w:jc w:val="both"/>
        <w:ind w:right="220" w:firstLine="567"/>
        <w:spacing w:after="0" w:line="263"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$0.7 million, $0.2 million, and $0.2 million during the years ended December 31, 2022, 2021 and 2020, respectively. Total cash paid under these agreements was $0.1 million, $0.2 million, and $0.3 million during the years ended December 31, 2022, 2021, and 2020, respectively.</w:t>
      </w:r>
    </w:p>
    <w:p>
      <w:pPr>
        <w:spacing w:after="0" w:line="76" w:lineRule="exact"/>
        <w:rPr>
          <w:sz w:val="20"/>
          <w:szCs w:val="20"/>
          <w:color w:val="auto"/>
        </w:rPr>
      </w:pPr>
    </w:p>
    <w:p>
      <w:pPr>
        <w:ind w:right="320" w:firstLine="567"/>
        <w:spacing w:after="0" w:line="263" w:lineRule="auto"/>
        <w:rPr>
          <w:sz w:val="20"/>
          <w:szCs w:val="20"/>
          <w:color w:val="auto"/>
        </w:rPr>
      </w:pPr>
      <w:r>
        <w:rPr>
          <w:rFonts w:ascii="Arial" w:cs="Arial" w:eastAsia="Arial" w:hAnsi="Arial"/>
          <w:sz w:val="18"/>
          <w:szCs w:val="18"/>
          <w:color w:val="auto"/>
        </w:rPr>
        <w:t>Future minimum annual obligations under all such license agreements will be $0.2 million during 2023 and thereafter. These obligations are payable through ten years from the first commercial sale, if any, or expiration of the last patent to expire, the dates of which are not determinable at this time.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70"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79" w:lineRule="exact"/>
        <w:rPr>
          <w:sz w:val="20"/>
          <w:szCs w:val="20"/>
          <w:color w:val="auto"/>
        </w:rPr>
      </w:pPr>
    </w:p>
    <w:p>
      <w:pPr>
        <w:jc w:val="both"/>
        <w:ind w:right="300" w:firstLine="567"/>
        <w:spacing w:after="0" w:line="263" w:lineRule="auto"/>
        <w:rPr>
          <w:sz w:val="20"/>
          <w:szCs w:val="20"/>
          <w:color w:val="auto"/>
        </w:rPr>
      </w:pPr>
      <w:r>
        <w:rPr>
          <w:rFonts w:ascii="Arial" w:cs="Arial" w:eastAsia="Arial" w:hAnsi="Arial"/>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76"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loss before income tax provision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For the year ended December 31, 2022, we recognized income tax expense of $24,000, related to state income taxes. For the years ended December 31, 2021 and 2020, we recognized no provision or benefit from income taxes.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3" w:name="page94"/>
    <w:bookmarkEnd w:id="93"/>
    <w:p>
      <w:pPr>
        <w:ind w:left="58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66,160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67,203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174 Capitalized R&amp;D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Research and development credits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Deferred Zejula royalty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90,473</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ROU asset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Fixed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3"/>
        </w:trPr>
        <w:tc>
          <w:tcPr>
            <w:tcW w:w="780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116,570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86,204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(86,204)</w:t>
            </w:r>
          </w:p>
        </w:tc>
        <w:tc>
          <w:tcPr>
            <w:tcW w:w="0" w:type="dxa"/>
            <w:vAlign w:val="bottom"/>
          </w:tcPr>
          <w:p>
            <w:pPr>
              <w:spacing w:after="0"/>
              <w:rPr>
                <w:sz w:val="1"/>
                <w:szCs w:val="1"/>
                <w:color w:val="auto"/>
              </w:rPr>
            </w:pPr>
          </w:p>
        </w:tc>
      </w:tr>
      <w:tr>
        <w:trPr>
          <w:trHeight w:val="223"/>
        </w:trPr>
        <w:tc>
          <w:tcPr>
            <w:tcW w:w="7800" w:type="dxa"/>
            <w:vAlign w:val="bottom"/>
          </w:tcPr>
          <w:p>
            <w:pPr>
              <w:ind w:left="680"/>
              <w:spacing w:after="0"/>
              <w:rPr>
                <w:sz w:val="20"/>
                <w:szCs w:val="20"/>
                <w:color w:val="auto"/>
              </w:rPr>
            </w:pPr>
            <w:r>
              <w:rPr>
                <w:rFonts w:ascii="Arial" w:cs="Arial" w:eastAsia="Arial" w:hAnsi="Arial"/>
                <w:sz w:val="18"/>
                <w:szCs w:val="18"/>
                <w:color w:val="auto"/>
              </w:rPr>
              <w:t>Deferred tax assets, net of valuation allowance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103"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As of December 31, 2022, we had federal and state net operating loss carryforwards (“NOLs”), of $287.4 million and $69.6 million, respectively. The federal and state NOLs generated prior to 2018 will begin to expire in 2029 and 2028, respectively, unless previously utilized. The federal NOL includes $234.3 million of net operating losses generated in 2018 and after. Federal net operating losses generated in 2018 and after carryover indefinitely and may generally be used to offset up to 80% of future taxable income. As of December 31, 2022, we had federal and California research tax credit carryforwards of approximately $6.1 million and $12.2 million, respectively. The federal research tax credit carryforwards will begin to expire in 2041 and the California research tax credits carryforward indefinitely. We also have foreign tax losses of $3.1 million, which will carry forward indefinitely, subject to a continuity of ownership test.</w:t>
      </w:r>
    </w:p>
    <w:p>
      <w:pPr>
        <w:spacing w:after="0" w:line="87"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4" w:name="page95"/>
    <w:bookmarkEnd w:id="94"/>
    <w:p>
      <w:pPr>
        <w:ind w:left="58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benefit at federal statutory tax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Research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the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2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2022 and 2021,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Decrease related to prior year tax positions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20" w:firstLine="567"/>
        <w:spacing w:after="0" w:line="342" w:lineRule="auto"/>
        <w:rPr>
          <w:sz w:val="20"/>
          <w:szCs w:val="20"/>
          <w:color w:val="auto"/>
        </w:rPr>
      </w:pPr>
      <w:r>
        <w:rPr>
          <w:rFonts w:ascii="Arial" w:cs="Arial" w:eastAsia="Arial" w:hAnsi="Arial"/>
          <w:sz w:val="16"/>
          <w:szCs w:val="16"/>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6"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As of December 31, 2022 and 2021, there were no interest or penalties on uncertain tax benefits.</w:t>
      </w:r>
    </w:p>
    <w:p>
      <w:pPr>
        <w:spacing w:after="0" w:line="62" w:lineRule="exact"/>
        <w:rPr>
          <w:sz w:val="20"/>
          <w:szCs w:val="20"/>
          <w:color w:val="auto"/>
        </w:rPr>
      </w:pPr>
    </w:p>
    <w:p>
      <w:pPr>
        <w:ind w:right="62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various U.S. state jurisdictions and Australia. Due to our losses incurred, we are essentially subject to income tax examination by tax authorities from inception to date.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5" w:name="page96"/>
    <w:bookmarkEnd w:id="95"/>
    <w:p>
      <w:pPr>
        <w:ind w:left="300" w:right="9120" w:hanging="292"/>
        <w:spacing w:after="0" w:line="528" w:lineRule="auto"/>
        <w:tabs>
          <w:tab w:leader="none" w:pos="286"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 </w:t>
      </w:r>
      <w:r>
        <w:rPr>
          <w:rFonts w:ascii="Arial" w:cs="Arial" w:eastAsia="Arial" w:hAnsi="Arial"/>
          <w:sz w:val="15"/>
          <w:szCs w:val="15"/>
          <w:b w:val="1"/>
          <w:bCs w:val="1"/>
          <w:i w:val="1"/>
          <w:iCs w:val="1"/>
          <w:color w:val="auto"/>
        </w:rPr>
        <w:t>Stock Repurchase Plan</w:t>
      </w:r>
    </w:p>
    <w:p>
      <w:pPr>
        <w:spacing w:after="0" w:line="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January 2023, our Board of Directors authorized a Stock Repurchase Plan under which we may repurchase up to $50.0 million of the Company’s outstanding common stock. To the extent we repurchase any of our stock, we will provide information regarding such repurchases on a quarterly basis in our Forms 10-Q and 10-K for the applicable completed quarter.</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As of December 31, 2022,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2022, the design and operation of our disclosure controls and procedures were effective at a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2022. In making this assessment, management used the criteria set forth by the Committee of Sponsoring Organizations of the Treadway Commission (COSO) in Internal Control—Integrated Framework issued in 2013. Based upon the assessments, management has concluded that as of December 31, 2022 our internal control over financial reporting was effective to provide reasonable assurance regarding the reliability of financial reporting and the preparation of financial statements in accordance with GAAP.</w:t>
      </w:r>
    </w:p>
    <w:p>
      <w:pPr>
        <w:spacing w:after="0" w:line="84"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2022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“Information about our Executive Officers,” “Election of Class III Directors,” “Corporate Governance Standards and Director Independence” and “Security Ownership of Certain Beneficial Owners and Management” in our Definitive Proxy Statement with respect to our 2023 Annual Meeting of Stockholders to be filed with the SEC within 120 days after the end of the fiscal year covered by this Annual Report on Form 10-K.</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2023 Annual Meeting of Stockholders, and such disclosure, if any,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III Directors,” and “Corporate Governance Standards and Director Independence” in our Definitive Proxy Statement with respect to our 2023 Annual Meeting of Stockholders to be filed with the SEC within 120 days after the end of the fiscal year covered by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2023 Annual Meeting of Stockholders to be filed with the SEC within 120 days after the end of the fiscal year covered by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40" w:firstLine="567"/>
        <w:spacing w:after="0" w:line="311" w:lineRule="auto"/>
        <w:rPr>
          <w:sz w:val="20"/>
          <w:szCs w:val="20"/>
          <w:color w:val="auto"/>
        </w:rPr>
      </w:pPr>
      <w:r>
        <w:rPr>
          <w:rFonts w:ascii="Arial" w:cs="Arial" w:eastAsia="Arial" w:hAnsi="Arial"/>
          <w:sz w:val="16"/>
          <w:szCs w:val="16"/>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2023 Annual Meeting of Stockholders to be filed with the SEC within 120 days after the end of the fiscal year covered by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independent registered public accounting firm is KPMG LLP, San Diego, CA, Auditor Firm ID: 185.</w:t>
      </w:r>
    </w:p>
    <w:p>
      <w:pPr>
        <w:spacing w:after="0" w:line="117" w:lineRule="exact"/>
        <w:rPr>
          <w:sz w:val="20"/>
          <w:szCs w:val="20"/>
          <w:color w:val="auto"/>
        </w:rPr>
      </w:pPr>
    </w:p>
    <w:p>
      <w:pPr>
        <w:ind w:right="260"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2023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60" w:hanging="185"/>
        <w:spacing w:after="0"/>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Index to Consolidated Financial Statements under Part II,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460" w:firstLine="1134"/>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900"/>
              <w:spacing w:after="0"/>
              <w:rPr>
                <w:sz w:val="20"/>
                <w:szCs w:val="20"/>
                <w:color w:val="auto"/>
              </w:rPr>
            </w:pPr>
            <w:r>
              <w:rPr>
                <w:rFonts w:ascii="Arial" w:cs="Arial" w:eastAsia="Arial" w:hAnsi="Arial"/>
                <w:sz w:val="14"/>
                <w:szCs w:val="14"/>
                <w:b w:val="1"/>
                <w:bCs w:val="1"/>
                <w:color w:val="auto"/>
                <w:w w:val="93"/>
              </w:rPr>
              <w:t>Incorporated by reference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28"/>
        </w:trPr>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80" w:type="dxa"/>
            <w:vAlign w:val="bottom"/>
            <w:gridSpan w:val="30"/>
            <w:vMerge w:val="restart"/>
          </w:tcPr>
          <w:p>
            <w:pPr>
              <w:ind w:left="360"/>
              <w:spacing w:after="0"/>
              <w:rPr>
                <w:sz w:val="20"/>
                <w:szCs w:val="20"/>
                <w:color w:val="auto"/>
              </w:rPr>
            </w:pPr>
            <w:r>
              <w:rPr>
                <w:rFonts w:ascii="Arial" w:cs="Arial" w:eastAsia="Arial" w:hAnsi="Arial"/>
                <w:sz w:val="14"/>
                <w:szCs w:val="14"/>
                <w:b w:val="1"/>
                <w:bCs w:val="1"/>
                <w:color w:val="auto"/>
              </w:rPr>
              <w:t>Description of Document</w:t>
            </w:r>
          </w:p>
        </w:tc>
        <w:tc>
          <w:tcPr>
            <w:tcW w:w="7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tcBorders>
              <w:top w:val="single" w:sz="8" w:color="auto"/>
            </w:tcBorders>
            <w:gridSpan w:val="2"/>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08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6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gridSpan w:val="30"/>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33"/>
          </w:tcPr>
          <w:p>
            <w:pPr>
              <w:spacing w:after="0" w:line="189"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Amended and Restated Certificate of Incorporation, as</w:t>
              </w:r>
            </w:hyperlink>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10-Q</w:t>
            </w: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92"/>
              <w:spacing w:after="0" w:line="189" w:lineRule="exact"/>
              <w:rPr>
                <w:sz w:val="20"/>
                <w:szCs w:val="20"/>
                <w:color w:val="auto"/>
              </w:rPr>
            </w:pPr>
            <w:r>
              <w:rPr>
                <w:rFonts w:ascii="Arial" w:cs="Arial" w:eastAsia="Arial" w:hAnsi="Arial"/>
                <w:sz w:val="18"/>
                <w:szCs w:val="18"/>
                <w:color w:val="auto"/>
                <w:w w:val="91"/>
              </w:rPr>
              <w:t>May 12, 2017</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currently in effect.</w:t>
              </w:r>
            </w:hyperlink>
          </w:p>
        </w:tc>
        <w:tc>
          <w:tcPr>
            <w:tcW w:w="26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rPr>
            </w:pPr>
            <w:hyperlink r:id="rId126">
              <w:r>
                <w:rPr>
                  <w:rFonts w:ascii="Arial" w:cs="Arial" w:eastAsia="Arial" w:hAnsi="Arial"/>
                  <w:sz w:val="18"/>
                  <w:szCs w:val="18"/>
                  <w:color w:val="0000FF"/>
                </w:rPr>
                <w:t>Restated Bylaws, as currently in effect.</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February 10, 2023</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Form of Common Stock Certificate.</w:t>
              </w:r>
            </w:hyperlink>
          </w:p>
        </w:tc>
        <w:tc>
          <w:tcPr>
            <w:tcW w:w="200" w:type="dxa"/>
            <w:vAlign w:val="bottom"/>
            <w:tcBorders>
              <w:top w:val="single" w:sz="8" w:color="0000FF"/>
            </w:tcBorders>
            <w:gridSpan w:val="2"/>
          </w:tcPr>
          <w:p>
            <w:pPr>
              <w:spacing w:after="0"/>
              <w:rPr>
                <w:sz w:val="18"/>
                <w:szCs w:val="18"/>
                <w:color w:val="auto"/>
              </w:rPr>
            </w:pPr>
          </w:p>
        </w:tc>
        <w:tc>
          <w:tcPr>
            <w:tcW w:w="1360" w:type="dxa"/>
            <w:vAlign w:val="bottom"/>
            <w:gridSpan w:val="21"/>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23,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0000FF"/>
            </w:tcBorders>
            <w:gridSpan w:val="23"/>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Description of the Registrant’s Securities Registered</w:t>
              </w:r>
            </w:hyperlink>
          </w:p>
        </w:tc>
        <w:tc>
          <w:tcPr>
            <w:tcW w:w="400" w:type="dxa"/>
            <w:vAlign w:val="bottom"/>
            <w:gridSpan w:val="11"/>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2, 2020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Pursuant to Section 12 of the Securities Exchange Act</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of 1934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34"/>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Indemnity Agreement.</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Arial" w:cs="Arial" w:eastAsia="Arial" w:hAnsi="Arial"/>
                <w:sz w:val="18"/>
                <w:szCs w:val="18"/>
                <w:color w:val="0000FF"/>
                <w:w w:val="94"/>
              </w:rPr>
            </w:pPr>
            <w:hyperlink r:id="rId130">
              <w:r>
                <w:rPr>
                  <w:rFonts w:ascii="Arial" w:cs="Arial" w:eastAsia="Arial" w:hAnsi="Arial"/>
                  <w:sz w:val="18"/>
                  <w:szCs w:val="18"/>
                  <w:color w:val="0000FF"/>
                  <w:w w:val="94"/>
                </w:rPr>
                <w:t>Amended and Restated 2006 Equity Incentive Plan and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forms of award agreements.</w:t>
              </w:r>
            </w:hyperlink>
          </w:p>
        </w:tc>
        <w:tc>
          <w:tcPr>
            <w:tcW w:w="20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2017 Equity Incentive Plan, and forms of award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r:id="rId131">
              <w:r>
                <w:rPr>
                  <w:rFonts w:ascii="Arial" w:cs="Arial" w:eastAsia="Arial" w:hAnsi="Arial"/>
                  <w:sz w:val="18"/>
                  <w:szCs w:val="18"/>
                  <w:color w:val="0000FF"/>
                  <w:w w:val="85"/>
                </w:rPr>
                <w:t>agreements.</w:t>
              </w:r>
            </w:hyperlink>
          </w:p>
        </w:tc>
        <w:tc>
          <w:tcPr>
            <w:tcW w:w="258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rPr>
            </w:pPr>
            <w:hyperlink r:id="rId132">
              <w:r>
                <w:rPr>
                  <w:rFonts w:ascii="Arial" w:cs="Arial" w:eastAsia="Arial" w:hAnsi="Arial"/>
                  <w:sz w:val="18"/>
                  <w:szCs w:val="18"/>
                  <w:color w:val="0000FF"/>
                </w:rPr>
                <w:t>2017 Employee Stock Purchase Plan, and forms of</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6"/>
              </w:rPr>
            </w:pPr>
            <w:hyperlink r:id="rId132">
              <w:r>
                <w:rPr>
                  <w:rFonts w:ascii="Arial" w:cs="Arial" w:eastAsia="Arial" w:hAnsi="Arial"/>
                  <w:sz w:val="18"/>
                  <w:szCs w:val="18"/>
                  <w:color w:val="0000FF"/>
                  <w:w w:val="86"/>
                </w:rPr>
                <w:t>award agreements.</w:t>
              </w:r>
            </w:hyperlink>
          </w:p>
        </w:tc>
        <w:tc>
          <w:tcPr>
            <w:tcW w:w="23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FF"/>
            </w:tcBorders>
            <w:gridSpan w:val="20"/>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Employment Agreement, effective as of January 1,</w:t>
              </w:r>
            </w:hyperlink>
          </w:p>
        </w:tc>
        <w:tc>
          <w:tcPr>
            <w:tcW w:w="500" w:type="dxa"/>
            <w:vAlign w:val="bottom"/>
            <w:gridSpan w:val="14"/>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5, 2018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2012, by and between the Registrant and Hamza Suria,</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133">
              <w:r>
                <w:rPr>
                  <w:rFonts w:ascii="Arial" w:cs="Arial" w:eastAsia="Arial" w:hAnsi="Arial"/>
                  <w:sz w:val="18"/>
                  <w:szCs w:val="18"/>
                  <w:color w:val="0000FF"/>
                  <w:w w:val="84"/>
                </w:rPr>
                <w:t>as amended.</w:t>
              </w:r>
            </w:hyperlink>
          </w:p>
        </w:tc>
        <w:tc>
          <w:tcPr>
            <w:tcW w:w="30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Antibody Generation Agreement, dated December 22,</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28, 2016</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6"/>
          </w:tcPr>
          <w:p>
            <w:pPr>
              <w:spacing w:after="0" w:line="156"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2011, by and between the Registrant and Celgene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Corporation, as modified.</w:t>
              </w:r>
            </w:hyperlink>
          </w:p>
        </w:tc>
        <w:tc>
          <w:tcPr>
            <w:tcW w:w="170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Collaboration and Exclusive License Agreement, dated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May 10, 2016</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March 10, 2014, by and among the Registrant,</w:t>
              </w:r>
            </w:hyperlink>
          </w:p>
        </w:tc>
        <w:tc>
          <w:tcPr>
            <w:tcW w:w="6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TESARO, Inc. and TESARO Development, Ltd., as</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amended.</w:t>
              </w:r>
            </w:hyperlink>
          </w:p>
        </w:tc>
        <w:tc>
          <w:tcPr>
            <w:tcW w:w="6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Arial" w:cs="Arial" w:eastAsia="Arial" w:hAnsi="Arial"/>
                <w:sz w:val="18"/>
                <w:szCs w:val="18"/>
                <w:color w:val="0000FF"/>
              </w:rPr>
            </w:pPr>
            <w:hyperlink r:id="rId136">
              <w:r>
                <w:rPr>
                  <w:rFonts w:ascii="Arial" w:cs="Arial" w:eastAsia="Arial" w:hAnsi="Arial"/>
                  <w:sz w:val="18"/>
                  <w:szCs w:val="18"/>
                  <w:color w:val="0000FF"/>
                </w:rPr>
                <w:t>License Agreement, dated August 30, 2006, by and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between the Registrant and Medical Research Council,</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136">
              <w:r>
                <w:rPr>
                  <w:rFonts w:ascii="Arial" w:cs="Arial" w:eastAsia="Arial" w:hAnsi="Arial"/>
                  <w:sz w:val="18"/>
                  <w:szCs w:val="18"/>
                  <w:color w:val="0000FF"/>
                  <w:w w:val="84"/>
                </w:rPr>
                <w:t>as amended.</w:t>
              </w:r>
            </w:hyperlink>
          </w:p>
        </w:tc>
        <w:tc>
          <w:tcPr>
            <w:tcW w:w="3060" w:type="dxa"/>
            <w:vAlign w:val="bottom"/>
            <w:tcBorders>
              <w:top w:val="single" w:sz="8" w:color="0000FF"/>
            </w:tcBorders>
            <w:gridSpan w:val="24"/>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Arial" w:cs="Arial" w:eastAsia="Arial" w:hAnsi="Arial"/>
                <w:sz w:val="18"/>
                <w:szCs w:val="18"/>
                <w:color w:val="0000FF"/>
              </w:rPr>
            </w:pPr>
            <w:hyperlink r:id="rId137">
              <w:r>
                <w:rPr>
                  <w:rFonts w:ascii="Arial" w:cs="Arial" w:eastAsia="Arial" w:hAnsi="Arial"/>
                  <w:sz w:val="18"/>
                  <w:szCs w:val="18"/>
                  <w:color w:val="0000FF"/>
                </w:rPr>
                <w:t>Non-Exclusive Research and Commercial License</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Agreement, dated May 15, 2009, by and between</w:t>
              </w:r>
            </w:hyperlink>
          </w:p>
        </w:tc>
        <w:tc>
          <w:tcPr>
            <w:tcW w:w="540" w:type="dxa"/>
            <w:vAlign w:val="bottom"/>
            <w:gridSpan w:val="16"/>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the</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Registrant and Millipore Corporation.</w:t>
              </w:r>
            </w:hyperlink>
          </w:p>
        </w:tc>
        <w:tc>
          <w:tcPr>
            <w:tcW w:w="1080" w:type="dxa"/>
            <w:vAlign w:val="bottom"/>
            <w:tcBorders>
              <w:top w:val="single" w:sz="8" w:color="0000FF"/>
            </w:tcBorders>
            <w:gridSpan w:val="12"/>
          </w:tcPr>
          <w:p>
            <w:pPr>
              <w:spacing w:after="0"/>
              <w:rPr>
                <w:sz w:val="13"/>
                <w:szCs w:val="13"/>
                <w:color w:val="auto"/>
              </w:rPr>
            </w:pPr>
          </w:p>
        </w:tc>
        <w:tc>
          <w:tcPr>
            <w:tcW w:w="220" w:type="dxa"/>
            <w:vAlign w:val="bottom"/>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bottom w:val="single" w:sz="8" w:color="0000FF"/>
            </w:tcBorders>
            <w:gridSpan w:val="9"/>
          </w:tcPr>
          <w:p>
            <w:pPr>
              <w:spacing w:after="0"/>
              <w:rPr>
                <w:rFonts w:ascii="Arial" w:cs="Arial" w:eastAsia="Arial" w:hAnsi="Arial"/>
                <w:sz w:val="18"/>
                <w:szCs w:val="18"/>
                <w:color w:val="0000FF"/>
                <w:w w:val="88"/>
              </w:rPr>
            </w:pPr>
            <w:hyperlink r:id="rId138">
              <w:r>
                <w:rPr>
                  <w:rFonts w:ascii="Arial" w:cs="Arial" w:eastAsia="Arial" w:hAnsi="Arial"/>
                  <w:sz w:val="18"/>
                  <w:szCs w:val="18"/>
                  <w:color w:val="0000FF"/>
                  <w:w w:val="88"/>
                </w:rPr>
                <w:t>Wateridge Lease Agreement.</w:t>
              </w:r>
            </w:hyperlink>
          </w:p>
        </w:tc>
        <w:tc>
          <w:tcPr>
            <w:tcW w:w="2080" w:type="dxa"/>
            <w:vAlign w:val="bottom"/>
            <w:gridSpan w:val="25"/>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May 6, 2020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0000FF"/>
            </w:tcBorders>
            <w:gridSpan w:val="16"/>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Amended and Restated Employment Agreement,</w:t>
              </w:r>
            </w:hyperlink>
          </w:p>
        </w:tc>
        <w:tc>
          <w:tcPr>
            <w:tcW w:w="640" w:type="dxa"/>
            <w:vAlign w:val="bottom"/>
            <w:gridSpan w:val="18"/>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April 29, 2022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effective April 25, 2022, by and between the Registrant</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and Eric Loumeau</w:t>
              </w:r>
            </w:hyperlink>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20"/>
              <w:spacing w:after="0"/>
              <w:rPr>
                <w:sz w:val="20"/>
                <w:szCs w:val="20"/>
                <w:color w:val="auto"/>
              </w:rPr>
            </w:pPr>
            <w:r>
              <w:rPr>
                <w:rFonts w:ascii="Arial" w:cs="Arial" w:eastAsia="Arial" w:hAnsi="Arial"/>
                <w:sz w:val="14"/>
                <w:szCs w:val="14"/>
                <w:b w:val="1"/>
                <w:bCs w:val="1"/>
                <w:color w:val="auto"/>
                <w:w w:val="93"/>
              </w:rPr>
              <w:t>Incorporated by reference</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28"/>
        </w:trPr>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60" w:type="dxa"/>
            <w:vAlign w:val="bottom"/>
            <w:gridSpan w:val="33"/>
            <w:vMerge w:val="restart"/>
          </w:tcPr>
          <w:p>
            <w:pPr>
              <w:ind w:left="440"/>
              <w:spacing w:after="0"/>
              <w:rPr>
                <w:sz w:val="20"/>
                <w:szCs w:val="20"/>
                <w:color w:val="auto"/>
              </w:rPr>
            </w:pPr>
            <w:r>
              <w:rPr>
                <w:rFonts w:ascii="Arial" w:cs="Arial" w:eastAsia="Arial" w:hAnsi="Arial"/>
                <w:sz w:val="14"/>
                <w:szCs w:val="14"/>
                <w:b w:val="1"/>
                <w:bCs w:val="1"/>
                <w:color w:val="auto"/>
              </w:rPr>
              <w:t>Description of Document</w:t>
            </w: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File No.</w:t>
            </w:r>
          </w:p>
        </w:tc>
        <w:tc>
          <w:tcPr>
            <w:tcW w:w="110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40" w:type="dxa"/>
            <w:vAlign w:val="bottom"/>
            <w:tcBorders>
              <w:top w:val="single" w:sz="8" w:color="auto"/>
            </w:tcBorders>
          </w:tcPr>
          <w:p>
            <w:pPr>
              <w:jc w:val="center"/>
              <w:ind w:right="113"/>
              <w:spacing w:after="0" w:line="129"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60" w:type="dxa"/>
            <w:vAlign w:val="bottom"/>
            <w:gridSpan w:val="33"/>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540" w:type="dxa"/>
            <w:vAlign w:val="bottom"/>
            <w:tcBorders>
              <w:top w:val="single" w:sz="8" w:color="auto"/>
              <w:bottom w:val="single" w:sz="8" w:color="0000FF"/>
            </w:tcBorders>
            <w:gridSpan w:val="14"/>
          </w:tcPr>
          <w:p>
            <w:pPr>
              <w:spacing w:after="0" w:line="189"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Amended and Restated Employment Agreement,</w:t>
              </w:r>
            </w:hyperlink>
          </w:p>
        </w:tc>
        <w:tc>
          <w:tcPr>
            <w:tcW w:w="560" w:type="dxa"/>
            <w:vAlign w:val="bottom"/>
            <w:tcBorders>
              <w:top w:val="single" w:sz="8" w:color="auto"/>
            </w:tcBorders>
            <w:gridSpan w:val="19"/>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133"/>
              <w:spacing w:after="0" w:line="189" w:lineRule="exact"/>
              <w:rPr>
                <w:sz w:val="20"/>
                <w:szCs w:val="20"/>
                <w:color w:val="auto"/>
              </w:rPr>
            </w:pPr>
            <w:r>
              <w:rPr>
                <w:rFonts w:ascii="Arial" w:cs="Arial" w:eastAsia="Arial" w:hAnsi="Arial"/>
                <w:sz w:val="18"/>
                <w:szCs w:val="18"/>
                <w:color w:val="auto"/>
                <w:w w:val="95"/>
              </w:rPr>
              <w:t>April 29, 2022</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4"/>
          </w:tcPr>
          <w:p>
            <w:pPr>
              <w:spacing w:after="0" w:line="156"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effective April 25, 2022, by and between the Registrant</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and Dennis Mulroy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14"/>
          </w:tcPr>
          <w:p>
            <w:pPr>
              <w:spacing w:after="0"/>
              <w:rPr>
                <w:rFonts w:ascii="Arial" w:cs="Arial" w:eastAsia="Arial" w:hAnsi="Arial"/>
                <w:sz w:val="18"/>
                <w:szCs w:val="18"/>
                <w:color w:val="0000FF"/>
                <w:w w:val="89"/>
              </w:rPr>
            </w:pPr>
            <w:hyperlink r:id="rId143">
              <w:r>
                <w:rPr>
                  <w:rFonts w:ascii="Arial" w:cs="Arial" w:eastAsia="Arial" w:hAnsi="Arial"/>
                  <w:sz w:val="18"/>
                  <w:szCs w:val="18"/>
                  <w:color w:val="0000FF"/>
                  <w:w w:val="89"/>
                </w:rPr>
                <w:t>Amended and Restated Employment Agreement,</w:t>
              </w:r>
            </w:hyperlink>
          </w:p>
        </w:tc>
        <w:tc>
          <w:tcPr>
            <w:tcW w:w="660" w:type="dxa"/>
            <w:vAlign w:val="bottom"/>
            <w:gridSpan w:val="20"/>
          </w:tcPr>
          <w:p>
            <w:pPr>
              <w:spacing w:after="0"/>
              <w:rPr>
                <w:sz w:val="19"/>
                <w:szCs w:val="19"/>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April 29,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4"/>
          </w:tcPr>
          <w:p>
            <w:pPr>
              <w:spacing w:after="0" w:line="156"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effective April 25, 2022, by and between Registrant and</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Paul Lizzul</w:t>
              </w:r>
            </w:hyperlink>
          </w:p>
        </w:tc>
        <w:tc>
          <w:tcPr>
            <w:tcW w:w="3240" w:type="dxa"/>
            <w:vAlign w:val="bottom"/>
            <w:tcBorders>
              <w:top w:val="single" w:sz="8" w:color="0000FF"/>
            </w:tcBorders>
            <w:gridSpan w:val="31"/>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rFonts w:ascii="Arial" w:cs="Arial" w:eastAsia="Arial" w:hAnsi="Arial"/>
                <w:sz w:val="18"/>
                <w:szCs w:val="18"/>
                <w:color w:val="0000FF"/>
                <w:w w:val="98"/>
              </w:rPr>
            </w:pPr>
            <w:hyperlink r:id="rId144">
              <w:r>
                <w:rPr>
                  <w:rFonts w:ascii="Arial" w:cs="Arial" w:eastAsia="Arial" w:hAnsi="Arial"/>
                  <w:sz w:val="18"/>
                  <w:szCs w:val="18"/>
                  <w:color w:val="0000FF"/>
                  <w:w w:val="98"/>
                </w:rPr>
                <w:t>Amendment No. 3 to the Collaboration and Exclusive</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February 25, 2021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License Agreement</w:t>
              </w:r>
            </w:hyperlink>
          </w:p>
        </w:tc>
        <w:tc>
          <w:tcPr>
            <w:tcW w:w="248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gridSpan w:val="34"/>
          </w:tcPr>
          <w:p>
            <w:pPr>
              <w:spacing w:after="0"/>
              <w:rPr>
                <w:rFonts w:ascii="Arial" w:cs="Arial" w:eastAsia="Arial" w:hAnsi="Arial"/>
                <w:sz w:val="18"/>
                <w:szCs w:val="18"/>
                <w:color w:val="0000FF"/>
              </w:rPr>
            </w:pPr>
            <w:hyperlink r:id="rId145">
              <w:r>
                <w:rPr>
                  <w:rFonts w:ascii="Arial" w:cs="Arial" w:eastAsia="Arial" w:hAnsi="Arial"/>
                  <w:sz w:val="18"/>
                  <w:szCs w:val="18"/>
                  <w:color w:val="0000FF"/>
                </w:rPr>
                <w:t>Confidential Settlement and Modification Agreement</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February 25, 2021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dated as of October 23, 2020</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gridSpan w:val="34"/>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First Amendment to Lease Agreement</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August 9, 2021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4200" w:type="dxa"/>
            <w:vAlign w:val="bottom"/>
            <w:gridSpan w:val="34"/>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Royalty Purchase Agreement, dated October 25, 2021,</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1, 2021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by and between the Registrant and Sagard Healthcare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Royalty Partners, LP</w:t>
              </w:r>
            </w:hyperlink>
          </w:p>
        </w:tc>
        <w:tc>
          <w:tcPr>
            <w:tcW w:w="2360" w:type="dxa"/>
            <w:vAlign w:val="bottom"/>
            <w:tcBorders>
              <w:top w:val="single" w:sz="8" w:color="0000FF"/>
            </w:tcBorders>
            <w:gridSpan w:val="19"/>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Borders>
              <w:bottom w:val="single" w:sz="8" w:color="0000FF"/>
            </w:tcBorders>
            <w:gridSpan w:val="29"/>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Amendment No. 4 to Tesaro AnaptysBio Collaboration</w:t>
              </w:r>
            </w:hyperlink>
          </w:p>
        </w:tc>
        <w:tc>
          <w:tcPr>
            <w:tcW w:w="180" w:type="dxa"/>
            <w:vAlign w:val="bottom"/>
            <w:gridSpan w:val="5"/>
          </w:tcPr>
          <w:p>
            <w:pPr>
              <w:spacing w:after="0"/>
              <w:rPr>
                <w:sz w:val="19"/>
                <w:szCs w:val="19"/>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7,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34"/>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Employment Agreement, effective March 21, 2022, by</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May 4, 2022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and between the Registrant and Daniel Faga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rFonts w:ascii="Arial" w:cs="Arial" w:eastAsia="Arial" w:hAnsi="Arial"/>
                <w:sz w:val="18"/>
                <w:szCs w:val="18"/>
                <w:color w:val="0000FF"/>
              </w:rPr>
            </w:pPr>
            <w:hyperlink r:id="rId150">
              <w:r>
                <w:rPr>
                  <w:rFonts w:ascii="Arial" w:cs="Arial" w:eastAsia="Arial" w:hAnsi="Arial"/>
                  <w:sz w:val="18"/>
                  <w:szCs w:val="18"/>
                  <w:color w:val="0000FF"/>
                </w:rPr>
                <w:t>Separation Agreement, effective March 20, 2022, by</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May 4,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and between the Registrant and Hamza Suria</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rFonts w:ascii="Arial" w:cs="Arial" w:eastAsia="Arial" w:hAnsi="Arial"/>
                <w:sz w:val="18"/>
                <w:szCs w:val="18"/>
                <w:color w:val="0000FF"/>
              </w:rPr>
            </w:pPr>
            <w:hyperlink r:id="rId151">
              <w:r>
                <w:rPr>
                  <w:rFonts w:ascii="Arial" w:cs="Arial" w:eastAsia="Arial" w:hAnsi="Arial"/>
                  <w:sz w:val="18"/>
                  <w:szCs w:val="18"/>
                  <w:color w:val="0000FF"/>
                </w:rPr>
                <w:t>Consulting Agreement, effective March 21, 2022, by</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May 4,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and between the Registrant and Hamza Suria</w:t>
              </w:r>
            </w:hyperlink>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9"/>
                <w:szCs w:val="19"/>
                <w:color w:val="auto"/>
              </w:rPr>
            </w:pPr>
          </w:p>
        </w:tc>
        <w:tc>
          <w:tcPr>
            <w:tcW w:w="4200" w:type="dxa"/>
            <w:vAlign w:val="bottom"/>
            <w:gridSpan w:val="34"/>
          </w:tcPr>
          <w:p>
            <w:pPr>
              <w:spacing w:after="0"/>
              <w:rPr>
                <w:rFonts w:ascii="Arial" w:cs="Arial" w:eastAsia="Arial" w:hAnsi="Arial"/>
                <w:sz w:val="18"/>
                <w:szCs w:val="18"/>
                <w:color w:val="0000FF"/>
              </w:rPr>
            </w:pPr>
            <w:hyperlink r:id="rId152">
              <w:r>
                <w:rPr>
                  <w:rFonts w:ascii="Arial" w:cs="Arial" w:eastAsia="Arial" w:hAnsi="Arial"/>
                  <w:sz w:val="18"/>
                  <w:szCs w:val="18"/>
                  <w:color w:val="0000FF"/>
                </w:rPr>
                <w:t>Purchase and Sale Agreement, dated September 9,</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November 8,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16"/>
          </w:tcPr>
          <w:p>
            <w:pPr>
              <w:spacing w:after="0" w:line="156"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2022, by and between the Registrant and DRI</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Healthcare Acquisitions L.P.</w:t>
              </w:r>
            </w:hyperlink>
          </w:p>
        </w:tc>
        <w:tc>
          <w:tcPr>
            <w:tcW w:w="1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rFonts w:ascii="Arial" w:cs="Arial" w:eastAsia="Arial" w:hAnsi="Arial"/>
                <w:sz w:val="18"/>
                <w:szCs w:val="18"/>
                <w:color w:val="0000FF"/>
              </w:rPr>
            </w:pPr>
            <w:hyperlink r:id="rId153">
              <w:r>
                <w:rPr>
                  <w:rFonts w:ascii="Arial" w:cs="Arial" w:eastAsia="Arial" w:hAnsi="Arial"/>
                  <w:sz w:val="18"/>
                  <w:szCs w:val="18"/>
                  <w:color w:val="0000FF"/>
                </w:rPr>
                <w:t>Sales Agreement, dated November 8, 2022, by and</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November 8, 2022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between the Registrant and Cowen and Company,</w:t>
              </w:r>
            </w:hyperlink>
          </w:p>
        </w:tc>
        <w:tc>
          <w:tcPr>
            <w:tcW w:w="340" w:type="dxa"/>
            <w:vAlign w:val="bottom"/>
            <w:tcBorders>
              <w:bottom w:val="single" w:sz="8" w:color="0000FF"/>
            </w:tcBorders>
            <w:gridSpan w:val="11"/>
          </w:tcPr>
          <w:p>
            <w:pPr>
              <w:spacing w:after="0" w:line="156" w:lineRule="exact"/>
              <w:rPr>
                <w:rFonts w:ascii="Arial" w:cs="Arial" w:eastAsia="Arial" w:hAnsi="Arial"/>
                <w:sz w:val="18"/>
                <w:szCs w:val="18"/>
                <w:color w:val="0000FF"/>
                <w:w w:val="96"/>
              </w:rPr>
            </w:pPr>
            <w:hyperlink r:id="rId153">
              <w:r>
                <w:rPr>
                  <w:rFonts w:ascii="Arial" w:cs="Arial" w:eastAsia="Arial" w:hAnsi="Arial"/>
                  <w:sz w:val="18"/>
                  <w:szCs w:val="18"/>
                  <w:color w:val="0000FF"/>
                  <w:w w:val="96"/>
                </w:rPr>
                <w:t>LLC</w:t>
              </w:r>
            </w:hyperlink>
          </w:p>
        </w:tc>
        <w:tc>
          <w:tcPr>
            <w:tcW w:w="1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Subsidiaries of the Registrant.</w:t>
            </w:r>
          </w:p>
        </w:tc>
        <w:tc>
          <w:tcPr>
            <w:tcW w:w="2020" w:type="dxa"/>
            <w:vAlign w:val="bottom"/>
            <w:gridSpan w:val="27"/>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rPr>
              <w:t>Consent of KPMG LLP, an independent registered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3"/>
              </w:rPr>
              <w:t>public accounting firm.</w:t>
            </w:r>
          </w:p>
        </w:tc>
        <w:tc>
          <w:tcPr>
            <w:tcW w:w="196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rPr>
              <w:t>Power of Attorney</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w w:val="97"/>
              </w:rPr>
              <w:t>Certification of Principal Executive Officer, pursuant to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31"/>
          </w:tcPr>
          <w:p>
            <w:pPr>
              <w:spacing w:after="0" w:line="156" w:lineRule="exact"/>
              <w:rPr>
                <w:sz w:val="20"/>
                <w:szCs w:val="20"/>
                <w:color w:val="auto"/>
              </w:rPr>
            </w:pPr>
            <w:r>
              <w:rPr>
                <w:rFonts w:ascii="Arial" w:cs="Arial" w:eastAsia="Arial" w:hAnsi="Arial"/>
                <w:sz w:val="18"/>
                <w:szCs w:val="18"/>
                <w:color w:val="0000FF"/>
              </w:rPr>
              <w:t>Rule 13a-14(a)/15d-14(a), as adopted pursuant to</w:t>
            </w: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93"/>
              </w:rPr>
              <w:t>Section 302 of the Sarbanes-Oxley Act of 2002.</w:t>
            </w:r>
          </w:p>
        </w:tc>
        <w:tc>
          <w:tcPr>
            <w:tcW w:w="200" w:type="dxa"/>
            <w:vAlign w:val="bottom"/>
            <w:gridSpan w:val="4"/>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rPr>
              <w:t>Rule 13a-14(a)/15d-14(a), as adopted pursuant to</w:t>
            </w: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93"/>
              </w:rPr>
              <w:t>Section 302 of the Sarbanes-Oxley Act of 2002.</w:t>
            </w:r>
          </w:p>
        </w:tc>
        <w:tc>
          <w:tcPr>
            <w:tcW w:w="200" w:type="dxa"/>
            <w:vAlign w:val="bottom"/>
            <w:gridSpan w:val="4"/>
          </w:tcPr>
          <w:p>
            <w:pPr>
              <w:spacing w:after="0"/>
              <w:rPr>
                <w:sz w:val="13"/>
                <w:szCs w:val="13"/>
                <w:color w:val="auto"/>
              </w:rPr>
            </w:pPr>
          </w:p>
        </w:tc>
        <w:tc>
          <w:tcPr>
            <w:tcW w:w="20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w w:val="97"/>
              </w:rPr>
              <w:t>Certification of Chief Executive Officer, pursuant to 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9"/>
          </w:tcPr>
          <w:p>
            <w:pPr>
              <w:spacing w:after="0" w:line="156" w:lineRule="exact"/>
              <w:rPr>
                <w:sz w:val="20"/>
                <w:szCs w:val="20"/>
                <w:color w:val="auto"/>
              </w:rPr>
            </w:pPr>
            <w:r>
              <w:rPr>
                <w:rFonts w:ascii="Arial" w:cs="Arial" w:eastAsia="Arial" w:hAnsi="Arial"/>
                <w:sz w:val="18"/>
                <w:szCs w:val="18"/>
                <w:color w:val="0000FF"/>
                <w:w w:val="94"/>
              </w:rPr>
              <w:t>U.S.C. Section 1350, as adopted pursuant to Section</w:t>
            </w:r>
          </w:p>
        </w:tc>
        <w:tc>
          <w:tcPr>
            <w:tcW w:w="1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0"/>
              </w:rPr>
              <w:t>906 of the Sarbanes-Oxley Act of 2002.</w:t>
            </w:r>
          </w:p>
        </w:tc>
        <w:tc>
          <w:tcPr>
            <w:tcW w:w="880" w:type="dxa"/>
            <w:vAlign w:val="bottom"/>
            <w:tcBorders>
              <w:top w:val="single" w:sz="8" w:color="0000FF"/>
            </w:tcBorders>
            <w:gridSpan w:val="10"/>
          </w:tcPr>
          <w:p>
            <w:pPr>
              <w:spacing w:after="0"/>
              <w:rPr>
                <w:sz w:val="13"/>
                <w:szCs w:val="13"/>
                <w:color w:val="auto"/>
              </w:rPr>
            </w:pPr>
          </w:p>
        </w:tc>
        <w:tc>
          <w:tcPr>
            <w:tcW w:w="200" w:type="dxa"/>
            <w:vAlign w:val="bottom"/>
            <w:gridSpan w:val="7"/>
          </w:tcPr>
          <w:p>
            <w:pPr>
              <w:spacing w:after="0"/>
              <w:rPr>
                <w:sz w:val="13"/>
                <w:szCs w:val="13"/>
                <w:color w:val="auto"/>
              </w:rPr>
            </w:pPr>
          </w:p>
        </w:tc>
        <w:tc>
          <w:tcPr>
            <w:tcW w:w="24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34"/>
          </w:tcPr>
          <w:p>
            <w:pPr>
              <w:spacing w:after="0"/>
              <w:rPr>
                <w:sz w:val="20"/>
                <w:szCs w:val="20"/>
                <w:color w:val="auto"/>
              </w:rPr>
            </w:pPr>
            <w:r>
              <w:rPr>
                <w:rFonts w:ascii="Arial" w:cs="Arial" w:eastAsia="Arial" w:hAnsi="Arial"/>
                <w:sz w:val="18"/>
                <w:szCs w:val="18"/>
                <w:color w:val="0000FF"/>
                <w:w w:val="99"/>
              </w:rPr>
              <w:t>Certification of Chief Financial Officer, pursuant to 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3"/>
              </w:rPr>
              <w:t>U.S.C. Section 1350, as adopted pursuant to Section</w:t>
            </w:r>
          </w:p>
        </w:tc>
        <w:tc>
          <w:tcPr>
            <w:tcW w:w="24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0"/>
              </w:rPr>
              <w:t>906 of the Sarbanes-Oxley Act of 2002.</w:t>
            </w:r>
          </w:p>
        </w:tc>
        <w:tc>
          <w:tcPr>
            <w:tcW w:w="880" w:type="dxa"/>
            <w:vAlign w:val="bottom"/>
            <w:tcBorders>
              <w:top w:val="single" w:sz="8" w:color="0000FF"/>
            </w:tcBorders>
            <w:gridSpan w:val="10"/>
          </w:tcPr>
          <w:p>
            <w:pPr>
              <w:spacing w:after="0"/>
              <w:rPr>
                <w:sz w:val="13"/>
                <w:szCs w:val="13"/>
                <w:color w:val="auto"/>
              </w:rPr>
            </w:pPr>
          </w:p>
        </w:tc>
        <w:tc>
          <w:tcPr>
            <w:tcW w:w="440" w:type="dxa"/>
            <w:vAlign w:val="bottom"/>
            <w:gridSpan w:val="1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4"/>
          </w:tcPr>
          <w:p>
            <w:pPr>
              <w:spacing w:after="0"/>
              <w:rPr>
                <w:sz w:val="20"/>
                <w:szCs w:val="20"/>
                <w:color w:val="auto"/>
              </w:rPr>
            </w:pPr>
            <w:r>
              <w:rPr>
                <w:rFonts w:ascii="Arial" w:cs="Arial" w:eastAsia="Arial" w:hAnsi="Arial"/>
                <w:sz w:val="16"/>
                <w:szCs w:val="16"/>
                <w:color w:val="auto"/>
              </w:rPr>
              <w:t>XBRL Report Instance Document - The instance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4"/>
                <w:szCs w:val="14"/>
                <w:color w:val="auto"/>
              </w:rPr>
            </w:pPr>
          </w:p>
        </w:tc>
        <w:tc>
          <w:tcPr>
            <w:tcW w:w="4200" w:type="dxa"/>
            <w:vAlign w:val="bottom"/>
            <w:gridSpan w:val="34"/>
          </w:tcPr>
          <w:p>
            <w:pPr>
              <w:spacing w:after="0" w:line="162" w:lineRule="exact"/>
              <w:rPr>
                <w:sz w:val="20"/>
                <w:szCs w:val="20"/>
                <w:color w:val="auto"/>
              </w:rPr>
            </w:pPr>
            <w:r>
              <w:rPr>
                <w:rFonts w:ascii="Arial" w:cs="Arial" w:eastAsia="Arial" w:hAnsi="Arial"/>
                <w:sz w:val="16"/>
                <w:szCs w:val="16"/>
                <w:color w:val="auto"/>
                <w:w w:val="95"/>
              </w:rPr>
              <w:t>does not appear in the Interactive Data File because its XBRL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4"/>
          </w:tcPr>
          <w:p>
            <w:pPr>
              <w:spacing w:after="0"/>
              <w:rPr>
                <w:sz w:val="20"/>
                <w:szCs w:val="20"/>
                <w:color w:val="auto"/>
              </w:rPr>
            </w:pPr>
            <w:r>
              <w:rPr>
                <w:rFonts w:ascii="Arial" w:cs="Arial" w:eastAsia="Arial" w:hAnsi="Arial"/>
                <w:sz w:val="16"/>
                <w:szCs w:val="16"/>
                <w:color w:val="auto"/>
              </w:rPr>
              <w:t>tags are embedded within the Inline XBRL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200" w:type="dxa"/>
            <w:vAlign w:val="bottom"/>
            <w:gridSpan w:val="34"/>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1"/>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9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5"/>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29"/>
        </w:trPr>
        <w:tc>
          <w:tcPr>
            <w:tcW w:w="1120" w:type="dxa"/>
            <w:vAlign w:val="bottom"/>
            <w:gridSpan w:val="2"/>
            <w:vMerge w:val="continue"/>
          </w:tcPr>
          <w:p>
            <w:pPr>
              <w:spacing w:after="0"/>
              <w:rPr>
                <w:sz w:val="11"/>
                <w:szCs w:val="11"/>
                <w:color w:val="auto"/>
              </w:rPr>
            </w:pPr>
          </w:p>
        </w:tc>
        <w:tc>
          <w:tcPr>
            <w:tcW w:w="412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34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20" w:type="dxa"/>
            <w:vAlign w:val="bottom"/>
            <w:tcBorders>
              <w:top w:val="single" w:sz="8" w:color="auto"/>
            </w:tcBorders>
            <w:vMerge w:val="restart"/>
          </w:tcPr>
          <w:p>
            <w:pPr>
              <w:spacing w:after="0"/>
              <w:rPr>
                <w:sz w:val="11"/>
                <w:szCs w:val="11"/>
                <w:color w:val="auto"/>
              </w:rPr>
            </w:pPr>
          </w:p>
        </w:tc>
        <w:tc>
          <w:tcPr>
            <w:tcW w:w="8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440" w:type="dxa"/>
            <w:vAlign w:val="bottom"/>
            <w:tcBorders>
              <w:top w:val="single" w:sz="8" w:color="auto"/>
            </w:tcBorders>
            <w:vMerge w:val="restart"/>
          </w:tcPr>
          <w:p>
            <w:pPr>
              <w:spacing w:after="0"/>
              <w:rPr>
                <w:sz w:val="11"/>
                <w:szCs w:val="11"/>
                <w:color w:val="auto"/>
              </w:rPr>
            </w:pPr>
          </w:p>
        </w:tc>
        <w:tc>
          <w:tcPr>
            <w:tcW w:w="1400" w:type="dxa"/>
            <w:vAlign w:val="bottom"/>
            <w:tcBorders>
              <w:top w:val="single" w:sz="8" w:color="auto"/>
            </w:tcBorders>
          </w:tcPr>
          <w:p>
            <w:pPr>
              <w:jc w:val="center"/>
              <w:ind w:right="368"/>
              <w:spacing w:after="0" w:line="129"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41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Inline XBRL Taxonomy Calculation 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Inline XBRL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auto"/>
              </w:rPr>
              <w:t>101.DEF</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Definition Linkbase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120" w:type="dxa"/>
            <w:vAlign w:val="bottom"/>
            <w:gridSpan w:val="2"/>
            <w:vMerge w:val="continue"/>
          </w:tcPr>
          <w:p>
            <w:pPr>
              <w:spacing w:after="0"/>
              <w:rPr>
                <w:sz w:val="17"/>
                <w:szCs w:val="17"/>
                <w:color w:val="auto"/>
              </w:rPr>
            </w:pP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Cover Page Interactive Data File (formatted as inline</w:t>
      </w:r>
    </w:p>
    <w:p>
      <w:pPr>
        <w:ind w:right="7420" w:firstLine="26"/>
        <w:spacing w:after="0" w:line="471" w:lineRule="auto"/>
        <w:tabs>
          <w:tab w:leader="none" w:pos="1138" w:val="left"/>
        </w:tabs>
        <w:numPr>
          <w:ilvl w:val="1"/>
          <w:numId w:val="46"/>
        </w:numPr>
        <w:rPr>
          <w:rFonts w:ascii="Arial" w:cs="Arial" w:eastAsia="Arial" w:hAnsi="Arial"/>
          <w:sz w:val="15"/>
          <w:szCs w:val="15"/>
          <w:color w:val="auto"/>
        </w:rPr>
      </w:pPr>
      <w:r>
        <w:rPr>
          <w:rFonts w:ascii="Arial" w:cs="Arial" w:eastAsia="Arial" w:hAnsi="Arial"/>
          <w:sz w:val="17"/>
          <w:szCs w:val="17"/>
          <w:color w:val="auto"/>
        </w:rPr>
        <w:t>XBRL and contained in Exhibit 101) * Executive compensation plan or agreement.</w:t>
      </w:r>
    </w:p>
    <w:p>
      <w:pPr>
        <w:ind w:left="660" w:right="180" w:hanging="652"/>
        <w:spacing w:after="0" w:line="250" w:lineRule="auto"/>
        <w:tabs>
          <w:tab w:leader="none" w:pos="3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660" w:right="920" w:hanging="652"/>
        <w:spacing w:after="0" w:line="250" w:lineRule="auto"/>
        <w:tabs>
          <w:tab w:leader="none" w:pos="2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1" w:lineRule="exact"/>
        <w:rPr>
          <w:sz w:val="20"/>
          <w:szCs w:val="20"/>
          <w:color w:val="auto"/>
        </w:rPr>
      </w:pPr>
    </w:p>
    <w:p>
      <w:pPr>
        <w:ind w:left="400" w:right="280" w:hanging="647"/>
        <w:spacing w:after="0" w:line="243" w:lineRule="auto"/>
        <w:tabs>
          <w:tab w:leader="none" w:pos="380" w:val="left"/>
        </w:tabs>
        <w:rPr>
          <w:sz w:val="20"/>
          <w:szCs w:val="20"/>
          <w:color w:val="auto"/>
        </w:rPr>
      </w:pPr>
      <w:r>
        <w:rPr>
          <w:rFonts w:ascii="Arial" w:cs="Arial" w:eastAsia="Arial" w:hAnsi="Arial"/>
          <w:sz w:val="18"/>
          <w:szCs w:val="18"/>
          <w:color w:val="auto"/>
        </w:rPr>
        <w:t>++</w:t>
        <w:tab/>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sz w:val="20"/>
          <w:szCs w:val="20"/>
          <w:color w:val="auto"/>
        </w:rPr>
      </w:pPr>
    </w:p>
    <w:p>
      <w:pPr>
        <w:ind w:left="660" w:right="320" w:hanging="652"/>
        <w:spacing w:after="0" w:line="243" w:lineRule="auto"/>
        <w:tabs>
          <w:tab w:leader="none" w:pos="2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 and schedules to this agreement have been omitted pursuant to the rules of the SEC. The Registrant will submit copies of such exhibits and schedules to the SEC upon request.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14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AnaptysBio, Inc.</w:t>
      </w:r>
    </w:p>
    <w:p>
      <w:pPr>
        <w:spacing w:after="0" w:line="256"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Faga</w:t>
            </w:r>
          </w:p>
        </w:tc>
      </w:tr>
      <w:tr>
        <w:trPr>
          <w:trHeight w:val="222"/>
        </w:trPr>
        <w:tc>
          <w:tcPr>
            <w:tcW w:w="5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Daniel Faga</w:t>
            </w:r>
          </w:p>
        </w:tc>
      </w:tr>
      <w:tr>
        <w:trPr>
          <w:trHeight w:val="230"/>
        </w:trPr>
        <w:tc>
          <w:tcPr>
            <w:tcW w:w="5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Interim President and Chief Executive Officer</w:t>
            </w: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20" w:type="dxa"/>
            <w:vAlign w:val="bottom"/>
          </w:tcPr>
          <w:p>
            <w:pPr>
              <w:spacing w:after="0"/>
              <w:rPr>
                <w:sz w:val="16"/>
                <w:szCs w:val="16"/>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5"/>
        </w:trPr>
        <w:tc>
          <w:tcPr>
            <w:tcW w:w="4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8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Faga</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Interim President, Chief Executive Officer and Director</w:t>
            </w:r>
          </w:p>
        </w:tc>
        <w:tc>
          <w:tcPr>
            <w:tcW w:w="206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0"/>
              </w:rPr>
              <w:t>Daniel Faga</w:t>
            </w:r>
          </w:p>
        </w:tc>
        <w:tc>
          <w:tcPr>
            <w:tcW w:w="320" w:type="dxa"/>
            <w:vAlign w:val="bottom"/>
          </w:tcPr>
          <w:p>
            <w:pPr>
              <w:spacing w:after="0"/>
              <w:rPr>
                <w:sz w:val="19"/>
                <w:szCs w:val="19"/>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4"/>
              </w:rPr>
              <w:t>(Principal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43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Dennis Mulroy</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Dennis Mulroy</w:t>
            </w:r>
          </w:p>
        </w:tc>
        <w:tc>
          <w:tcPr>
            <w:tcW w:w="320" w:type="dxa"/>
            <w:vAlign w:val="bottom"/>
          </w:tcPr>
          <w:p>
            <w:pPr>
              <w:spacing w:after="0"/>
              <w:rPr>
                <w:sz w:val="19"/>
                <w:szCs w:val="19"/>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44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Dennis Fenton</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Dennis Fenton,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J. Hamill</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Magda Marquet,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Oleg Nodelman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2"/>
              </w:rPr>
              <w:t>Oleg Nodelman</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Schmid</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N. Topper</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Anthony Ware</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20"/>
          </w:cols>
          <w:pgMar w:left="320" w:top="891" w:right="35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SUBSIDIARIES OF THE REGISTRANT</w:t>
            </w:r>
          </w:p>
        </w:tc>
      </w:tr>
      <w:tr>
        <w:trPr>
          <w:trHeight w:val="527"/>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8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50"/>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 Ltd</w:t>
            </w:r>
          </w:p>
        </w:tc>
        <w:tc>
          <w:tcPr>
            <w:tcW w:w="1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220"/>
          </w:cols>
          <w:pgMar w:left="340" w:top="89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(Nos. 333-215741, 333-223446, 333-229927, 333-236805, 333-253504, and 333-263332) on Form S-8 and in the registration statement (No. 333-261953) on Form S-3 of our report dated March 1, 2023, with respect to the consolidated financial statements of AnaptysBio,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39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Daniel Faga, certify that:</w:t>
      </w:r>
    </w:p>
    <w:p>
      <w:pPr>
        <w:spacing w:after="0" w:line="158"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14605</wp:posOffset>
            </wp:positionV>
            <wp:extent cx="29317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Daniel Faga, Interim Chief Executive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right="540" w:hanging="406"/>
        <w:spacing w:after="0" w:line="342" w:lineRule="auto"/>
        <w:tabs>
          <w:tab w:leader="none" w:pos="8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2022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14605</wp:posOffset>
            </wp:positionV>
            <wp:extent cx="29317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540" w:hanging="406"/>
        <w:spacing w:after="0" w:line="342" w:lineRule="auto"/>
        <w:tabs>
          <w:tab w:leader="none" w:pos="8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2022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lvl w:ilvl="1">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6"/>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7"/>
    </w:lvl>
  </w:abstractNum>
  <w:abstractNum w:abstractNumId="42">
    <w:nsid w:val="7644A45C"/>
    <w:multiLevelType w:val="hybridMultilevel"/>
    <w:lvl w:ilvl="0">
      <w:lvlJc w:val="left"/>
      <w:lvlText w:val="%1."/>
      <w:numFmt w:val="decimal"/>
      <w:start w:val="10"/>
    </w:lvl>
  </w:abstractNum>
  <w:abstractNum w:abstractNumId="43">
    <w:nsid w:val="32FFF902"/>
    <w:multiLevelType w:val="hybridMultilevel"/>
    <w:lvl w:ilvl="0">
      <w:lvlJc w:val="left"/>
      <w:lvlText w:val="%1."/>
      <w:numFmt w:val="decimal"/>
      <w:start w:val="12"/>
    </w:lvl>
  </w:abstractNum>
  <w:abstractNum w:abstractNumId="44">
    <w:nsid w:val="684A481A"/>
    <w:multiLevelType w:val="hybridMultilevel"/>
    <w:lvl w:ilvl="0">
      <w:lvlJc w:val="left"/>
      <w:lvlText w:val="(%1)"/>
      <w:numFmt w:val="lowerLetter"/>
      <w:start w:val="1"/>
    </w:lvl>
    <w:lvl w:ilvl="1">
      <w:lvlJc w:val="left"/>
      <w:lvlText w:val="%2."/>
      <w:numFmt w:val="decimal"/>
      <w:start w:val="1"/>
    </w:lvl>
  </w:abstractNum>
  <w:abstractNum w:abstractNumId="45">
    <w:nsid w:val="579478FE"/>
    <w:multiLevelType w:val="hybridMultilevel"/>
    <w:lvl w:ilvl="0">
      <w:lvlJc w:val="left"/>
      <w:lvlText w:val="*"/>
      <w:numFmt w:val="bullet"/>
      <w:start w:val="1"/>
    </w:lvl>
    <w:lvl w:ilvl="1">
      <w:lvlJc w:val="left"/>
      <w:lvlText w:val="%2"/>
      <w:numFmt w:val="decimal"/>
      <w:start w:val="104"/>
    </w:lvl>
  </w:abstractNum>
  <w:abstractNum w:abstractNumId="46">
    <w:nsid w:val="749ABB43"/>
    <w:multiLevelType w:val="hybridMultilevel"/>
    <w:lvl w:ilvl="0">
      <w:lvlJc w:val="left"/>
      <w:lvlText w:val="**"/>
      <w:numFmt w:val="bullet"/>
      <w:start w:val="1"/>
    </w:lvl>
    <w:lvl w:ilvl="1">
      <w:lvlJc w:val="left"/>
      <w:lvlText w:val="%2"/>
      <w:numFmt w:val="decimal"/>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25" Type="http://schemas.openxmlformats.org/officeDocument/2006/relationships/hyperlink" Target="http://www.sec.gov/Archives/edgar/data/1370053/000137005317000005/anab-033117x10qxexx31.htm" TargetMode="External"/><Relationship Id="rId126" Type="http://schemas.openxmlformats.org/officeDocument/2006/relationships/hyperlink" Target="https://www.sec.gov/Archives/edgar/data/1370053/000137005323000013/anaptysbio-secondamended.htm" TargetMode="External"/><Relationship Id="rId127" Type="http://schemas.openxmlformats.org/officeDocument/2006/relationships/hyperlink" Target="http://www.sec.gov/Archives/edgar/data/1370053/000119312515412604/d942137dex41.htm" TargetMode="External"/><Relationship Id="rId128" Type="http://schemas.openxmlformats.org/officeDocument/2006/relationships/hyperlink" Target="https://www.sec.gov/Archives/edgar/data/1370053/000137005320000009/anaptys-10xkfy2019xexh.htm" TargetMode="External"/><Relationship Id="rId129" Type="http://schemas.openxmlformats.org/officeDocument/2006/relationships/hyperlink" Target="http://www.sec.gov/Archives/edgar/data/1370053/000119312515315918/d942137dex101.htm" TargetMode="External"/><Relationship Id="rId130" Type="http://schemas.openxmlformats.org/officeDocument/2006/relationships/hyperlink" Target="http://www.sec.gov/Archives/edgar/data/1370053/000119312517010405/d320192dex102.htm" TargetMode="External"/><Relationship Id="rId131" Type="http://schemas.openxmlformats.org/officeDocument/2006/relationships/hyperlink" Target="http://www.sec.gov/Archives/edgar/data/1370053/000119312517010405/d320192dex103.htm" TargetMode="External"/><Relationship Id="rId132" Type="http://schemas.openxmlformats.org/officeDocument/2006/relationships/hyperlink" Target="http://www.sec.gov/Archives/edgar/data/1370053/000119312517010405/d320192dex104.htm" TargetMode="External"/><Relationship Id="rId133" Type="http://schemas.openxmlformats.org/officeDocument/2006/relationships/hyperlink" Target="http://www.sec.gov/Archives/edgar/data/1370053/000137005318000014/ex105employmentagreementha.htm" TargetMode="External"/><Relationship Id="rId134" Type="http://schemas.openxmlformats.org/officeDocument/2006/relationships/hyperlink" Target="http://www.sec.gov/Archives/edgar/data/1370053/000119312516805335/d320192dex109.htm" TargetMode="External"/><Relationship Id="rId135" Type="http://schemas.openxmlformats.org/officeDocument/2006/relationships/hyperlink" Target="http://www.sec.gov/Archives/edgar/data/1370053/000119312516585556/d942137dex1010.htm" TargetMode="External"/><Relationship Id="rId136" Type="http://schemas.openxmlformats.org/officeDocument/2006/relationships/hyperlink" Target="http://www.sec.gov/Archives/edgar/data/1370053/000119312515315918/d942137dex1012.htm" TargetMode="External"/><Relationship Id="rId137" Type="http://schemas.openxmlformats.org/officeDocument/2006/relationships/hyperlink" Target="http://www.sec.gov/Archives/edgar/data/1370053/000119312515315918/d942137dex1013.htm" TargetMode="External"/><Relationship Id="rId138" Type="http://schemas.openxmlformats.org/officeDocument/2006/relationships/hyperlink" Target="https://www.sec.gov/Archives/edgar/data/1370053/000137005320000026/wateridgelease.htm" TargetMode="External"/><Relationship Id="rId139" Type="http://schemas.openxmlformats.org/officeDocument/2006/relationships/hyperlink" Target="https://www.sec.gov/Archives/edgar/data/1370053/000137005322000024/loumeauamendedandrestate.htm" TargetMode="External"/><Relationship Id="rId142" Type="http://schemas.openxmlformats.org/officeDocument/2006/relationships/hyperlink" Target="https://www.sec.gov/Archives/edgar/data/1370053/000137005322000024/mulroyamendedandrestated.htm" TargetMode="External"/><Relationship Id="rId143" Type="http://schemas.openxmlformats.org/officeDocument/2006/relationships/hyperlink" Target="https://www.sec.gov/Archives/edgar/data/1370053/000137005322000024/lizzulamendedandrestated.htm" TargetMode="External"/><Relationship Id="rId144" Type="http://schemas.openxmlformats.org/officeDocument/2006/relationships/hyperlink" Target="https://www.sec.gov/Archives/edgar/data/1370053/000137005321000019/amendmentno3tocollaboratio.htm" TargetMode="External"/><Relationship Id="rId145" Type="http://schemas.openxmlformats.org/officeDocument/2006/relationships/hyperlink" Target="https://www.sec.gov/Archives/edgar/data/1370053/000137005321000019/anab-confidentialsettlemen.htm" TargetMode="External"/><Relationship Id="rId146" Type="http://schemas.openxmlformats.org/officeDocument/2006/relationships/hyperlink" Target="https://www.sec.gov/Archives/edgar/data/1370053/000137005321000056/anaptysbio-firstamendmentx.htm" TargetMode="External"/><Relationship Id="rId147" Type="http://schemas.openxmlformats.org/officeDocument/2006/relationships/hyperlink" Target="https://www.sec.gov/Archives/edgar/data/1370053/000137005321000079/royaltypurchaseagreement.htm" TargetMode="External"/><Relationship Id="rId148" Type="http://schemas.openxmlformats.org/officeDocument/2006/relationships/hyperlink" Target="https://www.sec.gov/Archives/edgar/data/1370053/000137005322000009/amendmentno4totesaroanapty.htm" TargetMode="External"/><Relationship Id="rId149" Type="http://schemas.openxmlformats.org/officeDocument/2006/relationships/hyperlink" Target="https://www.sec.gov/Archives/edgar/data/1370053/000137005322000032/anaptysbio-dfagaemployme.htm" TargetMode="External"/><Relationship Id="rId150" Type="http://schemas.openxmlformats.org/officeDocument/2006/relationships/hyperlink" Target="https://www.sec.gov/Archives/edgar/data/1370053/000137005322000032/anaptysbio-xsuriaseparat.htm" TargetMode="External"/><Relationship Id="rId151" Type="http://schemas.openxmlformats.org/officeDocument/2006/relationships/hyperlink" Target="https://www.sec.gov/Archives/edgar/data/1370053/000137005322000032/hsuriaconsultingagreemen.htm" TargetMode="External"/><Relationship Id="rId152" Type="http://schemas.openxmlformats.org/officeDocument/2006/relationships/hyperlink" Target="https://www.sec.gov/Archives/edgar/data/1370053/000137005322000066/zejularoyaltypurchaseagr.htm" TargetMode="External"/><Relationship Id="rId153" Type="http://schemas.openxmlformats.org/officeDocument/2006/relationships/hyperlink" Target="https://www.sec.gov/Archives/edgar/data/1370053/000137005322000066/salesagreementex1024_f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2023-03-01T18:30:44Z</dcterms:created>
  <dcterms:modified xsi:type="dcterms:W3CDTF">2023-03-01T18:30:44Z</dcterms:modified>
</cp:coreProperties>
</file>