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(Rule 13d-102)</w:t>
      </w:r>
    </w:p>
    <w:p>
      <w:pPr>
        <w:spacing w:after="0" w:line="236" w:lineRule="exact"/>
        <w:rPr>
          <w:sz w:val="24"/>
          <w:szCs w:val="24"/>
          <w:color w:val="auto"/>
        </w:rPr>
      </w:pPr>
    </w:p>
    <w:p>
      <w:pPr>
        <w:jc w:val="center"/>
        <w:ind w:left="400" w:right="2700"/>
        <w:spacing w:after="0" w:line="264"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w:t>
      </w:r>
      <w:r>
        <w:rPr>
          <w:rFonts w:ascii="Arial" w:cs="Arial" w:eastAsia="Arial" w:hAnsi="Arial"/>
          <w:sz w:val="25"/>
          <w:szCs w:val="25"/>
          <w:color w:val="auto"/>
          <w:vertAlign w:val="superscript"/>
        </w:rPr>
        <w:t>1</w:t>
      </w:r>
    </w:p>
    <w:p>
      <w:pPr>
        <w:spacing w:after="0" w:line="200" w:lineRule="exact"/>
        <w:rPr>
          <w:sz w:val="24"/>
          <w:szCs w:val="24"/>
          <w:color w:val="auto"/>
        </w:rPr>
      </w:pPr>
    </w:p>
    <w:p>
      <w:pPr>
        <w:spacing w:after="0" w:line="215"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AnaptysBio, Inc.</w:t>
      </w:r>
    </w:p>
    <w:p>
      <w:pPr>
        <w:spacing w:after="0" w:line="23"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Common stock, par value $0.001 per share</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032724106</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January 26,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100" w:hanging="466"/>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252" w:lineRule="exact"/>
        <w:rPr>
          <w:rFonts w:ascii="Arial" w:cs="Arial" w:eastAsia="Arial" w:hAnsi="Arial"/>
          <w:sz w:val="18"/>
          <w:szCs w:val="18"/>
          <w:color w:val="auto"/>
        </w:rPr>
      </w:pPr>
    </w:p>
    <w:p>
      <w:pPr>
        <w:ind w:left="1100" w:hanging="466"/>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w:t>
      </w:r>
    </w:p>
    <w:p>
      <w:pPr>
        <w:spacing w:after="0" w:line="13" w:lineRule="exact"/>
        <w:rPr>
          <w:sz w:val="24"/>
          <w:szCs w:val="24"/>
          <w:color w:val="auto"/>
        </w:rPr>
      </w:pPr>
    </w:p>
    <w:p>
      <w:pPr>
        <w:ind w:right="60" w:firstLine="8"/>
        <w:spacing w:after="0" w:line="211" w:lineRule="auto"/>
        <w:tabs>
          <w:tab w:leader="none" w:pos="126"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0" w:lineRule="exact"/>
        <w:rPr>
          <w:sz w:val="24"/>
          <w:szCs w:val="24"/>
          <w:color w:val="auto"/>
        </w:rPr>
      </w:pPr>
    </w:p>
    <w:p>
      <w:pPr>
        <w:ind w:firstLine="918"/>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032724106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Biotechnology Value Fund, L.P.</w:t>
            </w:r>
          </w:p>
        </w:tc>
        <w:tc>
          <w:tcPr>
            <w:tcW w:w="19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2</w:t>
            </w:r>
          </w:p>
        </w:tc>
        <w:tc>
          <w:tcPr>
            <w:tcW w:w="774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00" w:type="dxa"/>
            <w:vAlign w:val="bottom"/>
            <w:tcBorders>
              <w:right w:val="single" w:sz="8" w:color="auto"/>
            </w:tcBorders>
          </w:tcPr>
          <w:p>
            <w:pPr>
              <w:ind w:left="66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4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0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600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4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40" w:type="dxa"/>
            <w:vAlign w:val="bottom"/>
            <w:tcBorders>
              <w:bottom w:val="single" w:sz="8" w:color="auto"/>
              <w:right w:val="single" w:sz="8" w:color="auto"/>
            </w:tcBorders>
          </w:tcPr>
          <w:p>
            <w:pPr>
              <w:spacing w:after="0"/>
              <w:rPr>
                <w:sz w:val="20"/>
                <w:szCs w:val="20"/>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0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4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600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0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40" w:type="dxa"/>
            <w:vAlign w:val="bottom"/>
            <w:tcBorders>
              <w:bottom w:val="single" w:sz="8" w:color="auto"/>
              <w:right w:val="single" w:sz="8" w:color="auto"/>
            </w:tcBorders>
          </w:tcPr>
          <w:p>
            <w:pPr>
              <w:spacing w:after="0"/>
              <w:rPr>
                <w:sz w:val="21"/>
                <w:szCs w:val="21"/>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907,116</w:t>
            </w:r>
          </w:p>
        </w:tc>
        <w:tc>
          <w:tcPr>
            <w:tcW w:w="190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907,116</w:t>
            </w:r>
          </w:p>
        </w:tc>
        <w:tc>
          <w:tcPr>
            <w:tcW w:w="19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907,116</w:t>
            </w:r>
          </w:p>
        </w:tc>
        <w:tc>
          <w:tcPr>
            <w:tcW w:w="600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00" w:type="dxa"/>
            <w:vAlign w:val="bottom"/>
            <w:tcBorders>
              <w:right w:val="single" w:sz="8" w:color="auto"/>
            </w:tcBorders>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40" w:type="dxa"/>
            <w:vAlign w:val="bottom"/>
            <w:tcBorders>
              <w:bottom w:val="single" w:sz="8" w:color="auto"/>
              <w:right w:val="single" w:sz="8" w:color="auto"/>
            </w:tcBorders>
          </w:tcPr>
          <w:p>
            <w:pPr>
              <w:spacing w:after="0"/>
              <w:rPr>
                <w:sz w:val="12"/>
                <w:szCs w:val="12"/>
                <w:color w:val="auto"/>
              </w:rPr>
            </w:pPr>
          </w:p>
        </w:tc>
        <w:tc>
          <w:tcPr>
            <w:tcW w:w="7740" w:type="dxa"/>
            <w:vAlign w:val="bottom"/>
            <w:tcBorders>
              <w:bottom w:val="single" w:sz="8" w:color="auto"/>
            </w:tcBorders>
            <w:gridSpan w:val="2"/>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4.6%</w:t>
            </w:r>
          </w:p>
        </w:tc>
        <w:tc>
          <w:tcPr>
            <w:tcW w:w="600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600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0" w:type="dxa"/>
            <w:vAlign w:val="bottom"/>
          </w:tcPr>
          <w:p>
            <w:pPr>
              <w:ind w:left="2140"/>
              <w:spacing w:after="0"/>
              <w:rPr>
                <w:sz w:val="20"/>
                <w:szCs w:val="20"/>
                <w:color w:val="auto"/>
              </w:rPr>
            </w:pPr>
            <w:r>
              <w:rPr>
                <w:rFonts w:ascii="Arial" w:cs="Arial" w:eastAsia="Arial" w:hAnsi="Arial"/>
                <w:sz w:val="18"/>
                <w:szCs w:val="18"/>
                <w:color w:val="auto"/>
              </w:rPr>
              <w:t>2</w:t>
            </w:r>
          </w:p>
        </w:tc>
        <w:tc>
          <w:tcPr>
            <w:tcW w:w="190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032724106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Biotechnology Value Fund II, L.P.</w:t>
            </w: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4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Borders>
              <w:right w:val="single" w:sz="8" w:color="auto"/>
            </w:tcBorders>
          </w:tcPr>
          <w:p>
            <w:pPr>
              <w:ind w:left="66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0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4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40" w:type="dxa"/>
            <w:vAlign w:val="bottom"/>
            <w:tcBorders>
              <w:bottom w:val="single" w:sz="8" w:color="auto"/>
              <w:right w:val="single" w:sz="8" w:color="auto"/>
            </w:tcBorders>
          </w:tcPr>
          <w:p>
            <w:pPr>
              <w:spacing w:after="0"/>
              <w:rPr>
                <w:sz w:val="20"/>
                <w:szCs w:val="20"/>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4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600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2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40" w:type="dxa"/>
            <w:vAlign w:val="bottom"/>
            <w:tcBorders>
              <w:bottom w:val="single" w:sz="8" w:color="auto"/>
              <w:right w:val="single" w:sz="8" w:color="auto"/>
            </w:tcBorders>
          </w:tcPr>
          <w:p>
            <w:pPr>
              <w:spacing w:after="0"/>
              <w:rPr>
                <w:sz w:val="21"/>
                <w:szCs w:val="21"/>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551,019</w:t>
            </w:r>
          </w:p>
        </w:tc>
        <w:tc>
          <w:tcPr>
            <w:tcW w:w="192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551,019</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551,019</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20" w:type="dxa"/>
            <w:vAlign w:val="bottom"/>
            <w:tcBorders>
              <w:right w:val="single" w:sz="8" w:color="auto"/>
            </w:tcBorders>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7740" w:type="dxa"/>
            <w:vAlign w:val="bottom"/>
            <w:tcBorders>
              <w:bottom w:val="single" w:sz="8" w:color="auto"/>
            </w:tcBorders>
            <w:gridSpan w:val="2"/>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2.8%</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0" w:type="dxa"/>
            <w:vAlign w:val="bottom"/>
          </w:tcPr>
          <w:p>
            <w:pPr>
              <w:ind w:left="2160"/>
              <w:spacing w:after="0"/>
              <w:rPr>
                <w:sz w:val="20"/>
                <w:szCs w:val="20"/>
                <w:color w:val="auto"/>
              </w:rPr>
            </w:pPr>
            <w:r>
              <w:rPr>
                <w:rFonts w:ascii="Arial" w:cs="Arial" w:eastAsia="Arial" w:hAnsi="Arial"/>
                <w:sz w:val="18"/>
                <w:szCs w:val="18"/>
                <w:color w:val="auto"/>
              </w:rPr>
              <w:t>3</w:t>
            </w:r>
          </w:p>
        </w:tc>
        <w:tc>
          <w:tcPr>
            <w:tcW w:w="192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032724106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602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8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Biotechnology Value Trading Fund OS LP</w:t>
            </w:r>
          </w:p>
        </w:tc>
        <w:tc>
          <w:tcPr>
            <w:tcW w:w="18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8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860" w:type="dxa"/>
            <w:vAlign w:val="bottom"/>
            <w:tcBorders>
              <w:right w:val="single" w:sz="8" w:color="auto"/>
            </w:tcBorders>
          </w:tcPr>
          <w:p>
            <w:pPr>
              <w:ind w:left="68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6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20" w:type="dxa"/>
            <w:vAlign w:val="bottom"/>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6020" w:type="dxa"/>
            <w:vAlign w:val="bottom"/>
            <w:tcBorders>
              <w:bottom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8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Cayman Islands</w:t>
            </w:r>
          </w:p>
        </w:tc>
        <w:tc>
          <w:tcPr>
            <w:tcW w:w="602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6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02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60" w:type="dxa"/>
            <w:vAlign w:val="bottom"/>
            <w:tcBorders>
              <w:right w:val="single" w:sz="8" w:color="auto"/>
            </w:tcBorders>
          </w:tcPr>
          <w:p>
            <w:pPr>
              <w:spacing w:after="0"/>
              <w:rPr>
                <w:sz w:val="18"/>
                <w:szCs w:val="18"/>
                <w:color w:val="auto"/>
              </w:rPr>
            </w:pPr>
          </w:p>
        </w:tc>
        <w:tc>
          <w:tcPr>
            <w:tcW w:w="6020" w:type="dxa"/>
            <w:vAlign w:val="bottom"/>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60" w:type="dxa"/>
            <w:vAlign w:val="bottom"/>
            <w:tcBorders>
              <w:bottom w:val="single" w:sz="8" w:color="auto"/>
              <w:right w:val="single" w:sz="8" w:color="auto"/>
            </w:tcBorders>
          </w:tcPr>
          <w:p>
            <w:pPr>
              <w:spacing w:after="0"/>
              <w:rPr>
                <w:sz w:val="20"/>
                <w:szCs w:val="20"/>
                <w:color w:val="auto"/>
              </w:rPr>
            </w:pPr>
          </w:p>
        </w:tc>
        <w:tc>
          <w:tcPr>
            <w:tcW w:w="6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86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60" w:type="dxa"/>
            <w:vAlign w:val="bottom"/>
            <w:tcBorders>
              <w:right w:val="single" w:sz="8" w:color="auto"/>
            </w:tcBorders>
          </w:tcPr>
          <w:p>
            <w:pPr>
              <w:ind w:left="820"/>
              <w:spacing w:after="0" w:line="182" w:lineRule="exact"/>
              <w:rPr>
                <w:sz w:val="20"/>
                <w:szCs w:val="20"/>
                <w:color w:val="auto"/>
              </w:rPr>
            </w:pPr>
            <w:r>
              <w:rPr>
                <w:rFonts w:ascii="Arial" w:cs="Arial" w:eastAsia="Arial" w:hAnsi="Arial"/>
                <w:sz w:val="18"/>
                <w:szCs w:val="18"/>
                <w:color w:val="auto"/>
              </w:rPr>
              <w:t>6</w:t>
            </w:r>
          </w:p>
        </w:tc>
        <w:tc>
          <w:tcPr>
            <w:tcW w:w="602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86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60" w:type="dxa"/>
            <w:vAlign w:val="bottom"/>
            <w:tcBorders>
              <w:right w:val="single" w:sz="8" w:color="auto"/>
            </w:tcBorders>
          </w:tcPr>
          <w:p>
            <w:pPr>
              <w:spacing w:after="0"/>
              <w:rPr>
                <w:sz w:val="18"/>
                <w:szCs w:val="18"/>
                <w:color w:val="auto"/>
              </w:rPr>
            </w:pPr>
          </w:p>
        </w:tc>
        <w:tc>
          <w:tcPr>
            <w:tcW w:w="6020" w:type="dxa"/>
            <w:vAlign w:val="bottom"/>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60" w:type="dxa"/>
            <w:vAlign w:val="bottom"/>
            <w:tcBorders>
              <w:bottom w:val="single" w:sz="8" w:color="auto"/>
              <w:right w:val="single" w:sz="8" w:color="auto"/>
            </w:tcBorders>
          </w:tcPr>
          <w:p>
            <w:pPr>
              <w:spacing w:after="0"/>
              <w:rPr>
                <w:sz w:val="21"/>
                <w:szCs w:val="21"/>
                <w:color w:val="auto"/>
              </w:rPr>
            </w:pPr>
          </w:p>
        </w:tc>
        <w:tc>
          <w:tcPr>
            <w:tcW w:w="6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74,064</w:t>
            </w:r>
          </w:p>
        </w:tc>
        <w:tc>
          <w:tcPr>
            <w:tcW w:w="186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0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6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8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0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6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74,064</w:t>
            </w:r>
          </w:p>
        </w:tc>
        <w:tc>
          <w:tcPr>
            <w:tcW w:w="18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8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74,064</w:t>
            </w:r>
          </w:p>
        </w:tc>
        <w:tc>
          <w:tcPr>
            <w:tcW w:w="602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8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60" w:type="dxa"/>
            <w:vAlign w:val="bottom"/>
            <w:tcBorders>
              <w:right w:val="single" w:sz="8" w:color="auto"/>
            </w:tcBorders>
          </w:tcPr>
          <w:p>
            <w:pPr>
              <w:ind w:left="60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40" w:type="dxa"/>
            <w:vAlign w:val="bottom"/>
            <w:tcBorders>
              <w:bottom w:val="single" w:sz="8" w:color="auto"/>
              <w:right w:val="single" w:sz="8" w:color="auto"/>
            </w:tcBorders>
          </w:tcPr>
          <w:p>
            <w:pPr>
              <w:spacing w:after="0"/>
              <w:rPr>
                <w:sz w:val="12"/>
                <w:szCs w:val="12"/>
                <w:color w:val="auto"/>
              </w:rPr>
            </w:pPr>
          </w:p>
        </w:tc>
        <w:tc>
          <w:tcPr>
            <w:tcW w:w="7780" w:type="dxa"/>
            <w:vAlign w:val="bottom"/>
            <w:tcBorders>
              <w:bottom w:val="single" w:sz="8" w:color="auto"/>
            </w:tcBorders>
            <w:gridSpan w:val="2"/>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8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Less than 1%</w:t>
            </w:r>
          </w:p>
        </w:tc>
        <w:tc>
          <w:tcPr>
            <w:tcW w:w="602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8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602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20" w:type="dxa"/>
            <w:vAlign w:val="bottom"/>
          </w:tcPr>
          <w:p>
            <w:pPr>
              <w:ind w:left="2120"/>
              <w:spacing w:after="0"/>
              <w:rPr>
                <w:sz w:val="20"/>
                <w:szCs w:val="20"/>
                <w:color w:val="auto"/>
              </w:rPr>
            </w:pPr>
            <w:r>
              <w:rPr>
                <w:rFonts w:ascii="Arial" w:cs="Arial" w:eastAsia="Arial" w:hAnsi="Arial"/>
                <w:sz w:val="18"/>
                <w:szCs w:val="18"/>
                <w:color w:val="auto"/>
              </w:rPr>
              <w:t>4</w:t>
            </w:r>
          </w:p>
        </w:tc>
        <w:tc>
          <w:tcPr>
            <w:tcW w:w="186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602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032724106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602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8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3"/>
              </w:rPr>
              <w:t>BVF Partners OS Ltd.</w:t>
            </w:r>
          </w:p>
        </w:tc>
        <w:tc>
          <w:tcPr>
            <w:tcW w:w="602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8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860" w:type="dxa"/>
            <w:vAlign w:val="bottom"/>
            <w:tcBorders>
              <w:right w:val="single" w:sz="8" w:color="auto"/>
            </w:tcBorders>
          </w:tcPr>
          <w:p>
            <w:pPr>
              <w:ind w:left="68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6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20" w:type="dxa"/>
            <w:vAlign w:val="bottom"/>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6020" w:type="dxa"/>
            <w:vAlign w:val="bottom"/>
            <w:tcBorders>
              <w:bottom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8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Cayman Islands</w:t>
            </w:r>
          </w:p>
        </w:tc>
        <w:tc>
          <w:tcPr>
            <w:tcW w:w="602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6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02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60" w:type="dxa"/>
            <w:vAlign w:val="bottom"/>
            <w:tcBorders>
              <w:right w:val="single" w:sz="8" w:color="auto"/>
            </w:tcBorders>
          </w:tcPr>
          <w:p>
            <w:pPr>
              <w:spacing w:after="0"/>
              <w:rPr>
                <w:sz w:val="18"/>
                <w:szCs w:val="18"/>
                <w:color w:val="auto"/>
              </w:rPr>
            </w:pPr>
          </w:p>
        </w:tc>
        <w:tc>
          <w:tcPr>
            <w:tcW w:w="6020" w:type="dxa"/>
            <w:vAlign w:val="bottom"/>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60" w:type="dxa"/>
            <w:vAlign w:val="bottom"/>
            <w:tcBorders>
              <w:bottom w:val="single" w:sz="8" w:color="auto"/>
              <w:right w:val="single" w:sz="8" w:color="auto"/>
            </w:tcBorders>
          </w:tcPr>
          <w:p>
            <w:pPr>
              <w:spacing w:after="0"/>
              <w:rPr>
                <w:sz w:val="20"/>
                <w:szCs w:val="20"/>
                <w:color w:val="auto"/>
              </w:rPr>
            </w:pPr>
          </w:p>
        </w:tc>
        <w:tc>
          <w:tcPr>
            <w:tcW w:w="6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86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60" w:type="dxa"/>
            <w:vAlign w:val="bottom"/>
            <w:tcBorders>
              <w:right w:val="single" w:sz="8" w:color="auto"/>
            </w:tcBorders>
          </w:tcPr>
          <w:p>
            <w:pPr>
              <w:ind w:left="820"/>
              <w:spacing w:after="0" w:line="182" w:lineRule="exact"/>
              <w:rPr>
                <w:sz w:val="20"/>
                <w:szCs w:val="20"/>
                <w:color w:val="auto"/>
              </w:rPr>
            </w:pPr>
            <w:r>
              <w:rPr>
                <w:rFonts w:ascii="Arial" w:cs="Arial" w:eastAsia="Arial" w:hAnsi="Arial"/>
                <w:sz w:val="18"/>
                <w:szCs w:val="18"/>
                <w:color w:val="auto"/>
              </w:rPr>
              <w:t>6</w:t>
            </w:r>
          </w:p>
        </w:tc>
        <w:tc>
          <w:tcPr>
            <w:tcW w:w="602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86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60" w:type="dxa"/>
            <w:vAlign w:val="bottom"/>
            <w:tcBorders>
              <w:right w:val="single" w:sz="8" w:color="auto"/>
            </w:tcBorders>
          </w:tcPr>
          <w:p>
            <w:pPr>
              <w:spacing w:after="0"/>
              <w:rPr>
                <w:sz w:val="18"/>
                <w:szCs w:val="18"/>
                <w:color w:val="auto"/>
              </w:rPr>
            </w:pPr>
          </w:p>
        </w:tc>
        <w:tc>
          <w:tcPr>
            <w:tcW w:w="6020" w:type="dxa"/>
            <w:vAlign w:val="bottom"/>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60" w:type="dxa"/>
            <w:vAlign w:val="bottom"/>
            <w:tcBorders>
              <w:bottom w:val="single" w:sz="8" w:color="auto"/>
              <w:right w:val="single" w:sz="8" w:color="auto"/>
            </w:tcBorders>
          </w:tcPr>
          <w:p>
            <w:pPr>
              <w:spacing w:after="0"/>
              <w:rPr>
                <w:sz w:val="21"/>
                <w:szCs w:val="21"/>
                <w:color w:val="auto"/>
              </w:rPr>
            </w:pPr>
          </w:p>
        </w:tc>
        <w:tc>
          <w:tcPr>
            <w:tcW w:w="6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74,064</w:t>
            </w:r>
          </w:p>
        </w:tc>
        <w:tc>
          <w:tcPr>
            <w:tcW w:w="186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0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6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8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0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6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74,064</w:t>
            </w:r>
          </w:p>
        </w:tc>
        <w:tc>
          <w:tcPr>
            <w:tcW w:w="18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8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74,064</w:t>
            </w:r>
          </w:p>
        </w:tc>
        <w:tc>
          <w:tcPr>
            <w:tcW w:w="602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8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60" w:type="dxa"/>
            <w:vAlign w:val="bottom"/>
            <w:tcBorders>
              <w:right w:val="single" w:sz="8" w:color="auto"/>
            </w:tcBorders>
          </w:tcPr>
          <w:p>
            <w:pPr>
              <w:ind w:left="60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40" w:type="dxa"/>
            <w:vAlign w:val="bottom"/>
            <w:tcBorders>
              <w:bottom w:val="single" w:sz="8" w:color="auto"/>
              <w:right w:val="single" w:sz="8" w:color="auto"/>
            </w:tcBorders>
          </w:tcPr>
          <w:p>
            <w:pPr>
              <w:spacing w:after="0"/>
              <w:rPr>
                <w:sz w:val="12"/>
                <w:szCs w:val="12"/>
                <w:color w:val="auto"/>
              </w:rPr>
            </w:pPr>
          </w:p>
        </w:tc>
        <w:tc>
          <w:tcPr>
            <w:tcW w:w="7780" w:type="dxa"/>
            <w:vAlign w:val="bottom"/>
            <w:tcBorders>
              <w:bottom w:val="single" w:sz="8" w:color="auto"/>
            </w:tcBorders>
            <w:gridSpan w:val="2"/>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8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Less than 1%</w:t>
            </w:r>
          </w:p>
        </w:tc>
        <w:tc>
          <w:tcPr>
            <w:tcW w:w="602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8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w:t>
            </w:r>
          </w:p>
        </w:tc>
        <w:tc>
          <w:tcPr>
            <w:tcW w:w="602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20" w:type="dxa"/>
            <w:vAlign w:val="bottom"/>
          </w:tcPr>
          <w:p>
            <w:pPr>
              <w:ind w:left="2120"/>
              <w:spacing w:after="0"/>
              <w:rPr>
                <w:sz w:val="20"/>
                <w:szCs w:val="20"/>
                <w:color w:val="auto"/>
              </w:rPr>
            </w:pPr>
            <w:r>
              <w:rPr>
                <w:rFonts w:ascii="Arial" w:cs="Arial" w:eastAsia="Arial" w:hAnsi="Arial"/>
                <w:sz w:val="18"/>
                <w:szCs w:val="18"/>
                <w:color w:val="auto"/>
              </w:rPr>
              <w:t>5</w:t>
            </w:r>
          </w:p>
        </w:tc>
        <w:tc>
          <w:tcPr>
            <w:tcW w:w="186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602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032724106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00" w:type="dxa"/>
            <w:vAlign w:val="bottom"/>
            <w:tcBorders>
              <w:top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BVF Partners L.P.</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59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2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59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bottom w:val="single" w:sz="8" w:color="auto"/>
              <w:right w:val="single" w:sz="8" w:color="auto"/>
            </w:tcBorders>
          </w:tcPr>
          <w:p>
            <w:pPr>
              <w:spacing w:after="0"/>
              <w:rPr>
                <w:sz w:val="21"/>
                <w:szCs w:val="21"/>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1,904,600</w:t>
            </w:r>
          </w:p>
        </w:tc>
        <w:tc>
          <w:tcPr>
            <w:tcW w:w="198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59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5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1,904,600</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1,904,600</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80" w:type="dxa"/>
            <w:vAlign w:val="bottom"/>
            <w:tcBorders>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7700" w:type="dxa"/>
            <w:vAlign w:val="bottom"/>
            <w:tcBorders>
              <w:bottom w:val="single" w:sz="8" w:color="auto"/>
            </w:tcBorders>
            <w:gridSpan w:val="2"/>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9.6%</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 IA</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80" w:type="dxa"/>
            <w:vAlign w:val="bottom"/>
          </w:tcPr>
          <w:p>
            <w:pPr>
              <w:ind w:left="2200"/>
              <w:spacing w:after="0"/>
              <w:rPr>
                <w:sz w:val="20"/>
                <w:szCs w:val="20"/>
                <w:color w:val="auto"/>
              </w:rPr>
            </w:pPr>
            <w:r>
              <w:rPr>
                <w:rFonts w:ascii="Arial" w:cs="Arial" w:eastAsia="Arial" w:hAnsi="Arial"/>
                <w:sz w:val="18"/>
                <w:szCs w:val="18"/>
                <w:color w:val="auto"/>
              </w:rPr>
              <w:t>6</w:t>
            </w:r>
          </w:p>
        </w:tc>
        <w:tc>
          <w:tcPr>
            <w:tcW w:w="198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032724106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00" w:type="dxa"/>
            <w:vAlign w:val="bottom"/>
            <w:tcBorders>
              <w:top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BVF Inc.</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59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2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59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bottom w:val="single" w:sz="8" w:color="auto"/>
              <w:right w:val="single" w:sz="8" w:color="auto"/>
            </w:tcBorders>
          </w:tcPr>
          <w:p>
            <w:pPr>
              <w:spacing w:after="0"/>
              <w:rPr>
                <w:sz w:val="21"/>
                <w:szCs w:val="21"/>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1,904,600</w:t>
            </w:r>
          </w:p>
        </w:tc>
        <w:tc>
          <w:tcPr>
            <w:tcW w:w="198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59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5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1,904,600</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1,904,600</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80" w:type="dxa"/>
            <w:vAlign w:val="bottom"/>
            <w:tcBorders>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7700" w:type="dxa"/>
            <w:vAlign w:val="bottom"/>
            <w:tcBorders>
              <w:bottom w:val="single" w:sz="8" w:color="auto"/>
            </w:tcBorders>
            <w:gridSpan w:val="2"/>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9.6%</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80" w:type="dxa"/>
            <w:vAlign w:val="bottom"/>
          </w:tcPr>
          <w:p>
            <w:pPr>
              <w:ind w:left="2200"/>
              <w:spacing w:after="0"/>
              <w:rPr>
                <w:sz w:val="20"/>
                <w:szCs w:val="20"/>
                <w:color w:val="auto"/>
              </w:rPr>
            </w:pPr>
            <w:r>
              <w:rPr>
                <w:rFonts w:ascii="Arial" w:cs="Arial" w:eastAsia="Arial" w:hAnsi="Arial"/>
                <w:sz w:val="18"/>
                <w:szCs w:val="18"/>
                <w:color w:val="auto"/>
              </w:rPr>
              <w:t>7</w:t>
            </w:r>
          </w:p>
        </w:tc>
        <w:tc>
          <w:tcPr>
            <w:tcW w:w="198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032724106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00" w:type="dxa"/>
            <w:vAlign w:val="bottom"/>
            <w:tcBorders>
              <w:top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Mark N. Lampert</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59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2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59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bottom w:val="single" w:sz="8" w:color="auto"/>
              <w:right w:val="single" w:sz="8" w:color="auto"/>
            </w:tcBorders>
          </w:tcPr>
          <w:p>
            <w:pPr>
              <w:spacing w:after="0"/>
              <w:rPr>
                <w:sz w:val="21"/>
                <w:szCs w:val="21"/>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1,904,600</w:t>
            </w:r>
          </w:p>
        </w:tc>
        <w:tc>
          <w:tcPr>
            <w:tcW w:w="198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59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5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1,904,600</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1,904,600</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80" w:type="dxa"/>
            <w:vAlign w:val="bottom"/>
            <w:tcBorders>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7700" w:type="dxa"/>
            <w:vAlign w:val="bottom"/>
            <w:tcBorders>
              <w:bottom w:val="single" w:sz="8" w:color="auto"/>
            </w:tcBorders>
            <w:gridSpan w:val="2"/>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9.6%</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80" w:type="dxa"/>
            <w:vAlign w:val="bottom"/>
          </w:tcPr>
          <w:p>
            <w:pPr>
              <w:ind w:left="2200"/>
              <w:spacing w:after="0"/>
              <w:rPr>
                <w:sz w:val="20"/>
                <w:szCs w:val="20"/>
                <w:color w:val="auto"/>
              </w:rPr>
            </w:pPr>
            <w:r>
              <w:rPr>
                <w:rFonts w:ascii="Arial" w:cs="Arial" w:eastAsia="Arial" w:hAnsi="Arial"/>
                <w:sz w:val="18"/>
                <w:szCs w:val="18"/>
                <w:color w:val="auto"/>
              </w:rPr>
              <w:t>8</w:t>
            </w:r>
          </w:p>
        </w:tc>
        <w:tc>
          <w:tcPr>
            <w:tcW w:w="198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032724106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Issuer:</w:t>
            </w:r>
          </w:p>
        </w:tc>
      </w:tr>
      <w:tr>
        <w:trPr>
          <w:trHeight w:val="459"/>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AnaptysBio, Inc., a Delaware corporation (the “Issuer”).</w:t>
            </w: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10421 Pacific Center Court, Suite 200</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Diego, CA 92121</w:t>
            </w:r>
          </w:p>
        </w:tc>
      </w:tr>
      <w:tr>
        <w:trPr>
          <w:trHeight w:val="445"/>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Fund, L.P. (“BVF”)</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Fund II, L.P. (“BVF2”)</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Partners OS Ltd. (“Partners OS”)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Partners L.P. (“Partners”)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1 Sansome Street, 30th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Inc.</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Mark N. Lampert (“Mr. Lampert”)</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United States</w:t>
            </w:r>
          </w:p>
        </w:tc>
      </w:tr>
      <w:tr>
        <w:trPr>
          <w:trHeight w:val="459"/>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tc>
      </w:tr>
      <w:tr>
        <w:trPr>
          <w:trHeight w:val="608"/>
        </w:trPr>
        <w:tc>
          <w:tcPr>
            <w:tcW w:w="1020" w:type="dxa"/>
            <w:vAlign w:val="bottom"/>
          </w:tcPr>
          <w:p>
            <w:pPr>
              <w:spacing w:after="0"/>
              <w:rPr>
                <w:sz w:val="24"/>
                <w:szCs w:val="24"/>
                <w:color w:val="auto"/>
              </w:rPr>
            </w:pPr>
          </w:p>
        </w:tc>
        <w:tc>
          <w:tcPr>
            <w:tcW w:w="10400" w:type="dxa"/>
            <w:vAlign w:val="bottom"/>
          </w:tcPr>
          <w:p>
            <w:pPr>
              <w:ind w:left="4640"/>
              <w:spacing w:after="0"/>
              <w:rPr>
                <w:sz w:val="20"/>
                <w:szCs w:val="20"/>
                <w:color w:val="auto"/>
              </w:rPr>
            </w:pPr>
            <w:r>
              <w:rPr>
                <w:rFonts w:ascii="Arial" w:cs="Arial" w:eastAsia="Arial" w:hAnsi="Arial"/>
                <w:sz w:val="18"/>
                <w:szCs w:val="18"/>
                <w:color w:val="auto"/>
              </w:rPr>
              <w:t>9</w:t>
            </w:r>
          </w:p>
        </w:tc>
      </w:tr>
      <w:tr>
        <w:trPr>
          <w:trHeight w:val="118"/>
        </w:trPr>
        <w:tc>
          <w:tcPr>
            <w:tcW w:w="1020" w:type="dxa"/>
            <w:vAlign w:val="bottom"/>
            <w:tcBorders>
              <w:bottom w:val="single" w:sz="8" w:color="808080"/>
            </w:tcBorders>
          </w:tcPr>
          <w:p>
            <w:pPr>
              <w:spacing w:after="0"/>
              <w:rPr>
                <w:sz w:val="10"/>
                <w:szCs w:val="10"/>
                <w:color w:val="auto"/>
              </w:rPr>
            </w:pPr>
          </w:p>
        </w:tc>
        <w:tc>
          <w:tcPr>
            <w:tcW w:w="10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032724106</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par value $0.001 per share (the “Common Stock”)</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25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032724106</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or (c), Check Whether the Person Filing is a:</w:t>
      </w:r>
    </w:p>
    <w:p>
      <w:pPr>
        <w:spacing w:after="0" w:line="252"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Not applicable.</w:t>
      </w:r>
    </w:p>
    <w:p>
      <w:pPr>
        <w:spacing w:after="0" w:line="252" w:lineRule="exact"/>
        <w:rPr>
          <w:sz w:val="20"/>
          <w:szCs w:val="20"/>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Exchange Act.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Exchange Act.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Exchange Act.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Rule 13d-1(b)(1)(ii)(E).</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Rule 13d-1(b)(1)(ii)(F).</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Rule 13d-1(b)(1)(ii)(G).</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 as defined in Section 3(b) of the Federal Deposit Insurance Act.</w:t>
      </w:r>
    </w:p>
    <w:p>
      <w:pPr>
        <w:spacing w:after="0" w:line="252" w:lineRule="exact"/>
        <w:rPr>
          <w:rFonts w:ascii="Arial" w:cs="Arial" w:eastAsia="Arial" w:hAnsi="Arial"/>
          <w:sz w:val="18"/>
          <w:szCs w:val="18"/>
          <w:color w:val="auto"/>
        </w:rPr>
      </w:pPr>
    </w:p>
    <w:p>
      <w:pPr>
        <w:ind w:left="2600" w:hanging="1295"/>
        <w:spacing w:after="0" w:line="277" w:lineRule="auto"/>
        <w:tabs>
          <w:tab w:leader="none" w:pos="1952" w:val="left"/>
        </w:tabs>
        <w:numPr>
          <w:ilvl w:val="0"/>
          <w:numId w:val="3"/>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Rule 13d-1(b)(1)(ii)(J).</w:t>
      </w:r>
    </w:p>
    <w:p>
      <w:pPr>
        <w:spacing w:after="0" w:line="252" w:lineRule="exact"/>
        <w:rPr>
          <w:rFonts w:ascii="Arial" w:cs="Arial" w:eastAsia="Arial" w:hAnsi="Arial"/>
          <w:sz w:val="18"/>
          <w:szCs w:val="18"/>
          <w:color w:val="auto"/>
        </w:rPr>
      </w:pPr>
    </w:p>
    <w:p>
      <w:pPr>
        <w:ind w:left="2600" w:hanging="1295"/>
        <w:spacing w:after="0" w:line="277" w:lineRule="auto"/>
        <w:tabs>
          <w:tab w:leader="none" w:pos="1952" w:val="left"/>
        </w:tabs>
        <w:numPr>
          <w:ilvl w:val="0"/>
          <w:numId w:val="3"/>
        </w:numPr>
        <w:rPr>
          <w:rFonts w:ascii="Arial" w:cs="Arial" w:eastAsia="Arial" w:hAnsi="Arial"/>
          <w:sz w:val="18"/>
          <w:szCs w:val="18"/>
          <w:color w:val="auto"/>
        </w:rPr>
      </w:pPr>
      <w:r>
        <w:rPr>
          <w:rFonts w:ascii="Arial" w:cs="Arial" w:eastAsia="Arial" w:hAnsi="Arial"/>
          <w:sz w:val="18"/>
          <w:szCs w:val="18"/>
          <w:color w:val="auto"/>
        </w:rPr>
        <w:t>/ /Group, in accordance with Rule 240.13d-1(b)(1)(ii)(K). If filing as a non-U.S. institution in accordance with Rule 240.13d-1(b)(1)(ii)(J), please specify the type of institution: ____</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52"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52" w:lineRule="exact"/>
        <w:rPr>
          <w:rFonts w:ascii="Arial" w:cs="Arial" w:eastAsia="Arial" w:hAnsi="Arial"/>
          <w:sz w:val="18"/>
          <w:szCs w:val="18"/>
          <w:color w:val="auto"/>
        </w:rPr>
      </w:pPr>
    </w:p>
    <w:p>
      <w:pPr>
        <w:ind w:left="1300"/>
        <w:spacing w:after="0" w:line="308" w:lineRule="auto"/>
        <w:rPr>
          <w:rFonts w:ascii="Arial" w:cs="Arial" w:eastAsia="Arial" w:hAnsi="Arial"/>
          <w:sz w:val="18"/>
          <w:szCs w:val="18"/>
          <w:color w:val="auto"/>
        </w:rPr>
      </w:pPr>
      <w:r>
        <w:rPr>
          <w:rFonts w:ascii="Arial" w:cs="Arial" w:eastAsia="Arial" w:hAnsi="Arial"/>
          <w:sz w:val="17"/>
          <w:szCs w:val="17"/>
          <w:color w:val="auto"/>
        </w:rPr>
        <w:t>As of the close of business on February 3, 2017 (i) BVF beneficially owned 907,116 shares of Common Stock, (ii) BVF2 beneficially owned 551,019 shares of Common Stock, and (iii) Trading Fund OS beneficially owned 74,064 shares of Common Stock.</w:t>
      </w:r>
    </w:p>
    <w:p>
      <w:pPr>
        <w:spacing w:after="0" w:line="173"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Partners OS as the general partner of Trading Fund OS may be deemed to beneficially own the 74,064 shares of Common Stock beneficially owned by Trading Fund OS.</w:t>
      </w:r>
    </w:p>
    <w:p>
      <w:pPr>
        <w:spacing w:after="0" w:line="197"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Partners, as the general partner of BVF, BVF2, the investment manager of Trading Fund OS, and the sole member of Partners OS, may be deemed to beneficially own the 1,904,600 shares of Common Stock beneficially owned in the aggregate by BVF, BVF2, Trading Fund OS, and certain Partners Managed accounts (the “Partners Managed Accounts”), including 372,401 shares of Common Stock held in the Partners Managed Accounts.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032724106</w:t>
      </w:r>
    </w:p>
    <w:p>
      <w:pPr>
        <w:spacing w:after="0" w:line="252"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BVF Inc., as the general partner of Partners, may be deemed to beneficially own the 1,904,600 shares of Common Stock beneficially owned by Partners.</w:t>
      </w:r>
    </w:p>
    <w:p>
      <w:pPr>
        <w:spacing w:after="0" w:line="197"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Mr. Lampert, as a director and officer of BVF Inc., may be deemed to beneficially own the 1,904,600 shares of Common Stock beneficially owned by BVF Inc.</w:t>
      </w:r>
    </w:p>
    <w:p>
      <w:pPr>
        <w:spacing w:after="0" w:line="197"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The foregoing should not be construed in and of itself as an admission by any Reporting Person as to beneficial ownership of any shares of Common Stock owned by another Reporting Person. Partners OS disclaims beneficial ownership of the shares of Common Stock beneficially owned by Trading Fund OS. Each of Partners, BVF Inc. and Mr. Lampert disclaims beneficial ownership of the shares of Common Stock beneficially owned by BVF, BVF2, Trading Fund OS, and the Partners Managed Accounts, and the filing of this statement shall not be construed as an admission that any such person or entity is the beneficial owner of any such securities.</w:t>
      </w:r>
    </w:p>
    <w:p>
      <w:pPr>
        <w:spacing w:after="0" w:line="200"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52"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following percentages are based on 19,909,333 shares of Common Stock outstanding as disclosed in the Issuer’s Prospectus on Form 424B4 filed with the Securities and Exchange Commission on January 26, 2017.</w:t>
      </w:r>
    </w:p>
    <w:p>
      <w:pPr>
        <w:spacing w:after="0" w:line="197" w:lineRule="exact"/>
        <w:rPr>
          <w:rFonts w:ascii="Arial" w:cs="Arial" w:eastAsia="Arial" w:hAnsi="Arial"/>
          <w:sz w:val="18"/>
          <w:szCs w:val="18"/>
          <w:color w:val="auto"/>
        </w:rPr>
      </w:pPr>
    </w:p>
    <w:p>
      <w:pPr>
        <w:jc w:val="both"/>
        <w:ind w:left="1300"/>
        <w:spacing w:after="0" w:line="297" w:lineRule="auto"/>
        <w:rPr>
          <w:rFonts w:ascii="Arial" w:cs="Arial" w:eastAsia="Arial" w:hAnsi="Arial"/>
          <w:sz w:val="18"/>
          <w:szCs w:val="18"/>
          <w:color w:val="auto"/>
        </w:rPr>
      </w:pPr>
      <w:r>
        <w:rPr>
          <w:rFonts w:ascii="Arial" w:cs="Arial" w:eastAsia="Arial" w:hAnsi="Arial"/>
          <w:sz w:val="16"/>
          <w:szCs w:val="16"/>
          <w:color w:val="auto"/>
        </w:rPr>
        <w:t>As of the close of business on February 3, 2017 (i) BVF beneficially owned approximately 4.6% of the outstanding shares of Common Stock, (ii) BVF2 beneficially owned approximately 2.8% of the outstanding shares of Common Stock, (iii) Trading Fund OS beneficially owned less than 1% of the outstanding shares of Common Stock (iv) Partners OS may be deemed to beneficially own less than 1% of the outstanding shares of Common Stock, and (v) each of Partners, BVF Inc. and Mr. Lampert may be deemed to beneficially own approximately 9.6% of the outstanding shares of Common Stock (approximately 1.9% of which is held in the Partners Managed Accounts).</w:t>
      </w:r>
    </w:p>
    <w:p>
      <w:pPr>
        <w:spacing w:after="0" w:line="18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sz w:val="20"/>
          <w:szCs w:val="20"/>
          <w:color w:val="auto"/>
        </w:rPr>
      </w:pPr>
    </w:p>
    <w:p>
      <w:pPr>
        <w:ind w:left="1300" w:right="7300" w:hanging="644"/>
        <w:spacing w:after="0" w:line="53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ind w:left="1300" w:right="7120" w:hanging="644"/>
        <w:spacing w:after="0" w:line="53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ind w:left="1300" w:right="6400" w:hanging="644"/>
        <w:spacing w:after="0" w:line="53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ind w:left="1300" w:right="6220" w:hanging="644"/>
        <w:spacing w:after="0" w:line="5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032724106</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Partners, BVF Inc. and Mr. Lampert share voting and dispositive power over the shares of Common Stock beneficially owned by BVF, BVF2, Trading Fund OS, and the Partners Managed Accounts.</w:t>
      </w:r>
    </w:p>
    <w:p>
      <w:pPr>
        <w:spacing w:after="0" w:line="197" w:lineRule="exact"/>
        <w:rPr>
          <w:sz w:val="20"/>
          <w:szCs w:val="20"/>
          <w:color w:val="auto"/>
        </w:rPr>
      </w:pPr>
    </w:p>
    <w:p>
      <w:pPr>
        <w:jc w:val="both"/>
        <w:ind w:left="130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CUSIP NO. 032724106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Dated: February 3, 2017</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20" w:type="dxa"/>
            <w:vAlign w:val="bottom"/>
            <w:gridSpan w:val="3"/>
          </w:tcPr>
          <w:p>
            <w:pPr>
              <w:spacing w:after="0"/>
              <w:rPr>
                <w:sz w:val="20"/>
                <w:szCs w:val="20"/>
                <w:color w:val="auto"/>
              </w:rPr>
            </w:pPr>
            <w:r>
              <w:rPr>
                <w:rFonts w:ascii="Arial" w:cs="Arial" w:eastAsia="Arial" w:hAnsi="Arial"/>
                <w:sz w:val="18"/>
                <w:szCs w:val="18"/>
                <w:color w:val="auto"/>
              </w:rPr>
              <w:t>BIOTECHNOLOGY VALUE FUND, L.P.</w:t>
            </w:r>
          </w:p>
        </w:tc>
        <w:tc>
          <w:tcPr>
            <w:tcW w:w="980" w:type="dxa"/>
            <w:vAlign w:val="bottom"/>
          </w:tcPr>
          <w:p>
            <w:pPr>
              <w:spacing w:after="0"/>
              <w:rPr>
                <w:sz w:val="24"/>
                <w:szCs w:val="24"/>
                <w:color w:val="auto"/>
              </w:rPr>
            </w:pPr>
          </w:p>
        </w:tc>
        <w:tc>
          <w:tcPr>
            <w:tcW w:w="5020" w:type="dxa"/>
            <w:vAlign w:val="bottom"/>
            <w:vMerge w:val="restart"/>
          </w:tcPr>
          <w:p>
            <w:pPr>
              <w:spacing w:after="0"/>
              <w:rPr>
                <w:sz w:val="20"/>
                <w:szCs w:val="20"/>
                <w:color w:val="auto"/>
              </w:rPr>
            </w:pPr>
            <w:r>
              <w:rPr>
                <w:rFonts w:ascii="Arial" w:cs="Arial" w:eastAsia="Arial" w:hAnsi="Arial"/>
                <w:sz w:val="18"/>
                <w:szCs w:val="18"/>
                <w:color w:val="auto"/>
              </w:rPr>
              <w:t>BVF INC.</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BVF Partners L.P., its general partner</w:t>
            </w:r>
          </w:p>
        </w:tc>
        <w:tc>
          <w:tcPr>
            <w:tcW w:w="98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484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6000" w:type="dxa"/>
            <w:vAlign w:val="bottom"/>
            <w:gridSpan w:val="2"/>
          </w:tcPr>
          <w:p>
            <w:pPr>
              <w:ind w:left="560"/>
              <w:spacing w:after="0"/>
              <w:rPr>
                <w:sz w:val="20"/>
                <w:szCs w:val="20"/>
                <w:color w:val="auto"/>
              </w:rPr>
            </w:pPr>
            <w:r>
              <w:rPr>
                <w:rFonts w:ascii="Arial" w:cs="Arial" w:eastAsia="Arial" w:hAnsi="Arial"/>
                <w:sz w:val="18"/>
                <w:szCs w:val="18"/>
                <w:color w:val="auto"/>
              </w:rPr>
              <w:t>By:  /s/ Mark N. Lampert</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N. Lampert</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vMerge w:val="restart"/>
          </w:tcPr>
          <w:p>
            <w:pPr>
              <w:spacing w:after="0"/>
              <w:rPr>
                <w:sz w:val="20"/>
                <w:szCs w:val="20"/>
                <w:color w:val="auto"/>
              </w:rPr>
            </w:pPr>
            <w:r>
              <w:rPr>
                <w:rFonts w:ascii="Arial" w:cs="Arial" w:eastAsia="Arial" w:hAnsi="Arial"/>
                <w:sz w:val="18"/>
                <w:szCs w:val="18"/>
                <w:color w:val="auto"/>
              </w:rPr>
              <w:t>/s/ Mark N. Lampert</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rPr>
              <w:t>BIOTECHNOLOGY VALUE FUND II, L.P.</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MARK N. LAMPERT</w:t>
            </w:r>
          </w:p>
        </w:tc>
        <w:tc>
          <w:tcPr>
            <w:tcW w:w="0" w:type="dxa"/>
            <w:vAlign w:val="bottom"/>
          </w:tcPr>
          <w:p>
            <w:pPr>
              <w:spacing w:after="0"/>
              <w:rPr>
                <w:sz w:val="1"/>
                <w:szCs w:val="1"/>
                <w:color w:val="auto"/>
              </w:rPr>
            </w:pPr>
          </w:p>
        </w:tc>
      </w:tr>
      <w:tr>
        <w:trPr>
          <w:trHeight w:val="202"/>
        </w:trPr>
        <w:tc>
          <w:tcPr>
            <w:tcW w:w="542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Partners L.P., its general partner</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5420" w:type="dxa"/>
            <w:vAlign w:val="bottom"/>
            <w:gridSpan w:val="3"/>
          </w:tcPr>
          <w:p>
            <w:pPr>
              <w:spacing w:after="0"/>
              <w:rPr>
                <w:sz w:val="20"/>
                <w:szCs w:val="20"/>
                <w:color w:val="auto"/>
              </w:rPr>
            </w:pPr>
            <w:r>
              <w:rPr>
                <w:rFonts w:ascii="Arial" w:cs="Arial" w:eastAsia="Arial" w:hAnsi="Arial"/>
                <w:sz w:val="18"/>
                <w:szCs w:val="18"/>
                <w:color w:val="auto"/>
              </w:rPr>
              <w:t>BVF PARTNERS L.P.</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5420" w:type="dxa"/>
            <w:vAlign w:val="bottom"/>
            <w:gridSpan w:val="3"/>
          </w:tcPr>
          <w:p>
            <w:pPr>
              <w:spacing w:after="0"/>
              <w:rPr>
                <w:sz w:val="20"/>
                <w:szCs w:val="20"/>
                <w:color w:val="auto"/>
              </w:rPr>
            </w:pPr>
            <w:r>
              <w:rPr>
                <w:rFonts w:ascii="Arial" w:cs="Arial" w:eastAsia="Arial" w:hAnsi="Arial"/>
                <w:sz w:val="18"/>
                <w:szCs w:val="18"/>
                <w:color w:val="auto"/>
              </w:rPr>
              <w:t>BVF PARTNERS OS LTD.</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Partners L.P., its sole member</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N. Lampert</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TRADING FUND OS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BVF Partners L.P., its investment manager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BVF Inc., its general partner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r>
      <w:tr>
        <w:trPr>
          <w:trHeight w:val="202"/>
        </w:trPr>
        <w:tc>
          <w:tcPr>
            <w:tcW w:w="580" w:type="dxa"/>
            <w:vAlign w:val="bottom"/>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r>
      <w:tr>
        <w:trPr>
          <w:trHeight w:val="230"/>
        </w:trPr>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rFonts w:ascii="Arial" w:cs="Arial" w:eastAsia="Arial" w:hAnsi="Arial"/>
          <w:sz w:val="22"/>
          <w:szCs w:val="22"/>
          <w:color w:val="auto"/>
        </w:rPr>
        <w:t>Exhibit 99.1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agree that the Statement on Schedule 13G dated February 3, 2017 with respect to the shares of Common Stock of AnaptysBio, Inc., and any further amendments thereto executed by each and any of the undersigned shall be filed on behalf of each of the undersigned pursuant to and in accordance with the provisions of Rule 13d-1(k)(1) under the Securities Exchange Act of 1934, as amended.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Dated: February 3, 2017</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20" w:type="dxa"/>
            <w:vAlign w:val="bottom"/>
            <w:gridSpan w:val="3"/>
          </w:tcPr>
          <w:p>
            <w:pPr>
              <w:spacing w:after="0"/>
              <w:rPr>
                <w:sz w:val="20"/>
                <w:szCs w:val="20"/>
                <w:color w:val="auto"/>
              </w:rPr>
            </w:pPr>
            <w:r>
              <w:rPr>
                <w:rFonts w:ascii="Arial" w:cs="Arial" w:eastAsia="Arial" w:hAnsi="Arial"/>
                <w:sz w:val="18"/>
                <w:szCs w:val="18"/>
                <w:color w:val="auto"/>
              </w:rPr>
              <w:t>BIOTECHNOLOGY VALUE FUND, L.P.</w:t>
            </w:r>
          </w:p>
        </w:tc>
        <w:tc>
          <w:tcPr>
            <w:tcW w:w="980" w:type="dxa"/>
            <w:vAlign w:val="bottom"/>
          </w:tcPr>
          <w:p>
            <w:pPr>
              <w:spacing w:after="0"/>
              <w:rPr>
                <w:sz w:val="24"/>
                <w:szCs w:val="24"/>
                <w:color w:val="auto"/>
              </w:rPr>
            </w:pPr>
          </w:p>
        </w:tc>
        <w:tc>
          <w:tcPr>
            <w:tcW w:w="5020" w:type="dxa"/>
            <w:vAlign w:val="bottom"/>
            <w:vMerge w:val="restart"/>
          </w:tcPr>
          <w:p>
            <w:pPr>
              <w:spacing w:after="0"/>
              <w:rPr>
                <w:sz w:val="20"/>
                <w:szCs w:val="20"/>
                <w:color w:val="auto"/>
              </w:rPr>
            </w:pPr>
            <w:r>
              <w:rPr>
                <w:rFonts w:ascii="Arial" w:cs="Arial" w:eastAsia="Arial" w:hAnsi="Arial"/>
                <w:sz w:val="18"/>
                <w:szCs w:val="18"/>
                <w:color w:val="auto"/>
              </w:rPr>
              <w:t>BVF INC.</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BVF Partners L.P., its general partner</w:t>
            </w:r>
          </w:p>
        </w:tc>
        <w:tc>
          <w:tcPr>
            <w:tcW w:w="98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484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6000" w:type="dxa"/>
            <w:vAlign w:val="bottom"/>
            <w:gridSpan w:val="2"/>
          </w:tcPr>
          <w:p>
            <w:pPr>
              <w:ind w:left="560"/>
              <w:spacing w:after="0"/>
              <w:rPr>
                <w:sz w:val="20"/>
                <w:szCs w:val="20"/>
                <w:color w:val="auto"/>
              </w:rPr>
            </w:pPr>
            <w:r>
              <w:rPr>
                <w:rFonts w:ascii="Arial" w:cs="Arial" w:eastAsia="Arial" w:hAnsi="Arial"/>
                <w:sz w:val="18"/>
                <w:szCs w:val="18"/>
                <w:color w:val="auto"/>
              </w:rPr>
              <w:t>By:  /s/ Mark N. Lampert</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N. Lampert</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vMerge w:val="restart"/>
          </w:tcPr>
          <w:p>
            <w:pPr>
              <w:spacing w:after="0"/>
              <w:rPr>
                <w:sz w:val="20"/>
                <w:szCs w:val="20"/>
                <w:color w:val="auto"/>
              </w:rPr>
            </w:pPr>
            <w:r>
              <w:rPr>
                <w:rFonts w:ascii="Arial" w:cs="Arial" w:eastAsia="Arial" w:hAnsi="Arial"/>
                <w:sz w:val="18"/>
                <w:szCs w:val="18"/>
                <w:color w:val="auto"/>
              </w:rPr>
              <w:t>/s/ Mark N. Lampert</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rPr>
              <w:t>BIOTECHNOLOGY VALUE FUND II, L.P.</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MARK N. LAMPERT</w:t>
            </w:r>
          </w:p>
        </w:tc>
        <w:tc>
          <w:tcPr>
            <w:tcW w:w="0" w:type="dxa"/>
            <w:vAlign w:val="bottom"/>
          </w:tcPr>
          <w:p>
            <w:pPr>
              <w:spacing w:after="0"/>
              <w:rPr>
                <w:sz w:val="1"/>
                <w:szCs w:val="1"/>
                <w:color w:val="auto"/>
              </w:rPr>
            </w:pPr>
          </w:p>
        </w:tc>
      </w:tr>
      <w:tr>
        <w:trPr>
          <w:trHeight w:val="202"/>
        </w:trPr>
        <w:tc>
          <w:tcPr>
            <w:tcW w:w="542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Partners L.P., its general partner</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5420" w:type="dxa"/>
            <w:vAlign w:val="bottom"/>
            <w:gridSpan w:val="3"/>
          </w:tcPr>
          <w:p>
            <w:pPr>
              <w:spacing w:after="0"/>
              <w:rPr>
                <w:sz w:val="20"/>
                <w:szCs w:val="20"/>
                <w:color w:val="auto"/>
              </w:rPr>
            </w:pPr>
            <w:r>
              <w:rPr>
                <w:rFonts w:ascii="Arial" w:cs="Arial" w:eastAsia="Arial" w:hAnsi="Arial"/>
                <w:sz w:val="18"/>
                <w:szCs w:val="18"/>
                <w:color w:val="auto"/>
              </w:rPr>
              <w:t>BVF PARTNERS L.P.</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420" w:type="dxa"/>
            <w:vAlign w:val="bottom"/>
            <w:gridSpan w:val="3"/>
          </w:tcPr>
          <w:p>
            <w:pPr>
              <w:spacing w:after="0"/>
              <w:rPr>
                <w:sz w:val="20"/>
                <w:szCs w:val="20"/>
                <w:color w:val="auto"/>
              </w:rPr>
            </w:pPr>
            <w:r>
              <w:rPr>
                <w:rFonts w:ascii="Arial" w:cs="Arial" w:eastAsia="Arial" w:hAnsi="Arial"/>
                <w:sz w:val="18"/>
                <w:szCs w:val="18"/>
                <w:color w:val="auto"/>
              </w:rPr>
              <w:t>BVF PARTNERS OS LTD.</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Partners L.P., its sole member</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N. Lampert</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TRADING FUND OS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BVF Partners L.P., its investment manager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BVF Inc., its general partner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r>
      <w:tr>
        <w:trPr>
          <w:trHeight w:val="202"/>
        </w:trPr>
        <w:tc>
          <w:tcPr>
            <w:tcW w:w="580" w:type="dxa"/>
            <w:vAlign w:val="bottom"/>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r>
      <w:tr>
        <w:trPr>
          <w:trHeight w:val="230"/>
        </w:trPr>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 w:lineRule="exact"/>
        <w:rPr>
          <w:sz w:val="20"/>
          <w:szCs w:val="20"/>
          <w:color w:val="auto"/>
        </w:rPr>
      </w:pP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2019-12-07T03:16:25Z</dcterms:created>
  <dcterms:modified xsi:type="dcterms:W3CDTF">2019-12-07T03:16:25Z</dcterms:modified>
</cp:coreProperties>
</file>