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 PURSUANT TO</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SECTION 13 OR 15(d) OF THE SECURITIES EXCHANGE ACT OF 1934</w:t>
      </w:r>
    </w:p>
    <w:p>
      <w:pPr>
        <w:spacing w:after="0" w:line="232" w:lineRule="exact"/>
        <w:rPr>
          <w:sz w:val="24"/>
          <w:szCs w:val="24"/>
          <w:color w:val="auto"/>
        </w:rPr>
      </w:pPr>
    </w:p>
    <w:p>
      <w:pPr>
        <w:ind w:left="4340"/>
        <w:spacing w:after="0"/>
        <w:rPr>
          <w:sz w:val="20"/>
          <w:szCs w:val="20"/>
          <w:color w:val="auto"/>
        </w:rPr>
      </w:pPr>
      <w:r>
        <w:rPr>
          <w:rFonts w:ascii="Arial" w:cs="Arial" w:eastAsia="Arial" w:hAnsi="Arial"/>
          <w:sz w:val="20"/>
          <w:szCs w:val="20"/>
          <w:b w:val="1"/>
          <w:bCs w:val="1"/>
          <w:color w:val="auto"/>
        </w:rPr>
        <w:t>Date of Report: March 8, 2021</w:t>
      </w:r>
    </w:p>
    <w:p>
      <w:pPr>
        <w:spacing w:after="0" w:line="22" w:lineRule="exact"/>
        <w:rPr>
          <w:sz w:val="24"/>
          <w:szCs w:val="24"/>
          <w:color w:val="auto"/>
        </w:rPr>
      </w:pPr>
    </w:p>
    <w:p>
      <w:pPr>
        <w:ind w:left="4360"/>
        <w:spacing w:after="0"/>
        <w:rPr>
          <w:sz w:val="20"/>
          <w:szCs w:val="20"/>
          <w:color w:val="auto"/>
        </w:rPr>
      </w:pPr>
      <w:r>
        <w:rPr>
          <w:rFonts w:ascii="Arial" w:cs="Arial" w:eastAsia="Arial" w:hAnsi="Arial"/>
          <w:sz w:val="20"/>
          <w:szCs w:val="20"/>
          <w:color w:val="auto"/>
        </w:rPr>
        <w:t>(Date of earliest event reported)</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13"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2040"/>
        <w:spacing w:after="0"/>
        <w:rPr>
          <w:sz w:val="20"/>
          <w:szCs w:val="20"/>
          <w:color w:val="auto"/>
        </w:rPr>
      </w:pPr>
      <w:r>
        <w:rPr>
          <w:rFonts w:ascii="Arial" w:cs="Arial" w:eastAsia="Arial" w:hAnsi="Arial"/>
          <w:sz w:val="16"/>
          <w:szCs w:val="16"/>
          <w:b w:val="1"/>
          <w:bCs w:val="1"/>
          <w:color w:val="auto"/>
        </w:rPr>
        <w:t>001-37985</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71" w:lineRule="exact"/>
        <w:rPr>
          <w:sz w:val="24"/>
          <w:szCs w:val="24"/>
          <w:color w:val="auto"/>
        </w:rPr>
      </w:pPr>
    </w:p>
    <w:p>
      <w:pPr>
        <w:sectPr>
          <w:pgSz w:w="11900" w:h="16838" w:orient="portrait"/>
          <w:cols w:equalWidth="0" w:num="3">
            <w:col w:w="4480" w:space="720"/>
            <w:col w:w="2900" w:space="720"/>
            <w:col w:w="2420"/>
          </w:cols>
          <w:pgMar w:left="320" w:top="1440" w:right="339" w:bottom="1440" w:gutter="0" w:footer="0" w:header="0"/>
          <w:type w:val="continuous"/>
        </w:sectPr>
      </w:pPr>
    </w:p>
    <w:p>
      <w:pPr>
        <w:ind w:left="18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820" w:space="720"/>
            <w:col w:w="2660" w:space="720"/>
            <w:col w:w="3320"/>
          </w:cols>
          <w:pgMar w:left="320" w:top="1440" w:right="339" w:bottom="1440" w:gutter="0" w:footer="0" w:header="0"/>
          <w:type w:val="continuous"/>
        </w:sectPr>
      </w:pP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10421 Pacific Center Court, Suite 200</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San Diego, CA 92121</w:t>
      </w:r>
    </w:p>
    <w:p>
      <w:pPr>
        <w:jc w:val="center"/>
        <w:spacing w:after="0"/>
        <w:rPr>
          <w:sz w:val="20"/>
          <w:szCs w:val="20"/>
          <w:color w:val="auto"/>
        </w:rPr>
      </w:pPr>
      <w:r>
        <w:rPr>
          <w:rFonts w:ascii="Arial" w:cs="Arial" w:eastAsia="Arial" w:hAnsi="Arial"/>
          <w:sz w:val="13"/>
          <w:szCs w:val="13"/>
          <w:color w:val="auto"/>
        </w:rPr>
        <w:t>(Address of Principal Executive Offices, and Zip Code)</w:t>
      </w:r>
    </w:p>
    <w:p>
      <w:pPr>
        <w:sectPr>
          <w:pgSz w:w="11900" w:h="16838" w:orient="portrait"/>
          <w:cols w:equalWidth="0" w:num="1">
            <w:col w:w="11240"/>
          </w:cols>
          <w:pgMar w:left="320" w:top="1440" w:right="339" w:bottom="1440" w:gutter="0" w:footer="0" w:header="0"/>
          <w:type w:val="continuous"/>
        </w:sect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(858) 362-6295</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(Registrant’s Telephone Number, Including Area Code)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72" w:lineRule="exact"/>
        <w:rPr>
          <w:sz w:val="24"/>
          <w:szCs w:val="24"/>
          <w:color w:val="auto"/>
        </w:rPr>
      </w:pPr>
    </w:p>
    <w:p>
      <w:pPr>
        <w:ind w:right="680"/>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communications pursuant to Rule 425 under the Securities Act (17 CFR 230.425)</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210" w:type="dxa"/>
        <w:tblCellMar>
          <w:top w:w="0" w:type="dxa"/>
          <w:left w:w="0" w:type="dxa"/>
          <w:bottom w:w="0" w:type="dxa"/>
          <w:right w:w="0" w:type="dxa"/>
        </w:tblCellMar>
      </w:tblPr>
      <w:tr>
        <w:trPr>
          <w:trHeight w:val="244"/>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24"/>
        </w:trPr>
        <w:tc>
          <w:tcPr>
            <w:tcW w:w="3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4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bl>
    <w:p>
      <w:pPr>
        <w:spacing w:after="0" w:line="32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879475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Arial" w:cs="Arial" w:eastAsia="Arial" w:hAnsi="Arial"/>
          <w:sz w:val="20"/>
          <w:szCs w:val="20"/>
          <w:b w:val="1"/>
          <w:bCs w:val="1"/>
          <w:color w:val="auto"/>
        </w:rPr>
        <w:t>Item 7.01</w:t>
      </w:r>
      <w:r>
        <w:rPr>
          <w:sz w:val="20"/>
          <w:szCs w:val="20"/>
          <w:color w:val="auto"/>
        </w:rPr>
        <w:tab/>
      </w:r>
      <w:r>
        <w:rPr>
          <w:rFonts w:ascii="Arial" w:cs="Arial" w:eastAsia="Arial" w:hAnsi="Arial"/>
          <w:sz w:val="18"/>
          <w:szCs w:val="18"/>
          <w:b w:val="1"/>
          <w:bCs w:val="1"/>
          <w:color w:val="auto"/>
        </w:rPr>
        <w:t>Regulation FD.</w:t>
      </w:r>
    </w:p>
    <w:p>
      <w:pPr>
        <w:spacing w:after="0" w:line="235" w:lineRule="exact"/>
        <w:rPr>
          <w:sz w:val="20"/>
          <w:szCs w:val="20"/>
          <w:color w:val="auto"/>
        </w:rPr>
      </w:pPr>
    </w:p>
    <w:p>
      <w:pPr>
        <w:ind w:right="40"/>
        <w:spacing w:after="0" w:line="254" w:lineRule="auto"/>
        <w:rPr>
          <w:sz w:val="20"/>
          <w:szCs w:val="20"/>
          <w:color w:val="auto"/>
        </w:rPr>
      </w:pPr>
      <w:r>
        <w:rPr>
          <w:rFonts w:ascii="Arial" w:cs="Arial" w:eastAsia="Arial" w:hAnsi="Arial"/>
          <w:sz w:val="19"/>
          <w:szCs w:val="19"/>
          <w:color w:val="auto"/>
        </w:rPr>
        <w:t>On March 8, 2021, AnaptysBio issued a press release announcing that top-line data from its Phase 2 clinical trial of imsidolimab for the treatment of moderate-to-severe palmoplantar pustulosis (PPP), also known as the POPLAR trial, failed to meet its primary endpoint. A copy of the press release is furnished as Exhibit 99.1 to this report and incorporated herein by reference.</w:t>
      </w:r>
    </w:p>
    <w:p>
      <w:pPr>
        <w:spacing w:after="0" w:line="197" w:lineRule="exact"/>
        <w:rPr>
          <w:sz w:val="20"/>
          <w:szCs w:val="20"/>
          <w:color w:val="auto"/>
        </w:rPr>
      </w:pPr>
    </w:p>
    <w:p>
      <w:pPr>
        <w:ind w:right="60"/>
        <w:spacing w:after="0" w:line="230" w:lineRule="auto"/>
        <w:rPr>
          <w:sz w:val="20"/>
          <w:szCs w:val="20"/>
          <w:color w:val="auto"/>
        </w:rPr>
      </w:pPr>
      <w:r>
        <w:rPr>
          <w:rFonts w:ascii="Arial" w:cs="Arial" w:eastAsia="Arial" w:hAnsi="Arial"/>
          <w:sz w:val="20"/>
          <w:szCs w:val="20"/>
          <w:color w:val="auto"/>
        </w:rPr>
        <w:t>The information within this report, including Exhibit 99.1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report and in the accompanying exhibits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spacing w:after="0" w:line="206"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940" w:type="dxa"/>
            <w:vAlign w:val="bottom"/>
          </w:tcPr>
          <w:p>
            <w:pPr>
              <w:spacing w:after="0"/>
              <w:rPr>
                <w:sz w:val="20"/>
                <w:szCs w:val="20"/>
                <w:color w:val="auto"/>
              </w:rPr>
            </w:pPr>
            <w:r>
              <w:rPr>
                <w:rFonts w:ascii="Arial" w:cs="Arial" w:eastAsia="Arial" w:hAnsi="Arial"/>
                <w:sz w:val="20"/>
                <w:szCs w:val="20"/>
                <w:color w:val="auto"/>
              </w:rPr>
              <w:t>(d) Exhibits</w:t>
            </w:r>
          </w:p>
        </w:tc>
        <w:tc>
          <w:tcPr>
            <w:tcW w:w="9300" w:type="dxa"/>
            <w:vAlign w:val="bottom"/>
          </w:tcPr>
          <w:p>
            <w:pPr>
              <w:spacing w:after="0"/>
              <w:rPr>
                <w:sz w:val="21"/>
                <w:szCs w:val="21"/>
                <w:color w:val="auto"/>
              </w:rPr>
            </w:pPr>
          </w:p>
        </w:tc>
      </w:tr>
      <w:tr>
        <w:trPr>
          <w:trHeight w:val="513"/>
        </w:trPr>
        <w:tc>
          <w:tcPr>
            <w:tcW w:w="1940" w:type="dxa"/>
            <w:vAlign w:val="bottom"/>
          </w:tcPr>
          <w:p>
            <w:pPr>
              <w:ind w:left="20"/>
              <w:spacing w:after="0"/>
              <w:rPr>
                <w:sz w:val="20"/>
                <w:szCs w:val="20"/>
                <w:color w:val="auto"/>
              </w:rPr>
            </w:pPr>
            <w:r>
              <w:rPr>
                <w:rFonts w:ascii="Arial" w:cs="Arial" w:eastAsia="Arial" w:hAnsi="Arial"/>
                <w:sz w:val="20"/>
                <w:szCs w:val="20"/>
                <w:b w:val="1"/>
                <w:bCs w:val="1"/>
                <w:color w:val="auto"/>
              </w:rPr>
              <w:t>Exhibit Number</w:t>
            </w:r>
          </w:p>
        </w:tc>
        <w:tc>
          <w:tcPr>
            <w:tcW w:w="9300" w:type="dxa"/>
            <w:vAlign w:val="bottom"/>
          </w:tcPr>
          <w:p>
            <w:pPr>
              <w:ind w:left="520"/>
              <w:spacing w:after="0"/>
              <w:rPr>
                <w:sz w:val="20"/>
                <w:szCs w:val="20"/>
                <w:color w:val="auto"/>
              </w:rPr>
            </w:pPr>
            <w:r>
              <w:rPr>
                <w:rFonts w:ascii="Arial" w:cs="Arial" w:eastAsia="Arial" w:hAnsi="Arial"/>
                <w:sz w:val="20"/>
                <w:szCs w:val="20"/>
                <w:b w:val="1"/>
                <w:bCs w:val="1"/>
                <w:color w:val="auto"/>
              </w:rPr>
              <w:t>Exhibit Title or Description</w:t>
            </w:r>
          </w:p>
        </w:tc>
      </w:tr>
      <w:tr>
        <w:trPr>
          <w:trHeight w:val="236"/>
        </w:trPr>
        <w:tc>
          <w:tcPr>
            <w:tcW w:w="1940" w:type="dxa"/>
            <w:vAlign w:val="bottom"/>
          </w:tcPr>
          <w:p>
            <w:pPr>
              <w:ind w:left="20"/>
              <w:spacing w:after="0"/>
              <w:rPr>
                <w:rFonts w:ascii="Arial" w:cs="Arial" w:eastAsia="Arial" w:hAnsi="Arial"/>
                <w:sz w:val="20"/>
                <w:szCs w:val="20"/>
                <w:u w:val="single" w:color="auto"/>
                <w:color w:val="0000FF"/>
              </w:rPr>
            </w:pPr>
            <w:hyperlink w:anchor="page4">
              <w:r>
                <w:rPr>
                  <w:rFonts w:ascii="Arial" w:cs="Arial" w:eastAsia="Arial" w:hAnsi="Arial"/>
                  <w:sz w:val="20"/>
                  <w:szCs w:val="20"/>
                  <w:u w:val="single" w:color="auto"/>
                  <w:color w:val="0000FF"/>
                </w:rPr>
                <w:t>99.1</w:t>
              </w:r>
            </w:hyperlink>
          </w:p>
        </w:tc>
        <w:tc>
          <w:tcPr>
            <w:tcW w:w="9300" w:type="dxa"/>
            <w:vAlign w:val="bottom"/>
          </w:tcPr>
          <w:p>
            <w:pPr>
              <w:ind w:left="520"/>
              <w:spacing w:after="0"/>
              <w:rPr>
                <w:sz w:val="20"/>
                <w:szCs w:val="20"/>
                <w:color w:val="auto"/>
              </w:rPr>
            </w:pPr>
            <w:r>
              <w:rPr>
                <w:rFonts w:ascii="Arial" w:cs="Arial" w:eastAsia="Arial" w:hAnsi="Arial"/>
                <w:sz w:val="20"/>
                <w:szCs w:val="20"/>
                <w:color w:val="auto"/>
                <w:w w:val="95"/>
              </w:rPr>
              <w:t>Press release issued by AnaptysBio, Inc. regarding its imsidolimab POPLAR Phase 2 clinical trial, dated</w:t>
            </w:r>
          </w:p>
        </w:tc>
      </w:tr>
      <w:tr>
        <w:trPr>
          <w:trHeight w:val="250"/>
        </w:trPr>
        <w:tc>
          <w:tcPr>
            <w:tcW w:w="1940" w:type="dxa"/>
            <w:vAlign w:val="bottom"/>
          </w:tcPr>
          <w:p>
            <w:pPr>
              <w:spacing w:after="0"/>
              <w:rPr>
                <w:sz w:val="21"/>
                <w:szCs w:val="21"/>
                <w:color w:val="auto"/>
              </w:rPr>
            </w:pPr>
          </w:p>
        </w:tc>
        <w:tc>
          <w:tcPr>
            <w:tcW w:w="9300" w:type="dxa"/>
            <w:vAlign w:val="bottom"/>
          </w:tcPr>
          <w:p>
            <w:pPr>
              <w:ind w:left="520"/>
              <w:spacing w:after="0"/>
              <w:rPr>
                <w:sz w:val="20"/>
                <w:szCs w:val="20"/>
                <w:color w:val="auto"/>
              </w:rPr>
            </w:pPr>
            <w:r>
              <w:rPr>
                <w:rFonts w:ascii="Arial" w:cs="Arial" w:eastAsia="Arial" w:hAnsi="Arial"/>
                <w:sz w:val="20"/>
                <w:szCs w:val="20"/>
                <w:color w:val="auto"/>
              </w:rPr>
              <w:t>March 8, 2021</w:t>
            </w:r>
          </w:p>
        </w:tc>
      </w:tr>
      <w:tr>
        <w:trPr>
          <w:trHeight w:val="722"/>
        </w:trPr>
        <w:tc>
          <w:tcPr>
            <w:tcW w:w="1940" w:type="dxa"/>
            <w:vAlign w:val="bottom"/>
          </w:tcPr>
          <w:p>
            <w:pPr>
              <w:ind w:left="20"/>
              <w:spacing w:after="0"/>
              <w:rPr>
                <w:sz w:val="20"/>
                <w:szCs w:val="20"/>
                <w:color w:val="auto"/>
              </w:rPr>
            </w:pPr>
            <w:r>
              <w:rPr>
                <w:rFonts w:ascii="Arial" w:cs="Arial" w:eastAsia="Arial" w:hAnsi="Arial"/>
                <w:sz w:val="20"/>
                <w:szCs w:val="20"/>
                <w:color w:val="auto"/>
              </w:rPr>
              <w:t>104</w:t>
            </w:r>
          </w:p>
        </w:tc>
        <w:tc>
          <w:tcPr>
            <w:tcW w:w="9300" w:type="dxa"/>
            <w:vAlign w:val="bottom"/>
          </w:tcPr>
          <w:p>
            <w:pPr>
              <w:ind w:left="520"/>
              <w:spacing w:after="0"/>
              <w:rPr>
                <w:sz w:val="20"/>
                <w:szCs w:val="20"/>
                <w:color w:val="auto"/>
              </w:rPr>
            </w:pPr>
            <w:r>
              <w:rPr>
                <w:rFonts w:ascii="Arial" w:cs="Arial" w:eastAsia="Arial" w:hAnsi="Arial"/>
                <w:sz w:val="20"/>
                <w:szCs w:val="20"/>
                <w:color w:val="auto"/>
              </w:rPr>
              <w:t>Cover Page Interactive Data File (the cover page XBRL tags are embedded within the inline XBRL</w:t>
            </w:r>
          </w:p>
        </w:tc>
      </w:tr>
      <w:tr>
        <w:trPr>
          <w:trHeight w:val="250"/>
        </w:trPr>
        <w:tc>
          <w:tcPr>
            <w:tcW w:w="1940" w:type="dxa"/>
            <w:vAlign w:val="bottom"/>
          </w:tcPr>
          <w:p>
            <w:pPr>
              <w:spacing w:after="0"/>
              <w:rPr>
                <w:sz w:val="21"/>
                <w:szCs w:val="21"/>
                <w:color w:val="auto"/>
              </w:rPr>
            </w:pPr>
          </w:p>
        </w:tc>
        <w:tc>
          <w:tcPr>
            <w:tcW w:w="9300" w:type="dxa"/>
            <w:vAlign w:val="bottom"/>
          </w:tcPr>
          <w:p>
            <w:pPr>
              <w:ind w:left="520"/>
              <w:spacing w:after="0"/>
              <w:rPr>
                <w:sz w:val="20"/>
                <w:szCs w:val="20"/>
                <w:color w:val="auto"/>
              </w:rPr>
            </w:pPr>
            <w:r>
              <w:rPr>
                <w:rFonts w:ascii="Arial" w:cs="Arial" w:eastAsia="Arial" w:hAnsi="Arial"/>
                <w:sz w:val="20"/>
                <w:szCs w:val="20"/>
                <w:color w:val="auto"/>
              </w:rPr>
              <w:t>document).</w:t>
            </w:r>
          </w:p>
        </w:tc>
      </w:tr>
      <w:tr>
        <w:trPr>
          <w:trHeight w:val="880"/>
        </w:trPr>
        <w:tc>
          <w:tcPr>
            <w:tcW w:w="1940" w:type="dxa"/>
            <w:vAlign w:val="bottom"/>
            <w:tcBorders>
              <w:bottom w:val="single" w:sz="8" w:color="9A9A9A"/>
            </w:tcBorders>
          </w:tcPr>
          <w:p>
            <w:pPr>
              <w:spacing w:after="0"/>
              <w:rPr>
                <w:sz w:val="24"/>
                <w:szCs w:val="24"/>
                <w:color w:val="auto"/>
              </w:rPr>
            </w:pPr>
          </w:p>
        </w:tc>
        <w:tc>
          <w:tcPr>
            <w:tcW w:w="9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1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8"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AnaptysBio, Inc.</w:t>
      </w:r>
    </w:p>
    <w:p>
      <w:pPr>
        <w:spacing w:after="0" w:line="20" w:lineRule="exact"/>
        <w:rPr>
          <w:sz w:val="20"/>
          <w:szCs w:val="20"/>
          <w:color w:val="auto"/>
        </w:rPr>
      </w:pPr>
    </w:p>
    <w:p>
      <w:pPr>
        <w:ind w:left="20"/>
        <w:spacing w:after="0"/>
        <w:tabs>
          <w:tab w:leader="none" w:pos="4220" w:val="left"/>
          <w:tab w:leader="none" w:pos="4780" w:val="left"/>
        </w:tabs>
        <w:rPr>
          <w:sz w:val="20"/>
          <w:szCs w:val="20"/>
          <w:color w:val="auto"/>
        </w:rPr>
      </w:pPr>
      <w:r>
        <w:rPr>
          <w:rFonts w:ascii="Arial" w:cs="Arial" w:eastAsia="Arial" w:hAnsi="Arial"/>
          <w:sz w:val="20"/>
          <w:szCs w:val="20"/>
          <w:color w:val="auto"/>
        </w:rPr>
        <w:t>Date: March 8, 2021</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Eric Loumeau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5715</wp:posOffset>
            </wp:positionV>
            <wp:extent cx="40976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ind w:left="4800"/>
        <w:spacing w:after="0"/>
        <w:rPr>
          <w:sz w:val="20"/>
          <w:szCs w:val="20"/>
          <w:color w:val="auto"/>
        </w:rPr>
      </w:pPr>
      <w:r>
        <w:rPr>
          <w:rFonts w:ascii="Arial" w:cs="Arial" w:eastAsia="Arial" w:hAnsi="Arial"/>
          <w:sz w:val="20"/>
          <w:szCs w:val="20"/>
          <w:color w:val="auto"/>
        </w:rPr>
        <w:t>Name: Eric Loumeau</w:t>
      </w:r>
    </w:p>
    <w:p>
      <w:pPr>
        <w:spacing w:after="0" w:line="20"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Title: Chief Operating Officer and General Counsel</w:t>
      </w:r>
    </w:p>
    <w:p>
      <w:pPr>
        <w:sectPr>
          <w:pgSz w:w="11900" w:h="16838" w:orient="portrait"/>
          <w:cols w:equalWidth="0" w:num="1">
            <w:col w:w="11240"/>
          </w:cols>
          <w:pgMar w:left="320" w:top="1413" w:right="339" w:bottom="1440" w:gutter="0" w:footer="0" w:header="0"/>
        </w:sectPr>
      </w:pPr>
    </w:p>
    <w:bookmarkStart w:id="3" w:name="page4"/>
    <w:bookmarkEnd w:id="3"/>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5900420</wp:posOffset>
            </wp:positionH>
            <wp:positionV relativeFrom="page">
              <wp:posOffset>88900</wp:posOffset>
            </wp:positionV>
            <wp:extent cx="1440180" cy="34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42900"/>
                    </a:xfrm>
                    <a:prstGeom prst="rect">
                      <a:avLst/>
                    </a:prstGeom>
                    <a:noFill/>
                  </pic:spPr>
                </pic:pic>
              </a:graphicData>
            </a:graphic>
          </wp:anchor>
        </w:drawing>
      </w:r>
    </w:p>
    <w:p>
      <w:pPr>
        <w:jc w:val="center"/>
        <w:ind w:left="380" w:right="120"/>
        <w:spacing w:after="0" w:line="250" w:lineRule="auto"/>
        <w:rPr>
          <w:sz w:val="20"/>
          <w:szCs w:val="20"/>
          <w:color w:val="auto"/>
        </w:rPr>
      </w:pPr>
      <w:r>
        <w:rPr>
          <w:rFonts w:ascii="Arial" w:cs="Arial" w:eastAsia="Arial" w:hAnsi="Arial"/>
          <w:sz w:val="29"/>
          <w:szCs w:val="29"/>
          <w:b w:val="1"/>
          <w:bCs w:val="1"/>
          <w:color w:val="auto"/>
        </w:rPr>
        <w:t>AnaptysBio Reports Imsidolimab POPLAR Phase 2 Clinical Trial in Moderate-to-Severe Palmoplantar Pustulosis (PPP) Did Not Meet Primary Endpoint</w:t>
      </w:r>
    </w:p>
    <w:p>
      <w:pPr>
        <w:spacing w:after="0" w:line="200" w:lineRule="exact"/>
        <w:rPr>
          <w:sz w:val="20"/>
          <w:szCs w:val="20"/>
          <w:color w:val="auto"/>
        </w:rPr>
      </w:pPr>
    </w:p>
    <w:p>
      <w:pPr>
        <w:spacing w:after="0" w:line="344" w:lineRule="exact"/>
        <w:rPr>
          <w:sz w:val="20"/>
          <w:szCs w:val="20"/>
          <w:color w:val="auto"/>
        </w:rPr>
      </w:pPr>
    </w:p>
    <w:p>
      <w:pPr>
        <w:ind w:left="660" w:right="340" w:hanging="328"/>
        <w:spacing w:after="0" w:line="251" w:lineRule="auto"/>
        <w:tabs>
          <w:tab w:leader="none" w:pos="655" w:val="left"/>
        </w:tabs>
        <w:numPr>
          <w:ilvl w:val="0"/>
          <w:numId w:val="1"/>
        </w:numPr>
        <w:rPr>
          <w:rFonts w:ascii="Arial" w:cs="Arial" w:eastAsia="Arial" w:hAnsi="Arial"/>
          <w:sz w:val="22"/>
          <w:szCs w:val="22"/>
          <w:color w:val="auto"/>
        </w:rPr>
      </w:pPr>
      <w:r>
        <w:rPr>
          <w:rFonts w:ascii="Arial" w:cs="Arial" w:eastAsia="Arial" w:hAnsi="Arial"/>
          <w:sz w:val="22"/>
          <w:szCs w:val="22"/>
          <w:color w:val="auto"/>
        </w:rPr>
        <w:t>Imsidolimab treatment did not demonstrate statistically significant improvement over placebo in PPPASI change from baseline at week 16 primary endpoint</w:t>
      </w:r>
    </w:p>
    <w:p>
      <w:pPr>
        <w:spacing w:after="0" w:line="1" w:lineRule="exact"/>
        <w:rPr>
          <w:rFonts w:ascii="Arial" w:cs="Arial" w:eastAsia="Arial" w:hAnsi="Arial"/>
          <w:sz w:val="22"/>
          <w:szCs w:val="22"/>
          <w:color w:val="auto"/>
        </w:rPr>
      </w:pPr>
    </w:p>
    <w:p>
      <w:pPr>
        <w:ind w:left="660" w:right="340" w:hanging="328"/>
        <w:spacing w:after="0" w:line="243" w:lineRule="auto"/>
        <w:tabs>
          <w:tab w:leader="none" w:pos="655" w:val="left"/>
        </w:tabs>
        <w:numPr>
          <w:ilvl w:val="0"/>
          <w:numId w:val="1"/>
        </w:numPr>
        <w:rPr>
          <w:rFonts w:ascii="Arial" w:cs="Arial" w:eastAsia="Arial" w:hAnsi="Arial"/>
          <w:sz w:val="22"/>
          <w:szCs w:val="22"/>
          <w:color w:val="auto"/>
        </w:rPr>
      </w:pPr>
      <w:r>
        <w:rPr>
          <w:rFonts w:ascii="Arial" w:cs="Arial" w:eastAsia="Arial" w:hAnsi="Arial"/>
          <w:sz w:val="22"/>
          <w:szCs w:val="22"/>
          <w:color w:val="auto"/>
        </w:rPr>
        <w:t>Imsidolimab was generally well tolerated and no serious or severe adverse events were reported in the drug arm of the trial</w:t>
      </w:r>
    </w:p>
    <w:p>
      <w:pPr>
        <w:ind w:left="660" w:hanging="32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AnaptysBio does not currently plan to conduct further clinical development in PPP</w:t>
      </w:r>
    </w:p>
    <w:p>
      <w:pPr>
        <w:spacing w:after="0" w:line="3" w:lineRule="exact"/>
        <w:rPr>
          <w:rFonts w:ascii="Arial" w:cs="Arial" w:eastAsia="Arial" w:hAnsi="Arial"/>
          <w:sz w:val="22"/>
          <w:szCs w:val="22"/>
          <w:color w:val="auto"/>
        </w:rPr>
      </w:pPr>
    </w:p>
    <w:p>
      <w:pPr>
        <w:ind w:left="660" w:right="500" w:hanging="328"/>
        <w:spacing w:after="0" w:line="246" w:lineRule="auto"/>
        <w:tabs>
          <w:tab w:leader="none" w:pos="655" w:val="left"/>
        </w:tabs>
        <w:numPr>
          <w:ilvl w:val="0"/>
          <w:numId w:val="1"/>
        </w:numPr>
        <w:rPr>
          <w:rFonts w:ascii="Arial" w:cs="Arial" w:eastAsia="Arial" w:hAnsi="Arial"/>
          <w:sz w:val="22"/>
          <w:szCs w:val="22"/>
          <w:color w:val="auto"/>
        </w:rPr>
      </w:pPr>
      <w:r>
        <w:rPr>
          <w:rFonts w:ascii="Arial" w:cs="Arial" w:eastAsia="Arial" w:hAnsi="Arial"/>
          <w:sz w:val="22"/>
          <w:szCs w:val="22"/>
          <w:color w:val="auto"/>
        </w:rPr>
        <w:t>Advancement of imsidolimab to continue across 5 other distinct indications, including anticipated advancement into Phase 3 trial in generalized pustular psoriasis (GPP) in mid-2021</w:t>
      </w:r>
    </w:p>
    <w:p>
      <w:pPr>
        <w:spacing w:after="0" w:line="194"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b w:val="1"/>
          <w:bCs w:val="1"/>
          <w:color w:val="auto"/>
        </w:rPr>
        <w:t>SAN DIEGO, March 8</w:t>
      </w:r>
      <w:r>
        <w:rPr>
          <w:rFonts w:ascii="Arial" w:cs="Arial" w:eastAsia="Arial" w:hAnsi="Arial"/>
          <w:sz w:val="25"/>
          <w:szCs w:val="25"/>
          <w:b w:val="1"/>
          <w:bCs w:val="1"/>
          <w:color w:val="auto"/>
          <w:vertAlign w:val="superscript"/>
        </w:rPr>
        <w:t>th</w:t>
      </w:r>
      <w:r>
        <w:rPr>
          <w:rFonts w:ascii="Arial" w:cs="Arial" w:eastAsia="Arial" w:hAnsi="Arial"/>
          <w:sz w:val="19"/>
          <w:szCs w:val="19"/>
          <w:b w:val="1"/>
          <w:bCs w:val="1"/>
          <w:color w:val="auto"/>
        </w:rPr>
        <w:t xml:space="preserve">, 2021 </w:t>
      </w:r>
      <w:r>
        <w:rPr>
          <w:rFonts w:ascii="Arial" w:cs="Arial" w:eastAsia="Arial" w:hAnsi="Arial"/>
          <w:sz w:val="19"/>
          <w:szCs w:val="19"/>
          <w:color w:val="auto"/>
        </w:rPr>
        <w:t>— AnaptysBio, Inc. (Nasdaq: ANAB), a clinical-stage biotechnology company developing first-in-class antibody product candidates focused on emerging immune control mechanisms applicable to inflammation and immuno-oncology indications, today announced that top-line data from its Phase 2 clinical trial of imsidolimab for the treatment of moderate-to-severe palmoplantar pustulosis (PPP), also known as the POPLAR trial, failed to meet its primary endpoint.</w:t>
      </w:r>
    </w:p>
    <w:p>
      <w:pPr>
        <w:spacing w:after="0" w:line="193"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While further clinical development in PPP is not currently anticipated, AnaptysBio will continue development of imsidolimab in five other immuno-dermatological indications, including GPP, EGFRi-mediated skin toxicity, ichthyosis, hidradenitis suppurativa and acne. Initiation of a Phase 3 clinical trial in GPP is anticipated during mid-2021 following completion of protocol alignment with the FDA.</w:t>
      </w:r>
    </w:p>
    <w:p>
      <w:pPr>
        <w:spacing w:after="0" w:line="212" w:lineRule="exact"/>
        <w:rPr>
          <w:sz w:val="20"/>
          <w:szCs w:val="20"/>
          <w:color w:val="auto"/>
        </w:rPr>
      </w:pPr>
    </w:p>
    <w:p>
      <w:pPr>
        <w:ind w:right="220"/>
        <w:spacing w:after="0" w:line="238" w:lineRule="auto"/>
        <w:rPr>
          <w:sz w:val="20"/>
          <w:szCs w:val="20"/>
          <w:color w:val="auto"/>
        </w:rPr>
      </w:pPr>
      <w:r>
        <w:rPr>
          <w:rFonts w:ascii="Arial" w:cs="Arial" w:eastAsia="Arial" w:hAnsi="Arial"/>
          <w:sz w:val="22"/>
          <w:szCs w:val="22"/>
          <w:color w:val="auto"/>
        </w:rPr>
        <w:t>“While the top-line results are disappointing, I would like to sincerely thank everyone involved in the POPLAR trial, including the patients, the investigators, their staff and our employees,” said Hamza Suria, president and chief executive officer of AnaptysBio. “Imsidolimab is currently being advanced in 5 other immuno-dermatology indications and we look forward to multiple additional clinical readouts during 2021 and 2022.”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POPLAR Trial Data</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Top-line data from the POPLAR trial are as follows:</w:t>
      </w:r>
    </w:p>
    <w:p>
      <w:pPr>
        <w:spacing w:after="0" w:line="4" w:lineRule="exact"/>
        <w:rPr>
          <w:sz w:val="20"/>
          <w:szCs w:val="20"/>
          <w:color w:val="auto"/>
        </w:rPr>
      </w:pPr>
    </w:p>
    <w:p>
      <w:pPr>
        <w:ind w:left="660" w:right="100" w:hanging="328"/>
        <w:spacing w:after="0" w:line="243"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Mean baseline Palmoplantar Pustular Psoriasis Area Severity Index (PPPASI) scores were 16 for the 30 patients enrolled in the imsidolimab arm and 19 for the 29 patients enrolled in the placebo arm, with an overall average of 18. Mean baseline Palmoplantar Pustulosis Investigator Global Assessment (PPPIGA) was 3.1 for each arm. Patients were on average 50 years of age and 78% were female.</w:t>
      </w:r>
    </w:p>
    <w:p>
      <w:pPr>
        <w:spacing w:after="0" w:line="1" w:lineRule="exact"/>
        <w:rPr>
          <w:rFonts w:ascii="Arial" w:cs="Arial" w:eastAsia="Arial" w:hAnsi="Arial"/>
          <w:sz w:val="22"/>
          <w:szCs w:val="22"/>
          <w:color w:val="auto"/>
        </w:rPr>
      </w:pPr>
    </w:p>
    <w:p>
      <w:pPr>
        <w:ind w:left="660" w:hanging="328"/>
        <w:spacing w:after="0" w:line="244"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primary endpoint of least-squares mean difference (LSMD) PPPASI improvement at week 16 (Day 113) was 6.1 for imsidolimab-treated patients and 6.3 for placebo-treated patients relative to their respective baselines, which has a p-value of 0.93 for the difference between the groups. Twenty-four patients completed the week 16 primary endpoint analysis in each arm of the trial.</w:t>
      </w:r>
    </w:p>
    <w:p>
      <w:pPr>
        <w:sectPr>
          <w:pgSz w:w="11900" w:h="16838" w:orient="portrait"/>
          <w:cols w:equalWidth="0" w:num="1">
            <w:col w:w="11200"/>
          </w:cols>
          <w:pgMar w:left="320" w:top="1440" w:right="379" w:bottom="1440" w:gutter="0" w:footer="0" w:header="0"/>
        </w:sectPr>
      </w:pPr>
    </w:p>
    <w:bookmarkStart w:id="4" w:name="page5"/>
    <w:bookmarkEnd w:id="4"/>
    <w:tbl>
      <w:tblPr>
        <w:tblLayout w:type="fixed"/>
        <w:tblInd w:w="430" w:type="dxa"/>
        <w:tblCellMar>
          <w:top w:w="0" w:type="dxa"/>
          <w:left w:w="0" w:type="dxa"/>
          <w:bottom w:w="0" w:type="dxa"/>
          <w:right w:w="0" w:type="dxa"/>
        </w:tblCellMar>
      </w:tblPr>
      <w:tr>
        <w:trPr>
          <w:trHeight w:val="207"/>
        </w:trPr>
        <w:tc>
          <w:tcPr>
            <w:tcW w:w="2120" w:type="dxa"/>
            <w:vAlign w:val="bottom"/>
            <w:tcBorders>
              <w:top w:val="single" w:sz="8" w:color="auto"/>
              <w:left w:val="single" w:sz="8" w:color="auto"/>
              <w:right w:val="single" w:sz="8" w:color="auto"/>
            </w:tcBorders>
            <w:shd w:val="clear" w:color="auto" w:fill="B6B6B6"/>
          </w:tcPr>
          <w:p>
            <w:pPr>
              <w:jc w:val="center"/>
              <w:spacing w:after="0"/>
              <w:rPr>
                <w:sz w:val="20"/>
                <w:szCs w:val="20"/>
                <w:color w:val="auto"/>
              </w:rPr>
            </w:pPr>
            <w:r>
              <w:rPr>
                <w:rFonts w:ascii="Arial" w:cs="Arial" w:eastAsia="Arial" w:hAnsi="Arial"/>
                <w:sz w:val="14"/>
                <w:szCs w:val="14"/>
                <w:color w:val="auto"/>
              </w:rPr>
              <w:t>LSMD PPPASI Relative to</w:t>
            </w:r>
          </w:p>
        </w:tc>
        <w:tc>
          <w:tcPr>
            <w:tcW w:w="2080" w:type="dxa"/>
            <w:vAlign w:val="bottom"/>
            <w:tcBorders>
              <w:top w:val="single" w:sz="8" w:color="auto"/>
              <w:right w:val="single" w:sz="8" w:color="auto"/>
            </w:tcBorders>
            <w:vMerge w:val="restart"/>
            <w:shd w:val="clear" w:color="auto" w:fill="B6B6B6"/>
          </w:tcPr>
          <w:p>
            <w:pPr>
              <w:jc w:val="center"/>
              <w:spacing w:after="0"/>
              <w:rPr>
                <w:sz w:val="20"/>
                <w:szCs w:val="20"/>
                <w:color w:val="auto"/>
              </w:rPr>
            </w:pPr>
            <w:r>
              <w:rPr>
                <w:rFonts w:ascii="Arial" w:cs="Arial" w:eastAsia="Arial" w:hAnsi="Arial"/>
                <w:sz w:val="14"/>
                <w:szCs w:val="14"/>
                <w:color w:val="auto"/>
              </w:rPr>
              <w:t>Imsidolimab</w:t>
            </w:r>
          </w:p>
        </w:tc>
        <w:tc>
          <w:tcPr>
            <w:tcW w:w="2080" w:type="dxa"/>
            <w:vAlign w:val="bottom"/>
            <w:tcBorders>
              <w:top w:val="single" w:sz="8" w:color="auto"/>
              <w:right w:val="single" w:sz="8" w:color="auto"/>
            </w:tcBorders>
            <w:vMerge w:val="restart"/>
            <w:shd w:val="clear" w:color="auto" w:fill="B6B6B6"/>
          </w:tcPr>
          <w:p>
            <w:pPr>
              <w:jc w:val="center"/>
              <w:spacing w:after="0"/>
              <w:rPr>
                <w:sz w:val="20"/>
                <w:szCs w:val="20"/>
                <w:color w:val="auto"/>
              </w:rPr>
            </w:pPr>
            <w:r>
              <w:rPr>
                <w:rFonts w:ascii="Arial" w:cs="Arial" w:eastAsia="Arial" w:hAnsi="Arial"/>
                <w:sz w:val="14"/>
                <w:szCs w:val="14"/>
                <w:color w:val="auto"/>
              </w:rPr>
              <w:t>Placebo</w:t>
            </w:r>
          </w:p>
        </w:tc>
        <w:tc>
          <w:tcPr>
            <w:tcW w:w="2080" w:type="dxa"/>
            <w:vAlign w:val="bottom"/>
            <w:tcBorders>
              <w:top w:val="single" w:sz="8" w:color="auto"/>
              <w:right w:val="single" w:sz="8" w:color="auto"/>
            </w:tcBorders>
            <w:vMerge w:val="restart"/>
            <w:shd w:val="clear" w:color="auto" w:fill="B6B6B6"/>
          </w:tcPr>
          <w:p>
            <w:pPr>
              <w:ind w:left="700"/>
              <w:spacing w:after="0"/>
              <w:rPr>
                <w:sz w:val="20"/>
                <w:szCs w:val="20"/>
                <w:color w:val="auto"/>
              </w:rPr>
            </w:pPr>
            <w:r>
              <w:rPr>
                <w:rFonts w:ascii="Arial" w:cs="Arial" w:eastAsia="Arial" w:hAnsi="Arial"/>
                <w:sz w:val="14"/>
                <w:szCs w:val="14"/>
                <w:color w:val="auto"/>
              </w:rPr>
              <w:t>Difference</w:t>
            </w:r>
          </w:p>
        </w:tc>
        <w:tc>
          <w:tcPr>
            <w:tcW w:w="2080" w:type="dxa"/>
            <w:vAlign w:val="bottom"/>
            <w:tcBorders>
              <w:top w:val="single" w:sz="8" w:color="auto"/>
              <w:right w:val="single" w:sz="8" w:color="auto"/>
            </w:tcBorders>
            <w:vMerge w:val="restart"/>
            <w:shd w:val="clear" w:color="auto" w:fill="B6B6B6"/>
          </w:tcPr>
          <w:p>
            <w:pPr>
              <w:jc w:val="center"/>
              <w:spacing w:after="0"/>
              <w:rPr>
                <w:sz w:val="20"/>
                <w:szCs w:val="20"/>
                <w:color w:val="auto"/>
              </w:rPr>
            </w:pPr>
            <w:r>
              <w:rPr>
                <w:rFonts w:ascii="Arial" w:cs="Arial" w:eastAsia="Arial" w:hAnsi="Arial"/>
                <w:sz w:val="14"/>
                <w:szCs w:val="14"/>
                <w:color w:val="auto"/>
              </w:rPr>
              <w:t>p-value</w:t>
            </w:r>
          </w:p>
        </w:tc>
        <w:tc>
          <w:tcPr>
            <w:tcW w:w="0" w:type="dxa"/>
            <w:vAlign w:val="bottom"/>
          </w:tcPr>
          <w:p>
            <w:pPr>
              <w:spacing w:after="0"/>
              <w:rPr>
                <w:sz w:val="1"/>
                <w:szCs w:val="1"/>
                <w:color w:val="auto"/>
              </w:rPr>
            </w:pPr>
          </w:p>
        </w:tc>
      </w:tr>
      <w:tr>
        <w:trPr>
          <w:trHeight w:val="91"/>
        </w:trPr>
        <w:tc>
          <w:tcPr>
            <w:tcW w:w="2120" w:type="dxa"/>
            <w:vAlign w:val="bottom"/>
            <w:tcBorders>
              <w:left w:val="single" w:sz="8" w:color="auto"/>
              <w:right w:val="single" w:sz="8" w:color="auto"/>
            </w:tcBorders>
            <w:vMerge w:val="restart"/>
            <w:shd w:val="clear" w:color="auto" w:fill="B6B6B6"/>
          </w:tcPr>
          <w:p>
            <w:pPr>
              <w:jc w:val="center"/>
              <w:spacing w:after="0"/>
              <w:rPr>
                <w:sz w:val="20"/>
                <w:szCs w:val="20"/>
                <w:color w:val="auto"/>
              </w:rPr>
            </w:pPr>
            <w:r>
              <w:rPr>
                <w:rFonts w:ascii="Arial" w:cs="Arial" w:eastAsia="Arial" w:hAnsi="Arial"/>
                <w:sz w:val="14"/>
                <w:szCs w:val="14"/>
                <w:color w:val="auto"/>
              </w:rPr>
              <w:t>Baseline</w:t>
            </w:r>
          </w:p>
        </w:tc>
        <w:tc>
          <w:tcPr>
            <w:tcW w:w="2080" w:type="dxa"/>
            <w:vAlign w:val="bottom"/>
            <w:tcBorders>
              <w:right w:val="single" w:sz="8" w:color="auto"/>
            </w:tcBorders>
            <w:vMerge w:val="continue"/>
            <w:shd w:val="clear" w:color="auto" w:fill="B6B6B6"/>
          </w:tcPr>
          <w:p>
            <w:pPr>
              <w:spacing w:after="0"/>
              <w:rPr>
                <w:sz w:val="7"/>
                <w:szCs w:val="7"/>
                <w:color w:val="auto"/>
              </w:rPr>
            </w:pPr>
          </w:p>
        </w:tc>
        <w:tc>
          <w:tcPr>
            <w:tcW w:w="2080" w:type="dxa"/>
            <w:vAlign w:val="bottom"/>
            <w:tcBorders>
              <w:right w:val="single" w:sz="8" w:color="auto"/>
            </w:tcBorders>
            <w:vMerge w:val="continue"/>
            <w:shd w:val="clear" w:color="auto" w:fill="B6B6B6"/>
          </w:tcPr>
          <w:p>
            <w:pPr>
              <w:spacing w:after="0"/>
              <w:rPr>
                <w:sz w:val="7"/>
                <w:szCs w:val="7"/>
                <w:color w:val="auto"/>
              </w:rPr>
            </w:pPr>
          </w:p>
        </w:tc>
        <w:tc>
          <w:tcPr>
            <w:tcW w:w="2080" w:type="dxa"/>
            <w:vAlign w:val="bottom"/>
            <w:tcBorders>
              <w:right w:val="single" w:sz="8" w:color="auto"/>
            </w:tcBorders>
            <w:vMerge w:val="continue"/>
            <w:shd w:val="clear" w:color="auto" w:fill="B6B6B6"/>
          </w:tcPr>
          <w:p>
            <w:pPr>
              <w:spacing w:after="0"/>
              <w:rPr>
                <w:sz w:val="7"/>
                <w:szCs w:val="7"/>
                <w:color w:val="auto"/>
              </w:rPr>
            </w:pPr>
          </w:p>
        </w:tc>
        <w:tc>
          <w:tcPr>
            <w:tcW w:w="2080" w:type="dxa"/>
            <w:vAlign w:val="bottom"/>
            <w:tcBorders>
              <w:right w:val="single" w:sz="8" w:color="auto"/>
            </w:tcBorders>
            <w:vMerge w:val="continue"/>
            <w:shd w:val="clear" w:color="auto" w:fill="B6B6B6"/>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tcBorders>
              <w:left w:val="single" w:sz="8" w:color="auto"/>
              <w:bottom w:val="single" w:sz="8" w:color="auto"/>
              <w:right w:val="single" w:sz="8" w:color="auto"/>
            </w:tcBorders>
            <w:vMerge w:val="continue"/>
            <w:shd w:val="clear" w:color="auto" w:fill="B6B6B6"/>
          </w:tcPr>
          <w:p>
            <w:pPr>
              <w:spacing w:after="0"/>
              <w:rPr>
                <w:sz w:val="7"/>
                <w:szCs w:val="7"/>
                <w:color w:val="auto"/>
              </w:rPr>
            </w:pPr>
          </w:p>
        </w:tc>
        <w:tc>
          <w:tcPr>
            <w:tcW w:w="2080" w:type="dxa"/>
            <w:vAlign w:val="bottom"/>
            <w:tcBorders>
              <w:bottom w:val="single" w:sz="8" w:color="auto"/>
              <w:right w:val="single" w:sz="8" w:color="auto"/>
            </w:tcBorders>
            <w:shd w:val="clear" w:color="auto" w:fill="B6B6B6"/>
          </w:tcPr>
          <w:p>
            <w:pPr>
              <w:spacing w:after="0"/>
              <w:rPr>
                <w:sz w:val="7"/>
                <w:szCs w:val="7"/>
                <w:color w:val="auto"/>
              </w:rPr>
            </w:pPr>
          </w:p>
        </w:tc>
        <w:tc>
          <w:tcPr>
            <w:tcW w:w="2080" w:type="dxa"/>
            <w:vAlign w:val="bottom"/>
            <w:tcBorders>
              <w:bottom w:val="single" w:sz="8" w:color="auto"/>
              <w:right w:val="single" w:sz="8" w:color="auto"/>
            </w:tcBorders>
            <w:shd w:val="clear" w:color="auto" w:fill="B6B6B6"/>
          </w:tcPr>
          <w:p>
            <w:pPr>
              <w:spacing w:after="0"/>
              <w:rPr>
                <w:sz w:val="7"/>
                <w:szCs w:val="7"/>
                <w:color w:val="auto"/>
              </w:rPr>
            </w:pPr>
          </w:p>
        </w:tc>
        <w:tc>
          <w:tcPr>
            <w:tcW w:w="2080" w:type="dxa"/>
            <w:vAlign w:val="bottom"/>
            <w:tcBorders>
              <w:bottom w:val="single" w:sz="8" w:color="auto"/>
              <w:right w:val="single" w:sz="8" w:color="auto"/>
            </w:tcBorders>
            <w:shd w:val="clear" w:color="auto" w:fill="B6B6B6"/>
          </w:tcPr>
          <w:p>
            <w:pPr>
              <w:spacing w:after="0"/>
              <w:rPr>
                <w:sz w:val="7"/>
                <w:szCs w:val="7"/>
                <w:color w:val="auto"/>
              </w:rPr>
            </w:pPr>
          </w:p>
        </w:tc>
        <w:tc>
          <w:tcPr>
            <w:tcW w:w="2080" w:type="dxa"/>
            <w:vAlign w:val="bottom"/>
            <w:tcBorders>
              <w:bottom w:val="single" w:sz="8" w:color="auto"/>
              <w:right w:val="single" w:sz="8" w:color="auto"/>
            </w:tcBorders>
            <w:shd w:val="clear" w:color="auto" w:fill="B6B6B6"/>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Week 4</w:t>
            </w: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-3.1</w:t>
            </w: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-3.1</w:t>
            </w: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0.0</w:t>
            </w: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0.99</w:t>
            </w:r>
          </w:p>
        </w:tc>
        <w:tc>
          <w:tcPr>
            <w:tcW w:w="0" w:type="dxa"/>
            <w:vAlign w:val="bottom"/>
          </w:tcPr>
          <w:p>
            <w:pPr>
              <w:spacing w:after="0"/>
              <w:rPr>
                <w:sz w:val="1"/>
                <w:szCs w:val="1"/>
                <w:color w:val="auto"/>
              </w:rPr>
            </w:pPr>
          </w:p>
        </w:tc>
      </w:tr>
      <w:tr>
        <w:trPr>
          <w:trHeight w:val="91"/>
        </w:trPr>
        <w:tc>
          <w:tcPr>
            <w:tcW w:w="21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rPr>
              <w:t>(Day 29)</w:t>
            </w:r>
          </w:p>
        </w:tc>
        <w:tc>
          <w:tcPr>
            <w:tcW w:w="2080" w:type="dxa"/>
            <w:vAlign w:val="bottom"/>
            <w:tcBorders>
              <w:right w:val="single" w:sz="8" w:color="auto"/>
            </w:tcBorders>
            <w:vMerge w:val="continue"/>
          </w:tcPr>
          <w:p>
            <w:pPr>
              <w:spacing w:after="0"/>
              <w:rPr>
                <w:sz w:val="7"/>
                <w:szCs w:val="7"/>
                <w:color w:val="auto"/>
              </w:rPr>
            </w:pPr>
          </w:p>
        </w:tc>
        <w:tc>
          <w:tcPr>
            <w:tcW w:w="2080" w:type="dxa"/>
            <w:vAlign w:val="bottom"/>
            <w:tcBorders>
              <w:right w:val="single" w:sz="8" w:color="auto"/>
            </w:tcBorders>
            <w:vMerge w:val="continue"/>
          </w:tcPr>
          <w:p>
            <w:pPr>
              <w:spacing w:after="0"/>
              <w:rPr>
                <w:sz w:val="7"/>
                <w:szCs w:val="7"/>
                <w:color w:val="auto"/>
              </w:rPr>
            </w:pPr>
          </w:p>
        </w:tc>
        <w:tc>
          <w:tcPr>
            <w:tcW w:w="2080" w:type="dxa"/>
            <w:vAlign w:val="bottom"/>
            <w:tcBorders>
              <w:right w:val="single" w:sz="8" w:color="auto"/>
            </w:tcBorders>
            <w:vMerge w:val="continue"/>
          </w:tcPr>
          <w:p>
            <w:pPr>
              <w:spacing w:after="0"/>
              <w:rPr>
                <w:sz w:val="7"/>
                <w:szCs w:val="7"/>
                <w:color w:val="auto"/>
              </w:rPr>
            </w:pPr>
          </w:p>
        </w:tc>
        <w:tc>
          <w:tcPr>
            <w:tcW w:w="2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08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Week 4</w:t>
            </w: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-4.6</w:t>
            </w: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-3.7</w:t>
            </w: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-0.9</w:t>
            </w: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0.62</w:t>
            </w:r>
          </w:p>
        </w:tc>
        <w:tc>
          <w:tcPr>
            <w:tcW w:w="0" w:type="dxa"/>
            <w:vAlign w:val="bottom"/>
          </w:tcPr>
          <w:p>
            <w:pPr>
              <w:spacing w:after="0"/>
              <w:rPr>
                <w:sz w:val="1"/>
                <w:szCs w:val="1"/>
                <w:color w:val="auto"/>
              </w:rPr>
            </w:pPr>
          </w:p>
        </w:tc>
      </w:tr>
      <w:tr>
        <w:trPr>
          <w:trHeight w:val="91"/>
        </w:trPr>
        <w:tc>
          <w:tcPr>
            <w:tcW w:w="21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rPr>
              <w:t>(Day 29)</w:t>
            </w:r>
          </w:p>
        </w:tc>
        <w:tc>
          <w:tcPr>
            <w:tcW w:w="2080" w:type="dxa"/>
            <w:vAlign w:val="bottom"/>
            <w:tcBorders>
              <w:right w:val="single" w:sz="8" w:color="auto"/>
            </w:tcBorders>
            <w:vMerge w:val="continue"/>
          </w:tcPr>
          <w:p>
            <w:pPr>
              <w:spacing w:after="0"/>
              <w:rPr>
                <w:sz w:val="7"/>
                <w:szCs w:val="7"/>
                <w:color w:val="auto"/>
              </w:rPr>
            </w:pPr>
          </w:p>
        </w:tc>
        <w:tc>
          <w:tcPr>
            <w:tcW w:w="2080" w:type="dxa"/>
            <w:vAlign w:val="bottom"/>
            <w:tcBorders>
              <w:right w:val="single" w:sz="8" w:color="auto"/>
            </w:tcBorders>
            <w:vMerge w:val="continue"/>
          </w:tcPr>
          <w:p>
            <w:pPr>
              <w:spacing w:after="0"/>
              <w:rPr>
                <w:sz w:val="7"/>
                <w:szCs w:val="7"/>
                <w:color w:val="auto"/>
              </w:rPr>
            </w:pPr>
          </w:p>
        </w:tc>
        <w:tc>
          <w:tcPr>
            <w:tcW w:w="2080" w:type="dxa"/>
            <w:vAlign w:val="bottom"/>
            <w:tcBorders>
              <w:right w:val="single" w:sz="8" w:color="auto"/>
            </w:tcBorders>
            <w:vMerge w:val="continue"/>
          </w:tcPr>
          <w:p>
            <w:pPr>
              <w:spacing w:after="0"/>
              <w:rPr>
                <w:sz w:val="7"/>
                <w:szCs w:val="7"/>
                <w:color w:val="auto"/>
              </w:rPr>
            </w:pPr>
          </w:p>
        </w:tc>
        <w:tc>
          <w:tcPr>
            <w:tcW w:w="2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08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Week 4</w:t>
            </w: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-5.6</w:t>
            </w: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-3.4</w:t>
            </w: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-2.2</w:t>
            </w: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91"/>
        </w:trPr>
        <w:tc>
          <w:tcPr>
            <w:tcW w:w="21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rPr>
              <w:t>(Day 29)</w:t>
            </w:r>
          </w:p>
        </w:tc>
        <w:tc>
          <w:tcPr>
            <w:tcW w:w="2080" w:type="dxa"/>
            <w:vAlign w:val="bottom"/>
            <w:tcBorders>
              <w:right w:val="single" w:sz="8" w:color="auto"/>
            </w:tcBorders>
            <w:vMerge w:val="continue"/>
          </w:tcPr>
          <w:p>
            <w:pPr>
              <w:spacing w:after="0"/>
              <w:rPr>
                <w:sz w:val="7"/>
                <w:szCs w:val="7"/>
                <w:color w:val="auto"/>
              </w:rPr>
            </w:pPr>
          </w:p>
        </w:tc>
        <w:tc>
          <w:tcPr>
            <w:tcW w:w="2080" w:type="dxa"/>
            <w:vAlign w:val="bottom"/>
            <w:tcBorders>
              <w:right w:val="single" w:sz="8" w:color="auto"/>
            </w:tcBorders>
            <w:vMerge w:val="continue"/>
          </w:tcPr>
          <w:p>
            <w:pPr>
              <w:spacing w:after="0"/>
              <w:rPr>
                <w:sz w:val="7"/>
                <w:szCs w:val="7"/>
                <w:color w:val="auto"/>
              </w:rPr>
            </w:pPr>
          </w:p>
        </w:tc>
        <w:tc>
          <w:tcPr>
            <w:tcW w:w="2080" w:type="dxa"/>
            <w:vAlign w:val="bottom"/>
            <w:tcBorders>
              <w:right w:val="single" w:sz="8" w:color="auto"/>
            </w:tcBorders>
            <w:vMerge w:val="continue"/>
          </w:tcPr>
          <w:p>
            <w:pPr>
              <w:spacing w:after="0"/>
              <w:rPr>
                <w:sz w:val="7"/>
                <w:szCs w:val="7"/>
                <w:color w:val="auto"/>
              </w:rPr>
            </w:pPr>
          </w:p>
        </w:tc>
        <w:tc>
          <w:tcPr>
            <w:tcW w:w="2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08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Week 4</w:t>
            </w: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-6.1</w:t>
            </w: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-6.3</w:t>
            </w: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0.2</w:t>
            </w: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0.93</w:t>
            </w:r>
          </w:p>
        </w:tc>
        <w:tc>
          <w:tcPr>
            <w:tcW w:w="0" w:type="dxa"/>
            <w:vAlign w:val="bottom"/>
          </w:tcPr>
          <w:p>
            <w:pPr>
              <w:spacing w:after="0"/>
              <w:rPr>
                <w:sz w:val="1"/>
                <w:szCs w:val="1"/>
                <w:color w:val="auto"/>
              </w:rPr>
            </w:pPr>
          </w:p>
        </w:tc>
      </w:tr>
      <w:tr>
        <w:trPr>
          <w:trHeight w:val="91"/>
        </w:trPr>
        <w:tc>
          <w:tcPr>
            <w:tcW w:w="21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rPr>
              <w:t>(Day 29)</w:t>
            </w:r>
          </w:p>
        </w:tc>
        <w:tc>
          <w:tcPr>
            <w:tcW w:w="2080" w:type="dxa"/>
            <w:vAlign w:val="bottom"/>
            <w:tcBorders>
              <w:right w:val="single" w:sz="8" w:color="auto"/>
            </w:tcBorders>
            <w:vMerge w:val="continue"/>
          </w:tcPr>
          <w:p>
            <w:pPr>
              <w:spacing w:after="0"/>
              <w:rPr>
                <w:sz w:val="7"/>
                <w:szCs w:val="7"/>
                <w:color w:val="auto"/>
              </w:rPr>
            </w:pPr>
          </w:p>
        </w:tc>
        <w:tc>
          <w:tcPr>
            <w:tcW w:w="2080" w:type="dxa"/>
            <w:vAlign w:val="bottom"/>
            <w:tcBorders>
              <w:right w:val="single" w:sz="8" w:color="auto"/>
            </w:tcBorders>
            <w:vMerge w:val="continue"/>
          </w:tcPr>
          <w:p>
            <w:pPr>
              <w:spacing w:after="0"/>
              <w:rPr>
                <w:sz w:val="7"/>
                <w:szCs w:val="7"/>
                <w:color w:val="auto"/>
              </w:rPr>
            </w:pPr>
          </w:p>
        </w:tc>
        <w:tc>
          <w:tcPr>
            <w:tcW w:w="2080" w:type="dxa"/>
            <w:vAlign w:val="bottom"/>
            <w:tcBorders>
              <w:right w:val="single" w:sz="8" w:color="auto"/>
            </w:tcBorders>
            <w:vMerge w:val="continue"/>
          </w:tcPr>
          <w:p>
            <w:pPr>
              <w:spacing w:after="0"/>
              <w:rPr>
                <w:sz w:val="7"/>
                <w:szCs w:val="7"/>
                <w:color w:val="auto"/>
              </w:rPr>
            </w:pPr>
          </w:p>
        </w:tc>
        <w:tc>
          <w:tcPr>
            <w:tcW w:w="2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08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5900420</wp:posOffset>
            </wp:positionH>
            <wp:positionV relativeFrom="page">
              <wp:posOffset>88900</wp:posOffset>
            </wp:positionV>
            <wp:extent cx="1440180" cy="3429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42900"/>
                    </a:xfrm>
                    <a:prstGeom prst="rect">
                      <a:avLst/>
                    </a:prstGeom>
                    <a:noFill/>
                  </pic:spPr>
                </pic:pic>
              </a:graphicData>
            </a:graphic>
          </wp:anchor>
        </w:drawing>
      </w:r>
    </w:p>
    <w:p>
      <w:pPr>
        <w:ind w:left="660" w:right="220" w:hanging="328"/>
        <w:spacing w:after="0" w:line="286" w:lineRule="auto"/>
        <w:tabs>
          <w:tab w:leader="none" w:pos="655" w:val="left"/>
        </w:tabs>
        <w:numPr>
          <w:ilvl w:val="0"/>
          <w:numId w:val="3"/>
        </w:numPr>
        <w:rPr>
          <w:rFonts w:ascii="Arial" w:cs="Arial" w:eastAsia="Arial" w:hAnsi="Arial"/>
          <w:sz w:val="19"/>
          <w:szCs w:val="19"/>
          <w:color w:val="auto"/>
        </w:rPr>
      </w:pPr>
      <w:r>
        <w:rPr>
          <w:rFonts w:ascii="Arial" w:cs="Arial" w:eastAsia="Arial" w:hAnsi="Arial"/>
          <w:sz w:val="19"/>
          <w:szCs w:val="19"/>
          <w:color w:val="auto"/>
        </w:rPr>
        <w:t>Imsidolimab-treated patients had a mean PPPASI change from baseline of 5.78 or 38% improvement, while placebo-treated patients improved by 6.78 or 33% improvement, each relative to baseline. Percent PPPASI improvement versus baseline was numerically greater for imsidolimab-treated patients relative to placebo-treated patients at each study timepoint (Days 3, 8, 15, 22, 29, 43, 57, 71, 85 and 113), ranging from approximately 3% to 19%.</w:t>
      </w:r>
    </w:p>
    <w:p>
      <w:pPr>
        <w:spacing w:after="0" w:line="2" w:lineRule="exact"/>
        <w:rPr>
          <w:rFonts w:ascii="Arial" w:cs="Arial" w:eastAsia="Arial" w:hAnsi="Arial"/>
          <w:sz w:val="19"/>
          <w:szCs w:val="19"/>
          <w:color w:val="auto"/>
        </w:rPr>
      </w:pPr>
    </w:p>
    <w:p>
      <w:pPr>
        <w:ind w:left="660" w:hanging="328"/>
        <w:spacing w:after="0" w:line="243"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2"/>
          <w:szCs w:val="22"/>
          <w:color w:val="auto"/>
        </w:rPr>
        <w:t>Nine (38%) patients achieved fifty percent PPPASI improvement (PPPASI50) and 4 (17%) patients achieved seventy five percent PPPASI improvement (PPPASI75) in the imsidolimab arm at week 16, while 12 (50%) and 3 (13%) achieved these responder thresholds in the placebo arm, respectively.</w:t>
      </w:r>
    </w:p>
    <w:p>
      <w:pPr>
        <w:spacing w:after="0" w:line="1" w:lineRule="exact"/>
        <w:rPr>
          <w:rFonts w:ascii="Arial" w:cs="Arial" w:eastAsia="Arial" w:hAnsi="Arial"/>
          <w:sz w:val="22"/>
          <w:szCs w:val="22"/>
          <w:color w:val="auto"/>
        </w:rPr>
      </w:pPr>
    </w:p>
    <w:p>
      <w:pPr>
        <w:ind w:left="660" w:right="120" w:hanging="328"/>
        <w:spacing w:after="0" w:line="246"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2"/>
          <w:szCs w:val="22"/>
          <w:color w:val="auto"/>
        </w:rPr>
        <w:t>Five (21%) imsidolimab-treated patients achieved a PPPIGA score of zero (clear) or 1 (almost clear) at week 16 relative to 3 (13%) placebo-dosed patients.</w:t>
      </w:r>
    </w:p>
    <w:p>
      <w:pPr>
        <w:spacing w:after="0" w:line="234" w:lineRule="exact"/>
        <w:rPr>
          <w:sz w:val="20"/>
          <w:szCs w:val="20"/>
          <w:color w:val="auto"/>
        </w:rPr>
      </w:pPr>
    </w:p>
    <w:tbl>
      <w:tblPr>
        <w:tblLayout w:type="fixed"/>
        <w:tblInd w:w="2510" w:type="dxa"/>
        <w:tblCellMar>
          <w:top w:w="0" w:type="dxa"/>
          <w:left w:w="0" w:type="dxa"/>
          <w:bottom w:w="0" w:type="dxa"/>
          <w:right w:w="0" w:type="dxa"/>
        </w:tblCellMar>
      </w:tblPr>
      <w:tr>
        <w:trPr>
          <w:trHeight w:val="167"/>
        </w:trPr>
        <w:tc>
          <w:tcPr>
            <w:tcW w:w="2100" w:type="dxa"/>
            <w:vAlign w:val="bottom"/>
            <w:tcBorders>
              <w:top w:val="single" w:sz="8" w:color="auto"/>
              <w:left w:val="single" w:sz="8" w:color="auto"/>
              <w:right w:val="single" w:sz="8" w:color="auto"/>
            </w:tcBorders>
            <w:shd w:val="clear" w:color="auto" w:fill="B6B6B6"/>
          </w:tcPr>
          <w:p>
            <w:pPr>
              <w:jc w:val="center"/>
              <w:spacing w:after="0"/>
              <w:rPr>
                <w:sz w:val="20"/>
                <w:szCs w:val="20"/>
                <w:color w:val="auto"/>
              </w:rPr>
            </w:pPr>
            <w:r>
              <w:rPr>
                <w:rFonts w:ascii="Arial" w:cs="Arial" w:eastAsia="Arial" w:hAnsi="Arial"/>
                <w:sz w:val="14"/>
                <w:szCs w:val="14"/>
                <w:color w:val="auto"/>
              </w:rPr>
              <w:t>Percent Improvement Relative</w:t>
            </w:r>
          </w:p>
        </w:tc>
        <w:tc>
          <w:tcPr>
            <w:tcW w:w="2080" w:type="dxa"/>
            <w:vAlign w:val="bottom"/>
            <w:tcBorders>
              <w:top w:val="single" w:sz="8" w:color="auto"/>
              <w:right w:val="single" w:sz="8" w:color="auto"/>
            </w:tcBorders>
            <w:vMerge w:val="restart"/>
            <w:shd w:val="clear" w:color="auto" w:fill="B6B6B6"/>
          </w:tcPr>
          <w:p>
            <w:pPr>
              <w:jc w:val="center"/>
              <w:spacing w:after="0"/>
              <w:rPr>
                <w:sz w:val="20"/>
                <w:szCs w:val="20"/>
                <w:color w:val="auto"/>
              </w:rPr>
            </w:pPr>
            <w:r>
              <w:rPr>
                <w:rFonts w:ascii="Arial" w:cs="Arial" w:eastAsia="Arial" w:hAnsi="Arial"/>
                <w:sz w:val="14"/>
                <w:szCs w:val="14"/>
                <w:color w:val="auto"/>
              </w:rPr>
              <w:t>Imsidolimab</w:t>
            </w:r>
          </w:p>
        </w:tc>
        <w:tc>
          <w:tcPr>
            <w:tcW w:w="2100" w:type="dxa"/>
            <w:vAlign w:val="bottom"/>
            <w:tcBorders>
              <w:top w:val="single" w:sz="8" w:color="auto"/>
              <w:right w:val="single" w:sz="8" w:color="auto"/>
            </w:tcBorders>
            <w:vMerge w:val="restart"/>
            <w:shd w:val="clear" w:color="auto" w:fill="B6B6B6"/>
          </w:tcPr>
          <w:p>
            <w:pPr>
              <w:ind w:left="760"/>
              <w:spacing w:after="0"/>
              <w:rPr>
                <w:sz w:val="20"/>
                <w:szCs w:val="20"/>
                <w:color w:val="auto"/>
              </w:rPr>
            </w:pPr>
            <w:r>
              <w:rPr>
                <w:rFonts w:ascii="Arial" w:cs="Arial" w:eastAsia="Arial" w:hAnsi="Arial"/>
                <w:sz w:val="14"/>
                <w:szCs w:val="14"/>
                <w:color w:val="auto"/>
              </w:rPr>
              <w:t>Placebo</w:t>
            </w:r>
          </w:p>
        </w:tc>
        <w:tc>
          <w:tcPr>
            <w:tcW w:w="0" w:type="dxa"/>
            <w:vAlign w:val="bottom"/>
          </w:tcPr>
          <w:p>
            <w:pPr>
              <w:spacing w:after="0"/>
              <w:rPr>
                <w:sz w:val="1"/>
                <w:szCs w:val="1"/>
                <w:color w:val="auto"/>
              </w:rPr>
            </w:pPr>
          </w:p>
        </w:tc>
      </w:tr>
      <w:tr>
        <w:trPr>
          <w:trHeight w:val="135"/>
        </w:trPr>
        <w:tc>
          <w:tcPr>
            <w:tcW w:w="2100" w:type="dxa"/>
            <w:vAlign w:val="bottom"/>
            <w:tcBorders>
              <w:left w:val="single" w:sz="8" w:color="auto"/>
              <w:right w:val="single" w:sz="8" w:color="auto"/>
            </w:tcBorders>
            <w:shd w:val="clear" w:color="auto" w:fill="B6B6B6"/>
          </w:tcPr>
          <w:p>
            <w:pPr>
              <w:jc w:val="center"/>
              <w:spacing w:after="0" w:line="135" w:lineRule="exact"/>
              <w:rPr>
                <w:sz w:val="20"/>
                <w:szCs w:val="20"/>
                <w:color w:val="auto"/>
              </w:rPr>
            </w:pPr>
            <w:r>
              <w:rPr>
                <w:rFonts w:ascii="Arial" w:cs="Arial" w:eastAsia="Arial" w:hAnsi="Arial"/>
                <w:sz w:val="14"/>
                <w:szCs w:val="14"/>
                <w:color w:val="auto"/>
              </w:rPr>
              <w:t>To Baseline at</w:t>
            </w:r>
          </w:p>
        </w:tc>
        <w:tc>
          <w:tcPr>
            <w:tcW w:w="2080" w:type="dxa"/>
            <w:vAlign w:val="bottom"/>
            <w:tcBorders>
              <w:right w:val="single" w:sz="8" w:color="auto"/>
            </w:tcBorders>
            <w:vMerge w:val="continue"/>
            <w:shd w:val="clear" w:color="auto" w:fill="B6B6B6"/>
          </w:tcPr>
          <w:p>
            <w:pPr>
              <w:spacing w:after="0"/>
              <w:rPr>
                <w:sz w:val="11"/>
                <w:szCs w:val="11"/>
                <w:color w:val="auto"/>
              </w:rPr>
            </w:pPr>
          </w:p>
        </w:tc>
        <w:tc>
          <w:tcPr>
            <w:tcW w:w="2100" w:type="dxa"/>
            <w:vAlign w:val="bottom"/>
            <w:tcBorders>
              <w:right w:val="single" w:sz="8" w:color="auto"/>
            </w:tcBorders>
            <w:vMerge w:val="continue"/>
            <w:shd w:val="clear" w:color="auto" w:fill="B6B6B6"/>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100" w:type="dxa"/>
            <w:vAlign w:val="bottom"/>
            <w:tcBorders>
              <w:left w:val="single" w:sz="8" w:color="auto"/>
              <w:bottom w:val="single" w:sz="8" w:color="auto"/>
              <w:right w:val="single" w:sz="8" w:color="auto"/>
            </w:tcBorders>
            <w:shd w:val="clear" w:color="auto" w:fill="B6B6B6"/>
          </w:tcPr>
          <w:p>
            <w:pPr>
              <w:jc w:val="center"/>
              <w:spacing w:after="0"/>
              <w:rPr>
                <w:sz w:val="20"/>
                <w:szCs w:val="20"/>
                <w:color w:val="auto"/>
              </w:rPr>
            </w:pPr>
            <w:r>
              <w:rPr>
                <w:rFonts w:ascii="Arial" w:cs="Arial" w:eastAsia="Arial" w:hAnsi="Arial"/>
                <w:sz w:val="14"/>
                <w:szCs w:val="14"/>
                <w:color w:val="auto"/>
              </w:rPr>
              <w:t>Week 16</w:t>
            </w:r>
          </w:p>
        </w:tc>
        <w:tc>
          <w:tcPr>
            <w:tcW w:w="2080" w:type="dxa"/>
            <w:vAlign w:val="bottom"/>
            <w:tcBorders>
              <w:bottom w:val="single" w:sz="8" w:color="auto"/>
              <w:right w:val="single" w:sz="8" w:color="auto"/>
            </w:tcBorders>
            <w:shd w:val="clear" w:color="auto" w:fill="B6B6B6"/>
          </w:tcPr>
          <w:p>
            <w:pPr>
              <w:spacing w:after="0"/>
              <w:rPr>
                <w:sz w:val="14"/>
                <w:szCs w:val="14"/>
                <w:color w:val="auto"/>
              </w:rPr>
            </w:pPr>
          </w:p>
        </w:tc>
        <w:tc>
          <w:tcPr>
            <w:tcW w:w="2100" w:type="dxa"/>
            <w:vAlign w:val="bottom"/>
            <w:tcBorders>
              <w:bottom w:val="single" w:sz="8" w:color="auto"/>
              <w:right w:val="single" w:sz="8" w:color="auto"/>
            </w:tcBorders>
            <w:shd w:val="clear" w:color="auto" w:fill="B6B6B6"/>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1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Mean PPPASI</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0.38</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0.33</w:t>
            </w:r>
          </w:p>
        </w:tc>
        <w:tc>
          <w:tcPr>
            <w:tcW w:w="0" w:type="dxa"/>
            <w:vAlign w:val="bottom"/>
          </w:tcPr>
          <w:p>
            <w:pPr>
              <w:spacing w:after="0"/>
              <w:rPr>
                <w:sz w:val="1"/>
                <w:szCs w:val="1"/>
                <w:color w:val="auto"/>
              </w:rPr>
            </w:pPr>
          </w:p>
        </w:tc>
      </w:tr>
      <w:tr>
        <w:trPr>
          <w:trHeight w:val="183"/>
        </w:trPr>
        <w:tc>
          <w:tcPr>
            <w:tcW w:w="21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PPPASI50</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0.38</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3"/>
        </w:trPr>
        <w:tc>
          <w:tcPr>
            <w:tcW w:w="21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PPPASI75</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0.17</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183"/>
        </w:trPr>
        <w:tc>
          <w:tcPr>
            <w:tcW w:w="21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PPPIGA 0/1</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0.21</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bl>
    <w:p>
      <w:pPr>
        <w:spacing w:after="0" w:line="330" w:lineRule="exact"/>
        <w:rPr>
          <w:sz w:val="20"/>
          <w:szCs w:val="20"/>
          <w:color w:val="auto"/>
        </w:rPr>
      </w:pPr>
    </w:p>
    <w:p>
      <w:pPr>
        <w:ind w:left="660" w:right="220" w:hanging="328"/>
        <w:spacing w:after="0" w:line="302" w:lineRule="auto"/>
        <w:tabs>
          <w:tab w:leader="none" w:pos="655" w:val="left"/>
        </w:tabs>
        <w:numPr>
          <w:ilvl w:val="0"/>
          <w:numId w:val="4"/>
        </w:numPr>
        <w:rPr>
          <w:rFonts w:ascii="Arial" w:cs="Arial" w:eastAsia="Arial" w:hAnsi="Arial"/>
          <w:sz w:val="19"/>
          <w:szCs w:val="19"/>
          <w:color w:val="auto"/>
        </w:rPr>
      </w:pPr>
      <w:r>
        <w:rPr>
          <w:rFonts w:ascii="Arial" w:cs="Arial" w:eastAsia="Arial" w:hAnsi="Arial"/>
          <w:sz w:val="19"/>
          <w:szCs w:val="19"/>
          <w:color w:val="auto"/>
        </w:rPr>
        <w:t>Imsidolimab was generally well-tolerated with a similar frequency of adverse events between treatment groups</w:t>
      </w:r>
      <w:r>
        <w:rPr>
          <w:rFonts w:ascii="Arial" w:cs="Arial" w:eastAsia="Arial" w:hAnsi="Arial"/>
          <w:sz w:val="19"/>
          <w:szCs w:val="19"/>
          <w:i w:val="1"/>
          <w:iCs w:val="1"/>
          <w:color w:val="auto"/>
        </w:rPr>
        <w:t>,</w:t>
      </w:r>
      <w:r>
        <w:rPr>
          <w:rFonts w:ascii="Arial" w:cs="Arial" w:eastAsia="Arial" w:hAnsi="Arial"/>
          <w:sz w:val="19"/>
          <w:szCs w:val="19"/>
          <w:color w:val="auto"/>
        </w:rPr>
        <w:t xml:space="preserve"> and no severe or serious adverse events were observed in the imsidolimab arm. One severe and one serious adverse event was reported in the placebo-treated arm. The most common adverse events observed in the imsidolimab and placebo arms were three and four cases of mild nasopharyngitis, respectively, that were each deemed treatment unrelated.</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POPLAR Phase 2 Trial Design</w:t>
      </w:r>
    </w:p>
    <w:p>
      <w:pPr>
        <w:spacing w:after="0" w:line="27"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Fifty-nine PPP patients were enrolled in this trial at 36 sites located within North America and Europe. Patients were washed out of prior PPP therapy and no concomitant therapy was permitted during the trial. Key inclusion criteria included age between 18 and 75 years, clinically confirmed ongoing moderate-to-severe PPP disease with minimum PPPIGA score of at least 3 (moderate), disease history of at least 3 months, and active pustules on palms and/or soles upon enrollment. Patients were treated with a 200mg subcutaneous induction dose of imsidolimab at Day 1, followed by monthly 100mg subcutaneous doses on Days 29, 57 and 85. The primary endpoint of this trial was mean change in PPPASI at week 16 relative to baseline and the estimator for between-group comparison was LSMD. Baseline clinical assessments were conducted for each patient on Day 1 prior to imsidolimab dosing. Missing data was modeled using mixed model for repeated measures (MMRM) methodology.</w:t>
      </w:r>
    </w:p>
    <w:p>
      <w:pPr>
        <w:sectPr>
          <w:pgSz w:w="11900" w:h="16838" w:orient="portrait"/>
          <w:cols w:equalWidth="0" w:num="1">
            <w:col w:w="11160"/>
          </w:cols>
          <w:pgMar w:left="320" w:top="1024" w:right="41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5900420</wp:posOffset>
            </wp:positionH>
            <wp:positionV relativeFrom="page">
              <wp:posOffset>88900</wp:posOffset>
            </wp:positionV>
            <wp:extent cx="1440180" cy="3429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42900"/>
                    </a:xfrm>
                    <a:prstGeom prst="rect">
                      <a:avLst/>
                    </a:prstGeom>
                    <a:noFill/>
                  </pic:spPr>
                </pic:pic>
              </a:graphicData>
            </a:graphic>
          </wp:anchor>
        </w:drawing>
        <w:t>About Imsidolimab</w:t>
      </w:r>
    </w:p>
    <w:p>
      <w:pPr>
        <w:spacing w:after="0" w:line="27" w:lineRule="exact"/>
        <w:rPr>
          <w:sz w:val="20"/>
          <w:szCs w:val="20"/>
          <w:color w:val="auto"/>
        </w:rPr>
      </w:pPr>
    </w:p>
    <w:p>
      <w:pPr>
        <w:jc w:val="both"/>
        <w:ind w:right="240"/>
        <w:spacing w:after="0" w:line="262" w:lineRule="auto"/>
        <w:rPr>
          <w:sz w:val="20"/>
          <w:szCs w:val="20"/>
          <w:color w:val="auto"/>
        </w:rPr>
      </w:pPr>
      <w:r>
        <w:rPr>
          <w:rFonts w:ascii="Arial" w:cs="Arial" w:eastAsia="Arial" w:hAnsi="Arial"/>
          <w:sz w:val="21"/>
          <w:szCs w:val="21"/>
          <w:color w:val="auto"/>
        </w:rPr>
        <w:t>Imsidolimab, previously known as ANB019, is an antibody that inhibits the function of the interleukin-36-receptor, or IL-36R, which AnaptysBio plans to initially develop as a potential first-in-class therapy for patients suffering from generalized pustular psoriasis, or GPP, EGFR-mediated skin toxicity, ichthyosis, hidradenitis suppurativa and acne.</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AnaptysBio</w:t>
      </w:r>
    </w:p>
    <w:p>
      <w:pPr>
        <w:spacing w:after="0" w:line="27" w:lineRule="exact"/>
        <w:rPr>
          <w:sz w:val="20"/>
          <w:szCs w:val="20"/>
          <w:color w:val="auto"/>
        </w:rPr>
      </w:pPr>
    </w:p>
    <w:p>
      <w:pPr>
        <w:spacing w:after="0" w:line="256" w:lineRule="auto"/>
        <w:rPr>
          <w:sz w:val="20"/>
          <w:szCs w:val="20"/>
          <w:color w:val="auto"/>
        </w:rPr>
      </w:pPr>
      <w:r>
        <w:rPr>
          <w:rFonts w:ascii="Arial" w:cs="Arial" w:eastAsia="Arial" w:hAnsi="Arial"/>
          <w:sz w:val="21"/>
          <w:szCs w:val="21"/>
          <w:color w:val="auto"/>
        </w:rPr>
        <w:t>AnaptysBio is a clinical-stage biotechnology company developing first-in-class antibody product candidates focused on emerging immune control mechanisms applicable to inflammation and immuno-oncology indications. The Company’s proprietary anti-inflammatory pipeline includes its anti-IL-36R antibody imsidolimab, previously referred to as ANB019, for the treatment of rare inflammatory diseases, including generalized pustular psoriasis, or GPP, EGFRi skin toxicity, ichthyosis, hidradenitis suppurativa and acne; its anti-PD-1 agonist program, ANB030, for treatment of certain autoimmune diseases where immune checkpoint receptors are insufficiently activated; and its BTLA modulator program, ANB032, which is broadly applicable to human inflammatory diseases associated with lymphoid and myeloid immune cell dysregulation. AnaptysBio’s antibody pipeline has been developed using its proprietary somatic hypermutation, or SHM platform, which uses in vitro SHM for antibody discovery and is designed to replicate key features of the human immune system to overcome the limitations of competing antibody discovery technologies. AnaptysBio has also developed multiple therapeutic antibodies in an immuno-oncology collaboration with GlaxoSmithKline, including an anti-PD-1 antagonist antibody (dostarlimab GSK4057190A), an anti-TIM-3 antagonist antibody (cobolimab, GSK4069889A) and an anti-LAG-3 antagonist antibody (GSK4074386), and an inflammation collaboration with Bristol-Myers Squibb, including an anti-PD-1 checkpoint agonist antibody (CC-90006) currently in clinical development.</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21"/>
          <w:szCs w:val="21"/>
          <w:color w:val="auto"/>
        </w:rPr>
        <w:t>This press release contains forward-looking statements within the meaning of the "safe harbor" provisions of the Private Securities Litigation Reform Act of 1995, including, but not limited to: the timing of the release of data from our clinical trials, including imsidolimab’s Phase 2 clinical trials in EGFRi and ichthyosis; the timing of initiation of imsidolimab’s Phase 2 clinical trials in hidradenitis suppurativa and acne; and the timing of initiation of imsidolimab’s Phase 3 clinical trial in GPP.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1220"/>
          </w:cols>
          <w:pgMar w:left="320" w:top="1003" w:right="35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5900420</wp:posOffset>
            </wp:positionH>
            <wp:positionV relativeFrom="page">
              <wp:posOffset>88900</wp:posOffset>
            </wp:positionV>
            <wp:extent cx="1440180" cy="342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42900"/>
                    </a:xfrm>
                    <a:prstGeom prst="rect">
                      <a:avLst/>
                    </a:prstGeom>
                    <a:noFill/>
                  </pic:spPr>
                </pic:pic>
              </a:graphicData>
            </a:graphic>
          </wp:anchor>
        </w:drawing>
        <w:t>Contact: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Dennis Mulroy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AnaptysBio,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858.732.0201</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u w:val="single" w:color="auto"/>
          <w:color w:val="0563C1"/>
        </w:rPr>
        <w:t>dmulroy@anaptysbio.com</w:t>
      </w:r>
    </w:p>
    <w:sectPr>
      <w:pgSz w:w="11900" w:h="16838" w:orient="portrait"/>
      <w:cols w:equalWidth="0" w:num="1">
        <w:col w:w="10139"/>
      </w:cols>
      <w:pgMar w:left="320" w:top="10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2021-03-08T07:06:56Z</dcterms:created>
  <dcterms:modified xsi:type="dcterms:W3CDTF">2021-03-08T07:06:56Z</dcterms:modified>
</cp:coreProperties>
</file>