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CURRENT REPORT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Date of Report: May 9, 2024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(Date of earliest event reported)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ANAPTYSBIO, INC.</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(Exact Name of Registrant as Specified in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0"/>
        <w:gridCol w:w="1350"/>
        <w:gridCol w:w="1366"/>
        <w:gridCol w:w="877"/>
        <w:gridCol w:w="877"/>
        <w:gridCol w:w="885"/>
        <w:gridCol w:w="966"/>
        <w:gridCol w:w="966"/>
        <w:gridCol w:w="1378"/>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001-37985</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20-3828755</w:t>
            </w:r>
          </w:p>
        </w:tc>
      </w:tr>
      <w:tr>
        <w:trPr/>
        <w:tc>
          <w:tcPr>
            <w:tcW w:w="4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(State or Other Jurisdiction of Incorporation)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(Commission File Number)</w:t>
            </w:r>
          </w:p>
        </w:tc>
        <w:tc>
          <w:tcPr>
            <w:tcW w:w="3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10770 Wateridge Circle, Suite 210,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San Diego, CA 92121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and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(858) 362-6295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 Applicable</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Written communication pursuant to Rule 425 under the Securities Act (17 CFR 230.425)</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14d-2(b) under the Exchange Act (17 CFR 240.14d-2(b))</w:t>
      </w:r>
    </w:p>
    <w:p>
      <w:pPr>
        <w:pStyle w:val="TextBody"/>
        <w:bidi w:val="0"/>
        <w:spacing w:lineRule="auto" w:line="288" w:before="0" w:after="0"/>
        <w:jc w:val="left"/>
        <w:rPr/>
      </w:pPr>
      <w:r>
        <w:rPr>
          <w:color w:val="000000"/>
        </w:rPr>
        <w:t>☐</w:t>
      </w:r>
      <w:r>
        <w:rPr>
          <w:rFonts w:ascii="Times New Roman;sans-serif" w:hAnsi="Times New Roman;sans-serif"/>
          <w:b w:val="false"/>
          <w:color w:val="000000"/>
          <w:sz w:val="20"/>
        </w:rPr>
        <w:t>Pre-commencement communication pursuant to Rule 13e-4(c) under the Exchange Act (17 CFR 240.13e-4(c))</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44"/>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Indicate by check mark whether the registrant is an emerging growth company as defined in Rule 405 of the Securities Act of 1933 </w:t>
      </w:r>
      <w:r>
        <w:rPr>
          <w:rFonts w:ascii="Times New Roman;sans-serif" w:hAnsi="Times New Roman;sans-serif"/>
          <w:b w:val="false"/>
          <w:color w:val="000000"/>
          <w:sz w:val="20"/>
        </w:rPr>
        <w:t>(17 CFR §230.405 of this chapter) or Rule 12b-2 of the Securities Exchange Act of 1934 (17 CFR §240.12b-2 of this chapter).</w:t>
      </w:r>
    </w:p>
    <w:p>
      <w:pPr>
        <w:pStyle w:val="TextBody"/>
        <w:bidi w:val="0"/>
        <w:spacing w:before="0" w:after="0"/>
        <w:jc w:val="right"/>
        <w:rPr/>
      </w:pPr>
      <w:r>
        <w:rPr/>
      </w:r>
    </w:p>
    <w:p>
      <w:pPr>
        <w:pStyle w:val="TextBody"/>
        <w:bidi w:val="0"/>
        <w:spacing w:lineRule="auto" w:line="288" w:before="0" w:after="0"/>
        <w:jc w:val="right"/>
        <w:rPr/>
      </w:pPr>
      <w:r>
        <w:rPr>
          <w:rFonts w:ascii="Times New Roman;sans-serif" w:hAnsi="Times New Roman;sans-serif"/>
          <w:b w:val="false"/>
          <w:color w:val="000000"/>
          <w:sz w:val="20"/>
          <w:shd w:fill="FFFFFF" w:val="clear"/>
        </w:rPr>
        <w:t>Emerging growth company</w:t>
      </w:r>
      <w:r>
        <w:rPr>
          <w:color w:val="000000"/>
        </w:rPr>
        <w:t xml:space="preserve"> ☐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Item 2.02    Results of Operations and Financial Condition.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On May 9, 2024, AnaptysBio, Inc. (“AnaptysBio”) issued a press release announcing its financial results for the three months ended March 31, 2024. A copy of the press release is attached as Exhibit 99.1 to this Current Report on Form 8-K.</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2"/>
        <w:gridCol w:w="449"/>
        <w:gridCol w:w="452"/>
        <w:gridCol w:w="2581"/>
        <w:gridCol w:w="2565"/>
        <w:gridCol w:w="3646"/>
      </w:tblGrid>
      <w:tr>
        <w:trPr/>
        <w:tc>
          <w:tcPr>
            <w:tcW w:w="5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Number</w:t>
            </w:r>
          </w:p>
        </w:tc>
        <w:tc>
          <w:tcPr>
            <w:tcW w:w="879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color w:val="000000"/>
                <w:sz w:val="22"/>
              </w:rPr>
            </w:pPr>
            <w:r>
              <w:rPr>
                <w:rFonts w:ascii="Times New Roman;sans-serif" w:hAnsi="Times New Roman;sans-serif"/>
                <w:b/>
                <w:color w:val="000000"/>
                <w:sz w:val="22"/>
              </w:rPr>
              <w:t>Exhibit Title or Description</w:t>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4earningsrelease.htm">
              <w:r>
                <w:rPr>
                  <w:rStyle w:val="InternetLink"/>
                  <w:rFonts w:ascii="Times New Roman;sans-serif" w:hAnsi="Times New Roman;sans-serif"/>
                  <w:b w:val="false"/>
                  <w:color w:val="0000FF"/>
                  <w:sz w:val="22"/>
                  <w:u w:val="single"/>
                </w:rPr>
                <w:t>99.1</w:t>
              </w:r>
            </w:hyperlink>
          </w:p>
        </w:tc>
        <w:tc>
          <w:tcPr>
            <w:tcW w:w="87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Press release issued by AnaptysBio, Inc. regarding its financial results for the three months ended March 31, 2024, dated May 9, 2024.</w:t>
            </w:r>
          </w:p>
        </w:tc>
      </w:tr>
      <w:tr>
        <w:trPr/>
        <w:tc>
          <w:tcPr>
            <w:tcW w:w="141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87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before="100" w:after="10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tbl>
      <w:tblPr>
        <w:tblW w:w="5516" w:type="dxa"/>
        <w:jc w:val="center"/>
        <w:tblInd w:w="0" w:type="dxa"/>
        <w:tblLayout w:type="fixed"/>
        <w:tblCellMar>
          <w:top w:w="28" w:type="dxa"/>
          <w:left w:w="28" w:type="dxa"/>
          <w:bottom w:w="28" w:type="dxa"/>
          <w:right w:w="28" w:type="dxa"/>
        </w:tblCellMar>
      </w:tblPr>
      <w:tblGrid>
        <w:gridCol w:w="347"/>
        <w:gridCol w:w="305"/>
        <w:gridCol w:w="305"/>
        <w:gridCol w:w="305"/>
        <w:gridCol w:w="305"/>
        <w:gridCol w:w="305"/>
        <w:gridCol w:w="270"/>
        <w:gridCol w:w="270"/>
        <w:gridCol w:w="270"/>
        <w:gridCol w:w="823"/>
        <w:gridCol w:w="823"/>
        <w:gridCol w:w="1188"/>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18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May 9, 2024</w:t>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/s/Dennis Mulroy</w:t>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Dennis Mulroy</w:t>
            </w:r>
          </w:p>
        </w:tc>
      </w:tr>
      <w:tr>
        <w:trPr/>
        <w:tc>
          <w:tcPr>
            <w:tcW w:w="18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rFonts w:ascii="Times New Roman;sans-serif" w:hAnsi="Times New Roman;sans-serif"/>
          <w:b/>
          <w:color w:val="000000"/>
          <w:sz w:val="28"/>
        </w:rPr>
      </w:pPr>
      <w:r>
        <w:rPr>
          <w:rFonts w:ascii="Times New Roman;sans-serif" w:hAnsi="Times New Roman;sans-serif"/>
          <w:b/>
          <w:color w:val="000000"/>
          <w:sz w:val="28"/>
        </w:rPr>
        <w:t xml:space="preserve">Anaptys Announces First Quarter 2024 Financial Results and </w:t>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Provides Business Update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 xml:space="preserve">Enrollment ongoing for global Phase 2b trial to treat atopic dermatitis (AD) with ANB032, our BTLA agonist; reiterating top-line data anticipated by year-end 2024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Enrollment ongoing for global Phase 2b trial to treat rheumatoid arthritis (RA) and global Phase 2 trial to treat ulcerative colitis (UC) with rosnilimab, our PD-1 agonist; reiterating top-line data anticipated by mid 2025 and H1 2026,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IND submissions for ANB033 (anti-CD122 antagonist) and ANB101 (BDCA2 modulator) anticipated Q2 2024 and H2 2024, respectively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Announced positive top-line GEMINI-2 Phase 3 trial results of imsidolimab, our IL-36R mAb, in generalized pustular psoriasis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 xml:space="preserve">Announced a $50 million capped non-recourse royalty monetization from amended agreement with Sagard in exchange for additional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royalties</w:t>
      </w:r>
    </w:p>
    <w:p>
      <w:pPr>
        <w:pStyle w:val="TextBody"/>
        <w:bidi w:val="0"/>
        <w:spacing w:lineRule="auto" w:line="288" w:before="240" w:after="283"/>
        <w:jc w:val="left"/>
        <w:rPr/>
      </w:pPr>
      <w:r>
        <w:rPr>
          <w:rFonts w:ascii="Times New Roman;sans-serif" w:hAnsi="Times New Roman;sans-serif"/>
          <w:b/>
          <w:color w:val="000000"/>
          <w:sz w:val="22"/>
        </w:rPr>
        <w:t>SAN DIEGO, May 9, 2024</w:t>
      </w:r>
      <w:r>
        <w:rPr>
          <w:color w:val="000000"/>
        </w:rPr>
        <w:t xml:space="preserve"> — </w:t>
      </w:r>
      <w:r>
        <w:rPr>
          <w:rFonts w:ascii="Times New Roman;sans-serif" w:hAnsi="Times New Roman;sans-serif"/>
          <w:b w:val="false"/>
          <w:color w:val="000000"/>
          <w:sz w:val="22"/>
        </w:rPr>
        <w:t>AnaptysBio, Inc. (Nasdaq: ANAB), a clinical-stage biotechnology company focused on delivering innovative immunology therapeutics, today reported financial results for the first quarter ended March 31, 2024 and provided a business update.</w:t>
      </w:r>
    </w:p>
    <w:p>
      <w:pPr>
        <w:pStyle w:val="TextBody"/>
        <w:bidi w:val="0"/>
        <w:spacing w:lineRule="auto" w:line="288" w:before="240" w:after="283"/>
        <w:jc w:val="left"/>
        <w:rPr/>
      </w:pPr>
      <w:r>
        <w:rPr>
          <w:color w:val="000000"/>
        </w:rPr>
        <w:t>“</w:t>
      </w:r>
      <w:r>
        <w:rPr>
          <w:rFonts w:ascii="Times New Roman;sans-serif" w:hAnsi="Times New Roman;sans-serif"/>
          <w:b w:val="false"/>
          <w:color w:val="000000"/>
          <w:sz w:val="22"/>
        </w:rPr>
        <w:t>This quarter, we continued to enroll patients globally across three Phase 2 trials for our two best-in-class checkpoint agonists: ANB032, our BTLA agonist, and rosnilimab, our PD-1 agonist. By year end, we anticipate sharing top-line data from ANB032’s Phase 2b trial in atopic dermatitis, as well as moving our two pre-clinical immune cell modulators, ANB033 and ANB101, into clinical development,” said Daniel Faga, president and chief executive officer of Anaptys. “Additionally, we are excited to further strengthen our balance sheet by adding $50 million through a capped non-recourse monetization of Jemperli royalties as well as share incremental data from the imsidolimab Phase 3 program.</w:t>
      </w:r>
      <w:r>
        <w:rPr>
          <w:color w:val="000000"/>
        </w:rPr>
        <w:t>”</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Updates on Wholly Owned Immune Cell Modulator Pipeline</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ANB032 (BTLA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global Phase 2b trial in moderate-to-severe AD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160 patient placebo-controlled trial assessing three dose levels of subcutaneously administered ANB032 (randomized 1:1:1:1) for a 14-week treatment duration and then followed for a six-month off-drug follow-up period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Reiterating top-line Week 14 data anticipated by year-end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Primary endpoint in Phase 2b trial to be updated from absolute change in EASI score to EASI-75 at Week 14, which is a well-accepted registrational endpoint that enables more relevant comparisons to benchmark therapies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Presented posters on previously reported ANB032 preclinical data supporting the modulation of dendritic cell (DC) maturation and function and preclinical graft vs. host disease (GvHD) data at the 2024 American Academy of Dermatology (AAD) Annual Meeting in March 2024 and American Association of Immunologists (AAI) Annual Meeting in May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2"/>
        </w:rPr>
        <w:t>Poster presentations are available at https://www.anaptysbio.com/technology/#anb032</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Rosnilimab (PD-1 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global Phase 2b trial in moderate-to-severe RA</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420-patient placebo-controlled trial assessing three dose levels of subcutaneously administered rosnilimab (randomized 1:1:1:1) for a 12-week treatment duration on well-established endpoints, including DAS28-CRP, CDAI and ACR20/50/70</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At Week 14, rosnilimab-treated patients who achieve low disease activity, defined as CDAI&lt;=10, are eligible to be dosed for an additional 16-week all-active treatment period and then followed for a three-month off-drug follow-up period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Reiterating top-line Week 12 data anticipated by mid 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Enrollment ongoing for global Phase 2 trial in moderate-to-severe UC</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130-patient placebo-controlled trial assessing two dose levels of subcutaneously administered rosnilimab (randomized 1:1:1) for a 12-week treatment duration on well-established endpoints, including clinical response on modified Mayo score (mMS), clinical remission on mMS and endoscopic remission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Rosnilimab and placebo-treated patients who achieved clinical response on mMS are eligible to continue on their assigned treatment for an additional 12 weeks, while patients on placebo who are non-responders will be crossed over to the high-dose rosnilimab treatment arm, in an all-active treatment period and then followed for a three-month off-drug follow-up period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Reiterating top-line Week 12 data anticipated by H1 2026</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Presented poster on previously reported rosnilimab Phase 1 data and membrane proximal binding epitope to optimize PD-1 agonist signaling at the 19</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Congress of the European Crohn’s and Colitis Organisation (ECCO) in February 2024</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Poster presentation is available https://www.anaptysbio.com/technology/#anb030</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ANB033 (anti-CD122 antagonist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Plan to submit an Investigational New Drug (IND) application in Q2 2024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ANB101 (BDCA2 modulator antibody)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Plan to submit an IND application in H2 2024</w:t>
      </w:r>
    </w:p>
    <w:p>
      <w:pPr>
        <w:pStyle w:val="TextBody"/>
        <w:bidi w:val="0"/>
        <w:spacing w:lineRule="auto" w:line="288" w:before="240" w:after="283"/>
        <w:jc w:val="left"/>
        <w:rPr/>
      </w:pPr>
      <w:r>
        <w:rPr>
          <w:rFonts w:ascii="Times New Roman;sans-serif" w:hAnsi="Times New Roman;sans-serif"/>
          <w:b/>
          <w:color w:val="000000"/>
          <w:sz w:val="22"/>
        </w:rPr>
        <w:t>Updates on Legacy Clinical-Stage Cytokine Antagonist Programs Available for Out-Licensing</w:t>
      </w:r>
      <w:r>
        <w:rPr>
          <w:color w:val="000000"/>
        </w:rPr>
        <w:t xml:space="preserv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Announced positive top-line results from its global GEMINI-1 and GEMINI-2 Phase 3 trials evaluating the safety and efficacy of investigational imsidolimab (IL-36R mAb) in patients with generalized pustular psoriasis (GPP)</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See full press release at https://ir.anaptysbio.com/news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Plan to submit a comprehensive data abstract for GEMINI-1 and GEMINI-2 to a H2 2024 medical meeting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2"/>
        </w:rPr>
        <w:t>Intend to out-license imsidolimab in 2024</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Updates on GSK Immuno-Oncology Financial Collaboration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Announced a $50 million capped non-recourse monetization from amended agreement with Sagard in exchange for additional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(dostarlimab) royalties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See full press release at https://ir.anaptysbio.com/news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GSK anticipates top-line data in H2 2024 from the FIRST Phase 3 trial for platinum-based therapy with dostarlimab and niraparib versus platinum-based therapy as first-line treatment of Stage III or IV nonmucinous epithelial ovarian cancer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GSK anticipates top-line data in 2025 from COSTAR Lung Phase 3 trial comparing cobolimab, a TIM-3 antagonist, plus dostarlimab, a PD-1 antagonist, plus docetaxel to dostarlimab plus docetaxel to docetaxel alone in patients with advanced NSCLC who have progressed on prior anti-PD-(L)1 therapy and chemotherapy</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First Quarter Financial Results and Cash Runway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Excluding the $50 million in proceeds from the capped non-recourse monetization of </w:t>
      </w:r>
      <w:r>
        <w:rPr>
          <w:rFonts w:ascii="Times New Roman;sans-serif" w:hAnsi="Times New Roman;sans-serif"/>
          <w:b w:val="false"/>
          <w:i/>
          <w:color w:val="000000"/>
          <w:sz w:val="22"/>
        </w:rPr>
        <w:t xml:space="preserve">Jemperli </w:t>
      </w:r>
      <w:r>
        <w:rPr>
          <w:rFonts w:ascii="Times New Roman;sans-serif" w:hAnsi="Times New Roman;sans-serif"/>
          <w:b w:val="false"/>
          <w:color w:val="000000"/>
          <w:sz w:val="22"/>
        </w:rPr>
        <w:t>royalties by Sagard, cash, cash equivalents and investments totaled $370.1 million as of March 31, 2024, compared to $417.9 million as of December 31, 2023, for a decrease of $36.9 million relating primarily to cash used for operating activities as well as a one-time non-operating cash payment of $10.9 million during the quarter.</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2"/>
        </w:rPr>
        <w:t>Reiterating cash runway through year-end 2026</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 xml:space="preserve">Collaboration revenue was $7.2 million for the three months ended March 31, 2024, compared to $1.4 million for the three months ended March 31, 2023. The change is due primarily to increased royalties recognized for sales of </w:t>
      </w:r>
      <w:r>
        <w:rPr>
          <w:rFonts w:ascii="Times New Roman;sans-serif" w:hAnsi="Times New Roman;sans-serif"/>
          <w:b w:val="false"/>
          <w:i/>
          <w:color w:val="000000"/>
          <w:sz w:val="22"/>
        </w:rPr>
        <w:t>Jemperli</w:t>
      </w:r>
      <w:r>
        <w:rPr>
          <w:rFonts w:ascii="Times New Roman;sans-serif" w:hAnsi="Times New Roman;sans-serif"/>
          <w:b w:val="false"/>
          <w:color w:val="000000"/>
          <w:sz w:val="22"/>
        </w:rPr>
        <w: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Research and development expenses were $37.0 million for the three months ended March 31, 2024, compared to $35.0 million for the three months ended March 31, 2023. The increase was due primarily to development costs for rosnilimab, ANB032 and ANB033 offset by a decrease in development costs for imsidolimab. The R&amp;D non-cash, stock-based compensation expense was $3.5 million for the three months ended March 31, 2024 as compared to $2.8 million in the same period in 2023.</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General and administrative expenses were $12.3 million for the three months ended March 31, 2024, compared to $10.8 million for the three months ended March 31, 2023. The G&amp;A non-cash, stock-based compensation expense was $6.7 million for the three months ended March 31, 2024 as compared to $6.1 million in the same period in 2023.</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2"/>
        </w:rPr>
        <w:t>Net loss was $43.9 million for the three months ended March 31, 2024, or a net loss per share of $1.64, compared to a net loss of $44.3 million for the three months ended March 31, 2023, or a net loss per share of $1.58.</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Anaptys</w:t>
      </w:r>
    </w:p>
    <w:p>
      <w:pPr>
        <w:pStyle w:val="TextBody"/>
        <w:bidi w:val="0"/>
        <w:spacing w:lineRule="auto" w:line="288" w:before="120" w:after="283"/>
        <w:jc w:val="left"/>
        <w:rPr/>
      </w:pPr>
      <w:r>
        <w:rPr>
          <w:rFonts w:ascii="Times New Roman;sans-serif" w:hAnsi="Times New Roman;sans-serif"/>
          <w:b w:val="false"/>
          <w:color w:val="000000"/>
          <w:sz w:val="22"/>
        </w:rPr>
        <w:t>Anaptys is a clinical-stage biotechnology company focused on delivering innovative immunology therapeutics. It is developing immune cell modulators, including two checkpoint agonists for autoimmune and inflammatory disease: ANB032, its BTLA agonist, in a Phase 2b trial for the treatment of atopic dermatitis and rosnilimab, its PD-1 agonist, in a Phase 2b trial for the treatment of rheumatoid arthritis and in a Phase 2 trial for the treatment of ulcerative colitis. Its preclinical immune cell modulator portfolio includes ANB033, an anti-CD122 antagonist antibody, and ANB101, a BDCA2 modulator antibody, for the treatment of autoimmune and inflammatory diseases. In addition, Anaptys has developed two cytokine antagonists available for out-licensing: imsidolimab, an anti-IL-36R antagonist, that has completed Phase 3 trials for the treatment of generalized pustular psoriasis, and etokimab, an anti-IL-33 antagonist that is Phase 2/3 ready. Anaptys has also discovered multiple therapeutic antibodies licensed to GSK in a financial collaboration for immuno-oncology, including an anti-PD-1 antagonist antibody (</w:t>
      </w:r>
      <w:r>
        <w:rPr>
          <w:rFonts w:ascii="Times New Roman;sans-serif" w:hAnsi="Times New Roman;sans-serif"/>
          <w:b w:val="false"/>
          <w:i/>
          <w:color w:val="000000"/>
          <w:sz w:val="22"/>
        </w:rPr>
        <w:t>Jemperli</w:t>
      </w:r>
      <w:r>
        <w:rPr>
          <w:color w:val="000000"/>
        </w:rPr>
        <w:t xml:space="preserve"> </w:t>
      </w:r>
      <w:r>
        <w:rPr>
          <w:rFonts w:ascii="Times New Roman;sans-serif" w:hAnsi="Times New Roman;sans-serif"/>
          <w:b w:val="false"/>
          <w:color w:val="000000"/>
          <w:sz w:val="22"/>
        </w:rPr>
        <w:t xml:space="preserve">(dostarlimab-gxly)) and an anti-TIM-3 antagonist antibody (cobolimab, GSK4069889). To learn more, visit www.AnaptysBio.com or follow us on LinkedIn and X. </w:t>
      </w:r>
    </w:p>
    <w:p>
      <w:pPr>
        <w:pStyle w:val="TextBody"/>
        <w:bidi w:val="0"/>
        <w:spacing w:lineRule="auto" w:line="288" w:before="180" w:after="283"/>
        <w:jc w:val="left"/>
        <w:rPr>
          <w:rFonts w:ascii="Times New Roman;sans-serif" w:hAnsi="Times New Roman;sans-serif"/>
          <w:b/>
          <w:color w:val="000000"/>
          <w:sz w:val="22"/>
        </w:rPr>
      </w:pPr>
      <w:r>
        <w:rPr>
          <w:rFonts w:ascii="Times New Roman;sans-serif" w:hAnsi="Times New Roman;sans-serif"/>
          <w:b/>
          <w:color w:val="000000"/>
          <w:sz w:val="22"/>
        </w:rPr>
        <w:t>Forward-Looking Statements</w: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contains forward-looking statements within the meaning of the “safe harbor” provisions of the Private Securities Litigation Reform Act of 1995, including, but not limited to: the timing of the release of data from the Company’s clinical trials, including ANB032’s Phase 2b clinical trial in atopic dermatitis and rosnilimab’s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Phase 2b clinical trial in rheumatoid arthritis and Phase 2 clinical trial in ulcerative colitis; the timing of IND filings for ANB033 and ANB101; the timing of a presentation of Phase 3 clinical data at a medical conference; the potential to receive any additional royalties from the GSK collaboration; the Company’s ability to find a licensing partner for imsidolimab or etokimab and the timing of any such transaction; and the Company’s projected cash runway. Statements including words such as “plan,” “intend,”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 </w:t>
      </w:r>
    </w:p>
    <w:p>
      <w:pPr>
        <w:pStyle w:val="TextBody"/>
        <w:bidi w:val="0"/>
        <w:spacing w:lineRule="auto" w:line="333" w:before="240" w:after="283"/>
        <w:jc w:val="left"/>
        <w:rPr>
          <w:rFonts w:ascii="Times New Roman;sans-serif" w:hAnsi="Times New Roman;sans-serif"/>
          <w:b/>
          <w:color w:val="000000"/>
          <w:sz w:val="22"/>
        </w:rPr>
      </w:pPr>
      <w:r>
        <w:rPr>
          <w:rFonts w:ascii="Times New Roman;sans-serif" w:hAnsi="Times New Roman;sans-serif"/>
          <w:b/>
          <w:color w:val="000000"/>
          <w:sz w:val="22"/>
        </w:rPr>
        <w:t>Contact: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Nick Montemarano</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Senior Director, Investor Relations and Strategic Communications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858.732.0178</w:t>
      </w:r>
    </w:p>
    <w:p>
      <w:pPr>
        <w:pStyle w:val="TextBody"/>
        <w:bidi w:val="0"/>
        <w:spacing w:lineRule="auto" w:line="333"/>
        <w:jc w:val="left"/>
        <w:rPr/>
      </w:pPr>
      <w:r>
        <w:rPr>
          <w:rFonts w:ascii="Times New Roman;sans-serif" w:hAnsi="Times New Roman;sans-serif"/>
          <w:b w:val="false"/>
          <w:color w:val="0563C1"/>
          <w:sz w:val="22"/>
          <w:u w:val="single"/>
        </w:rPr>
        <w:t>investors@anaptysbio.com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100"/>
        <w:jc w:val="center"/>
        <w:rPr/>
      </w:pPr>
      <w:r>
        <w:rPr/>
      </w:r>
    </w:p>
    <w:tbl>
      <w:tblPr>
        <w:tblW w:w="10205" w:type="dxa"/>
        <w:jc w:val="left"/>
        <w:tblInd w:w="0" w:type="dxa"/>
        <w:tblLayout w:type="fixed"/>
        <w:tblCellMar>
          <w:top w:w="28" w:type="dxa"/>
          <w:left w:w="28" w:type="dxa"/>
          <w:bottom w:w="28" w:type="dxa"/>
          <w:right w:w="28" w:type="dxa"/>
        </w:tblCellMar>
      </w:tblPr>
      <w:tblGrid>
        <w:gridCol w:w="2790"/>
        <w:gridCol w:w="2301"/>
        <w:gridCol w:w="2288"/>
        <w:gridCol w:w="218"/>
        <w:gridCol w:w="820"/>
        <w:gridCol w:w="121"/>
        <w:gridCol w:w="109"/>
        <w:gridCol w:w="109"/>
        <w:gridCol w:w="109"/>
        <w:gridCol w:w="241"/>
        <w:gridCol w:w="905"/>
        <w:gridCol w:w="194"/>
      </w:tblGrid>
      <w:tr>
        <w:trPr/>
        <w:tc>
          <w:tcPr>
            <w:tcW w:w="27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6,851</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300,970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354,939</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372,420 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406,835 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2,098</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27,026</w:t>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310,184 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March 31, 2024 and December 31, 2023,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27,317 shares and 26,597 shares issued and outstanding at March 31, 2024 and December 31, 2023, respectively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706,407 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702,969 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(658,032)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(614,096)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88,103 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405,835 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452,389 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333" w:before="0" w:after="10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29" w:type="dxa"/>
        <w:jc w:val="left"/>
        <w:tblInd w:w="0" w:type="dxa"/>
        <w:tblLayout w:type="fixed"/>
        <w:tblCellMar>
          <w:top w:w="28" w:type="dxa"/>
          <w:left w:w="28" w:type="dxa"/>
          <w:bottom w:w="28" w:type="dxa"/>
          <w:right w:w="28" w:type="dxa"/>
        </w:tblCellMar>
      </w:tblPr>
      <w:tblGrid>
        <w:gridCol w:w="1488"/>
        <w:gridCol w:w="1307"/>
        <w:gridCol w:w="1315"/>
        <w:gridCol w:w="109"/>
        <w:gridCol w:w="109"/>
        <w:gridCol w:w="140"/>
        <w:gridCol w:w="140"/>
        <w:gridCol w:w="253"/>
        <w:gridCol w:w="930"/>
        <w:gridCol w:w="140"/>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(42,201)</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26,801 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27,953 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2594</Words>
  <Characters>15256</Characters>
  <CharactersWithSpaces>17692</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