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20"/>
        <w:spacing w:after="0"/>
        <w:rPr>
          <w:sz w:val="20"/>
          <w:szCs w:val="20"/>
          <w:color w:val="auto"/>
        </w:rPr>
      </w:pPr>
      <w:r>
        <w:rPr>
          <w:rFonts w:ascii="Arial" w:cs="Arial" w:eastAsia="Arial" w:hAnsi="Arial"/>
          <w:sz w:val="20"/>
          <w:szCs w:val="20"/>
          <w:b w:val="1"/>
          <w:bCs w:val="1"/>
          <w:color w:val="auto"/>
        </w:rPr>
        <w:t>Date of Report: August 8, 2022</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8" w:lineRule="exact"/>
        <w:rPr>
          <w:sz w:val="20"/>
          <w:szCs w:val="20"/>
          <w:color w:val="auto"/>
        </w:rPr>
      </w:pPr>
    </w:p>
    <w:p>
      <w:pPr>
        <w:ind w:right="460"/>
        <w:spacing w:after="0" w:line="272" w:lineRule="auto"/>
        <w:rPr>
          <w:sz w:val="20"/>
          <w:szCs w:val="20"/>
          <w:color w:val="auto"/>
        </w:rPr>
      </w:pPr>
      <w:r>
        <w:rPr>
          <w:rFonts w:ascii="Arial" w:cs="Arial" w:eastAsia="Arial" w:hAnsi="Arial"/>
          <w:sz w:val="19"/>
          <w:szCs w:val="19"/>
          <w:color w:val="auto"/>
        </w:rPr>
        <w:t>On August 8, 2022, AnaptysBio, Inc. (“AnaptysBio”) issued a press release announcing its financial results for the three and six months ended June 30, 2022. A copy of the press release is attached as Exhibit 99.1 to this Current Report on Form 8-K.</w:t>
      </w:r>
    </w:p>
    <w:p>
      <w:pPr>
        <w:spacing w:after="0" w:line="180"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3"/>
              </w:rPr>
              <w:t>Press release issued by AnaptysBio, Inc. regarding its financial results for the three and six months ended</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June 30, 2022, dated August 8, 2022.</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960" w:type="dxa"/>
            <w:vAlign w:val="bottom"/>
          </w:tcPr>
          <w:p>
            <w:pPr>
              <w:spacing w:after="0"/>
              <w:rPr>
                <w:sz w:val="21"/>
                <w:szCs w:val="21"/>
                <w:color w:val="auto"/>
              </w:rPr>
            </w:pPr>
          </w:p>
        </w:tc>
        <w:tc>
          <w:tcPr>
            <w:tcW w:w="8260" w:type="dxa"/>
            <w:vAlign w:val="bottom"/>
            <w:gridSpan w:val="2"/>
          </w:tcPr>
          <w:p>
            <w:pPr>
              <w:ind w:left="1260"/>
              <w:spacing w:after="0"/>
              <w:rPr>
                <w:sz w:val="20"/>
                <w:szCs w:val="20"/>
                <w:color w:val="auto"/>
              </w:rPr>
            </w:pPr>
            <w:r>
              <w:rPr>
                <w:rFonts w:ascii="Arial" w:cs="Arial" w:eastAsia="Arial" w:hAnsi="Arial"/>
                <w:sz w:val="20"/>
                <w:szCs w:val="20"/>
                <w:color w:val="auto"/>
              </w:rPr>
              <w:t>AnaptysBio, Inc.</w:t>
            </w:r>
          </w:p>
        </w:tc>
      </w:tr>
      <w:tr>
        <w:trPr>
          <w:trHeight w:val="246"/>
        </w:trPr>
        <w:tc>
          <w:tcPr>
            <w:tcW w:w="2960" w:type="dxa"/>
            <w:vAlign w:val="bottom"/>
          </w:tcPr>
          <w:p>
            <w:pPr>
              <w:spacing w:after="0"/>
              <w:rPr>
                <w:sz w:val="20"/>
                <w:szCs w:val="20"/>
                <w:color w:val="auto"/>
              </w:rPr>
            </w:pPr>
            <w:r>
              <w:rPr>
                <w:rFonts w:ascii="Arial" w:cs="Arial" w:eastAsia="Arial" w:hAnsi="Arial"/>
                <w:sz w:val="20"/>
                <w:szCs w:val="20"/>
                <w:color w:val="auto"/>
              </w:rPr>
              <w:t>Date: August 8, 2022</w:t>
            </w:r>
          </w:p>
        </w:tc>
        <w:tc>
          <w:tcPr>
            <w:tcW w:w="8260" w:type="dxa"/>
            <w:vAlign w:val="bottom"/>
            <w:gridSpan w:val="2"/>
          </w:tcPr>
          <w:p>
            <w:pPr>
              <w:ind w:left="1260"/>
              <w:spacing w:after="0"/>
              <w:rPr>
                <w:sz w:val="20"/>
                <w:szCs w:val="20"/>
                <w:color w:val="auto"/>
              </w:rPr>
            </w:pPr>
            <w:r>
              <w:rPr>
                <w:rFonts w:ascii="Arial" w:cs="Arial" w:eastAsia="Arial" w:hAnsi="Arial"/>
                <w:sz w:val="20"/>
                <w:szCs w:val="20"/>
                <w:color w:val="auto"/>
              </w:rPr>
              <w:t>By:   /s/Dennis Mulroy</w:t>
            </w:r>
          </w:p>
        </w:tc>
      </w:tr>
      <w:tr>
        <w:trPr>
          <w:trHeight w:val="254"/>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29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AnaptysBio Announces Second Quarter 2022 Financial Results and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Provides Pipeline Update</w:t>
      </w:r>
    </w:p>
    <w:p>
      <w:pPr>
        <w:spacing w:after="0" w:line="96" w:lineRule="exact"/>
        <w:rPr>
          <w:sz w:val="20"/>
          <w:szCs w:val="20"/>
          <w:color w:val="auto"/>
        </w:rPr>
      </w:pPr>
    </w:p>
    <w:p>
      <w:pPr>
        <w:ind w:left="340" w:right="48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the ongoing imsidolimab (anti-IL-36R Ab) HARP Phase 2 trial in moderate-to-severe hidradenitis suppurativa is anticipated in Q3 2022</w:t>
      </w:r>
    </w:p>
    <w:p>
      <w:pPr>
        <w:spacing w:after="0" w:line="68" w:lineRule="exact"/>
        <w:rPr>
          <w:rFonts w:ascii="Arial" w:cs="Arial" w:eastAsia="Arial" w:hAnsi="Arial"/>
          <w:sz w:val="20"/>
          <w:szCs w:val="20"/>
          <w:color w:val="auto"/>
        </w:rPr>
      </w:pPr>
    </w:p>
    <w:p>
      <w:pPr>
        <w:ind w:left="340" w:right="76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the ongoing rosnilimab (anti-PD-1 agonist Ab) AZURE Phase 2 trial in moderate-to-severe alopecia areata is anticipated in Q1 2023</w:t>
      </w:r>
    </w:p>
    <w:p>
      <w:pPr>
        <w:spacing w:after="0" w:line="130"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b w:val="1"/>
          <w:bCs w:val="1"/>
          <w:color w:val="auto"/>
        </w:rPr>
        <w:t xml:space="preserve">SAN DIEGO, August 8, 2022 </w:t>
      </w:r>
      <w:r>
        <w:rPr>
          <w:rFonts w:ascii="Arial" w:cs="Arial" w:eastAsia="Arial" w:hAnsi="Arial"/>
          <w:sz w:val="20"/>
          <w:szCs w:val="20"/>
          <w:color w:val="auto"/>
        </w:rPr>
        <w:t>- AnaptysBio, Inc. (Nasdaq: ANAB), a clinical-stage biotechnology company focused on delivering</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innovative immunology therapeutics, today reported operating results for the second quarter ended June 30, 2022 and provided pipeline updates.</w:t>
      </w:r>
    </w:p>
    <w:p>
      <w:pPr>
        <w:spacing w:after="0" w:line="7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“We are excited with our progress as we continue to execute on our ongoing clinical studies and anticipate top-line data from the imsidolimab HARP Phase 2 trial in moderate-to- severe hidradenitis suppurativa later this quarter and are pleased to announce top-line data from the rosnilimab AZURE Phase 2 trial in moderate-to-severe alopecia areata is now accelerated into Q1 2023,” said Daniel Faga, interim president and chief executive officer of AnaptysBio. “With over $570 million in cash at the end of Q2, and reiterating 2022 net cash burn of $90 to $100 million, Anaptys is well capitalized to execute as we move forward in our strategic portfolio review.”</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135" w:lineRule="exact"/>
        <w:rPr>
          <w:sz w:val="20"/>
          <w:szCs w:val="20"/>
          <w:color w:val="auto"/>
        </w:rPr>
      </w:pPr>
    </w:p>
    <w:p>
      <w:pPr>
        <w:ind w:left="660" w:right="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Imsidolimab, our investigational wholly owned anti-IL-36R therapeutic antibody, is in Phase 3 trials in generalized pustular psoriasis (GPP), and we anticipate top-line data from the GEMINI-1 Phase 3 clinical trial in Q4 2023.</w:t>
      </w:r>
    </w:p>
    <w:p>
      <w:pPr>
        <w:spacing w:after="0" w:line="88"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anticipate top-line data from the HARP Phase 2 trial in moderate-to-severe hidradenitis suppurativa in Q3 2022.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Rosnilimab (Anti-PD-1 agonist) Program</w:t>
      </w:r>
    </w:p>
    <w:p>
      <w:pPr>
        <w:spacing w:after="0" w:line="135" w:lineRule="exact"/>
        <w:rPr>
          <w:sz w:val="20"/>
          <w:szCs w:val="20"/>
          <w:color w:val="auto"/>
        </w:rPr>
      </w:pPr>
    </w:p>
    <w:p>
      <w:pPr>
        <w:ind w:left="660" w:right="52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Rosnilimab, our investigational wholly owned anti-PD-1 agonist therapeutic antibody, is in the AZURE Phase 2 clinical trial in moderate-to-severe alopecia areata, and we anticipate top-line data in Q1 2023.</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agonist) Program</w:t>
      </w:r>
    </w:p>
    <w:p>
      <w:pPr>
        <w:spacing w:after="0" w:line="108" w:lineRule="exact"/>
        <w:rPr>
          <w:sz w:val="20"/>
          <w:szCs w:val="20"/>
          <w:color w:val="auto"/>
        </w:rPr>
      </w:pPr>
    </w:p>
    <w:p>
      <w:pPr>
        <w:jc w:val="both"/>
        <w:ind w:left="660" w:right="20" w:hanging="328"/>
        <w:spacing w:after="0" w:line="25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ANB032, our investigational wholly owned anti-BTLA agonist antibody, recently demonstrated favorable safety and tolerability with no observed dose limiting toxicities and no serious adverse events (SAEs) reported, will be advancing with an IND filing for a Phase 2 clinical trial anticipated in Q4 2022.</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Second Quarter Financial Results</w:t>
      </w:r>
    </w:p>
    <w:p>
      <w:pPr>
        <w:spacing w:after="0" w:line="108" w:lineRule="exact"/>
        <w:rPr>
          <w:sz w:val="20"/>
          <w:szCs w:val="20"/>
          <w:color w:val="auto"/>
        </w:rPr>
      </w:pPr>
    </w:p>
    <w:p>
      <w:pPr>
        <w:ind w:left="660" w:right="2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cash equivalents and investments totaled $572.1 million as of June 30, 2022, compared to $615.2 million as of December 31, 2021, for a decrease of $43.1 million. The decrease relates primarily to cash used for operating activities offset by cash received from stock option exercises. Reiterate anticipated 2022 net cash burn of $90 to $100 million.</w:t>
      </w:r>
    </w:p>
    <w:p>
      <w:pPr>
        <w:spacing w:after="0" w:line="77" w:lineRule="exact"/>
        <w:rPr>
          <w:rFonts w:ascii="Arial" w:cs="Arial" w:eastAsia="Arial" w:hAnsi="Arial"/>
          <w:sz w:val="20"/>
          <w:szCs w:val="20"/>
          <w:color w:val="auto"/>
        </w:rPr>
      </w:pPr>
    </w:p>
    <w:p>
      <w:pPr>
        <w:ind w:left="660" w:right="540" w:hanging="328"/>
        <w:spacing w:after="0" w:line="282"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Collaboration revenue was $1.2 million and $2.2 million for the three and six months ended June 30, 2022, compared to $30.0 million and $41.3 million for the three months and six months ended June 30, 2021. The decrease relates primarily to two development milestones achieved for JEMPERLI for the three months ended June 30, 2021, and three development milestones achieved for JEMPERLI for the six months ended June 30, 2021, and no milestones achieved in 2022.</w:t>
      </w:r>
    </w:p>
    <w:p>
      <w:pPr>
        <w:spacing w:after="0" w:line="53" w:lineRule="exact"/>
        <w:rPr>
          <w:rFonts w:ascii="Arial" w:cs="Arial" w:eastAsia="Arial" w:hAnsi="Arial"/>
          <w:sz w:val="18"/>
          <w:szCs w:val="18"/>
          <w:color w:val="auto"/>
        </w:rPr>
      </w:pPr>
    </w:p>
    <w:p>
      <w:pPr>
        <w:ind w:left="660" w:right="280" w:hanging="328"/>
        <w:spacing w:after="0" w:line="24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Research and development expenses were $20.8 million and $43.4 million for the three and six months ended June 30, 2022, compared to $25.3 million and $49.5 million for the three and six months ended June 30, 2021. The decrease was due primarily to reduced imsidolimab manufacturing costs and clinical costs for the Company’s programs. The R&amp;D non-cash stock-based compensation expense was $1.8 million and $3.4 million for the three and six months ended June 30, 2022, as compared to $1.4 million and $2.6 million in the same period in 2021.</w:t>
      </w:r>
    </w:p>
    <w:p>
      <w:pPr>
        <w:sectPr>
          <w:pgSz w:w="11900" w:h="16838" w:orient="portrait"/>
          <w:cols w:equalWidth="0" w:num="1">
            <w:col w:w="11240"/>
          </w:cols>
          <w:pgMar w:left="320" w:top="886" w:right="339" w:bottom="1440" w:gutter="0" w:footer="0" w:header="0"/>
        </w:sectPr>
      </w:pPr>
    </w:p>
    <w:bookmarkStart w:id="4" w:name="page5"/>
    <w:bookmarkEnd w:id="4"/>
    <w:p>
      <w:pPr>
        <w:ind w:left="660" w:right="60" w:hanging="328"/>
        <w:spacing w:after="0" w:line="24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and administrative expenses were $8.2 million and $18.4 million for the three and six months ended June 30, 2022, compared to$5.2 million and $10.7 million for the three and six months ended June 30, 2021. The increase was due primarily to $3.8 million of costs incurred from personnel changes in the first quarter of 2022 and non-cash stock compensation expense. The G&amp;A non-cash stock-based compensation expense was $4.9 million and $11.0 million for the three and six months ended June 30, 2022, which includes $3.2 million of the $3.8 million one-time costs described earlier as compared to $2.3 million and $4.4 million in the same period in 2021.</w:t>
      </w:r>
    </w:p>
    <w:p>
      <w:pPr>
        <w:spacing w:after="0" w:line="87" w:lineRule="exact"/>
        <w:rPr>
          <w:rFonts w:ascii="Arial" w:cs="Arial" w:eastAsia="Arial" w:hAnsi="Arial"/>
          <w:sz w:val="20"/>
          <w:szCs w:val="20"/>
          <w:color w:val="auto"/>
        </w:rPr>
      </w:pPr>
    </w:p>
    <w:p>
      <w:pPr>
        <w:ind w:left="660" w:right="22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$32.6 million and $68.8 million for the three and six months ended June 30, 2022, or a net loss per share of $1.15 and $2.46, compared to a net loss of $0.4 million and $18.6 million for the three and six months ended June 30, 2021, or a net loss per share of $0.02 and $0.68.</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AnaptysBio is a clinical-stage biotechnology company focused on delivering innovative immunology therapeutics. The Company’s proprietary anti-inflammatory pipeline includes imsidolimab, its anti-IL-36R antibody, previously referred to as ANB019, for the treatment of dermatological inflammatory diseases, including generalized pustular psoriasis, or GPP, and moderate-to-severe hidradenitis suppurativa; rosnilimab, its anti-PD-1 agonist program, previously referred to as ANB030, for the treatment of moderate-to-severe alopecia areata; and its anti-BTLA agonist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3 clinical trial in GPP, Phase 2 clinical trial in hidradenitis suppurativa, and rosnilimab’ s Phase 2 clinical trial in alopecia areata; and the timing of ANB032’s IND filing for a Phase 2 clinical trial; and our projected use of our cash resources.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858.732.0201</w:t>
      </w:r>
    </w:p>
    <w:p>
      <w:pPr>
        <w:spacing w:after="0"/>
        <w:rPr>
          <w:sz w:val="20"/>
          <w:szCs w:val="20"/>
          <w:color w:val="auto"/>
        </w:rPr>
      </w:pPr>
      <w:r>
        <w:rPr>
          <w:rFonts w:ascii="Arial" w:cs="Arial" w:eastAsia="Arial" w:hAnsi="Arial"/>
          <w:sz w:val="20"/>
          <w:szCs w:val="20"/>
          <w:u w:val="single" w:color="auto"/>
          <w:color w:val="0563C1"/>
        </w:rPr>
        <w:t>dmulroy@anaptysbio.com</w:t>
      </w:r>
    </w:p>
    <w:p>
      <w:pPr>
        <w:sectPr>
          <w:pgSz w:w="11900" w:h="16838" w:orient="portrait"/>
          <w:cols w:equalWidth="0" w:num="1">
            <w:col w:w="11240"/>
          </w:cols>
          <w:pgMar w:left="320" w:top="892" w:right="339" w:bottom="1440" w:gutter="0" w:footer="0" w:header="0"/>
        </w:sectPr>
      </w:pPr>
    </w:p>
    <w:bookmarkStart w:id="5" w:name="page6"/>
    <w:bookmarkEnd w:id="5"/>
    <w:p>
      <w:pPr>
        <w:ind w:left="4980"/>
        <w:spacing w:after="0"/>
        <w:rPr>
          <w:sz w:val="20"/>
          <w:szCs w:val="20"/>
          <w:color w:val="auto"/>
        </w:rPr>
      </w:pPr>
      <w:r>
        <w:rPr>
          <w:rFonts w:ascii="Arial" w:cs="Arial" w:eastAsia="Arial" w:hAnsi="Arial"/>
          <w:sz w:val="18"/>
          <w:szCs w:val="18"/>
          <w:b w:val="1"/>
          <w:bCs w:val="1"/>
          <w:color w:val="auto"/>
        </w:rPr>
        <w:t>AnaptysBio, Inc.</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par value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54"/>
        </w:trPr>
        <w:tc>
          <w:tcPr>
            <w:tcW w:w="7980" w:type="dxa"/>
            <w:vAlign w:val="bottom"/>
          </w:tcPr>
          <w:p>
            <w:pPr>
              <w:ind w:left="53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71,701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495,729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52,368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0" w:type="dxa"/>
            <w:vAlign w:val="bottom"/>
          </w:tcPr>
          <w:p>
            <w:pPr>
              <w:spacing w:after="0"/>
              <w:rPr>
                <w:sz w:val="1"/>
                <w:szCs w:val="1"/>
                <w:color w:val="auto"/>
              </w:rPr>
            </w:pPr>
          </w:p>
        </w:tc>
      </w:tr>
      <w:tr>
        <w:trPr>
          <w:trHeight w:val="207"/>
        </w:trPr>
        <w:tc>
          <w:tcPr>
            <w:tcW w:w="798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452,809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553,876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19,558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16,099</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261,019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251,093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Preferred stock, $0.001 par value, 10,000 shares authorized and no shares, issued or outstanding at June 30, 2022 and</w:t>
            </w:r>
          </w:p>
        </w:tc>
        <w:tc>
          <w:tcPr>
            <w:tcW w:w="22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 respectively</w:t>
            </w:r>
          </w:p>
        </w:tc>
        <w:tc>
          <w:tcPr>
            <w:tcW w:w="2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980" w:type="dxa"/>
            <w:vAlign w:val="bottom"/>
          </w:tcPr>
          <w:p>
            <w:pPr>
              <w:ind w:left="20"/>
              <w:spacing w:after="0" w:line="166" w:lineRule="exact"/>
              <w:rPr>
                <w:sz w:val="20"/>
                <w:szCs w:val="20"/>
                <w:color w:val="auto"/>
              </w:rPr>
            </w:pPr>
            <w:r>
              <w:rPr>
                <w:rFonts w:ascii="Arial" w:cs="Arial" w:eastAsia="Arial" w:hAnsi="Arial"/>
                <w:sz w:val="16"/>
                <w:szCs w:val="16"/>
                <w:color w:val="auto"/>
                <w:w w:val="91"/>
              </w:rPr>
              <w:t>Common stock, $0.001 par value, 500,000 shares authorized, 28,231 shares and 27,647 shares issued and outstanding at</w:t>
            </w: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June 30, 2022 and December 31, 2021, respectively</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 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678,575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(390,562)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(321,753)</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356,428</w:t>
            </w: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t>AnaptysBio, Inc.</w:t>
      </w:r>
    </w:p>
    <w:p>
      <w:pPr>
        <w:spacing w:after="0" w:line="7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7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1,216</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30,027</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41,274</w:t>
            </w: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20,844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25,314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43,360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49,499</w:t>
            </w:r>
          </w:p>
        </w:tc>
      </w:tr>
      <w:tr>
        <w:trPr>
          <w:trHeight w:val="213"/>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18,374</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10,669</w:t>
            </w:r>
          </w:p>
        </w:tc>
      </w:tr>
      <w:tr>
        <w:trPr>
          <w:trHeight w:val="213"/>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29,015</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30,560</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61,734</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60,168</w:t>
            </w:r>
          </w:p>
        </w:tc>
      </w:tr>
      <w:tr>
        <w:trPr>
          <w:trHeight w:val="207"/>
        </w:trPr>
        <w:tc>
          <w:tcPr>
            <w:tcW w:w="57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(27,799)</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(59,548)</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(18,894)</w:t>
            </w:r>
          </w:p>
        </w:tc>
      </w:tr>
      <w:tr>
        <w:trPr>
          <w:trHeight w:val="19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740" w:type="dxa"/>
            <w:vAlign w:val="bottom"/>
            <w:tcBorders>
              <w:top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(9,261)</w:t>
            </w: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w:t>
            </w:r>
          </w:p>
        </w:tc>
      </w:tr>
      <w:tr>
        <w:trPr>
          <w:trHeight w:val="207"/>
        </w:trPr>
        <w:tc>
          <w:tcPr>
            <w:tcW w:w="5740" w:type="dxa"/>
            <w:vAlign w:val="bottom"/>
            <w:tcBorders>
              <w:bottom w:val="single" w:sz="8" w:color="CFF0FC"/>
            </w:tcBorders>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(68,809)</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(18,592)</w:t>
            </w:r>
          </w:p>
        </w:tc>
      </w:tr>
      <w:tr>
        <w:trPr>
          <w:trHeight w:val="213"/>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(3,439)</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r>
      <w:tr>
        <w:trPr>
          <w:trHeight w:val="207"/>
        </w:trPr>
        <w:tc>
          <w:tcPr>
            <w:tcW w:w="574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(72,248)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(18,764)</w:t>
            </w: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574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13"/>
        </w:trPr>
        <w:tc>
          <w:tcPr>
            <w:tcW w:w="574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27,960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27,377</w:t>
            </w:r>
          </w:p>
        </w:tc>
      </w:tr>
      <w:tr>
        <w:trPr>
          <w:trHeight w:val="24"/>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2022-08-09T02:47:38Z</dcterms:created>
  <dcterms:modified xsi:type="dcterms:W3CDTF">2022-08-09T02:47:38Z</dcterms:modified>
</cp:coreProperties>
</file>