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u w:val="single" w:color="auto"/>
                <w:color w:val="0000EE"/>
                <w:w w:val="91"/>
              </w:rPr>
            </w:pPr>
            <w:hyperlink r:id="rId13">
              <w:r>
                <w:rPr>
                  <w:rFonts w:ascii="Arial" w:cs="Arial" w:eastAsia="Arial" w:hAnsi="Arial"/>
                  <w:sz w:val="21"/>
                  <w:szCs w:val="21"/>
                  <w:u w:val="single" w:color="auto"/>
                  <w:color w:val="0000EE"/>
                  <w:w w:val="91"/>
                </w:rPr>
                <w:t>Topper James N</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ANAPTYSBIO,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13"/>
                <w:szCs w:val="13"/>
                <w:color w:val="auto"/>
              </w:rPr>
            </w:pPr>
          </w:p>
        </w:tc>
        <w:tc>
          <w:tcPr>
            <w:tcW w:w="1580" w:type="dxa"/>
            <w:vAlign w:val="bottom"/>
            <w:gridSpan w:val="6"/>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480" w:type="dxa"/>
            <w:vAlign w:val="bottom"/>
            <w:gridSpan w:val="3"/>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6"/>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58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C/O FRAZIER HEALTHCARE PARTNERS</w:t>
            </w:r>
          </w:p>
        </w:tc>
        <w:tc>
          <w:tcPr>
            <w:tcW w:w="1520" w:type="dxa"/>
            <w:vAlign w:val="bottom"/>
            <w:gridSpan w:val="5"/>
          </w:tcPr>
          <w:p>
            <w:pPr>
              <w:ind w:left="160"/>
              <w:spacing w:after="0"/>
              <w:rPr>
                <w:sz w:val="20"/>
                <w:szCs w:val="20"/>
                <w:color w:val="auto"/>
              </w:rPr>
            </w:pPr>
            <w:r>
              <w:rPr>
                <w:rFonts w:ascii="Arial" w:cs="Arial" w:eastAsia="Arial" w:hAnsi="Arial"/>
                <w:sz w:val="17"/>
                <w:szCs w:val="17"/>
                <w:color w:val="0000FF"/>
              </w:rPr>
              <w:t>11/16/2020</w:t>
            </w: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601 UNION STREET, SUITE 3200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SEATTLE</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WA</w:t>
            </w:r>
          </w:p>
        </w:tc>
        <w:tc>
          <w:tcPr>
            <w:tcW w:w="1340" w:type="dxa"/>
            <w:vAlign w:val="bottom"/>
          </w:tcPr>
          <w:p>
            <w:pPr>
              <w:ind w:left="140"/>
              <w:spacing w:after="0"/>
              <w:rPr>
                <w:sz w:val="20"/>
                <w:szCs w:val="20"/>
                <w:color w:val="auto"/>
              </w:rPr>
            </w:pPr>
            <w:r>
              <w:rPr>
                <w:rFonts w:ascii="Arial" w:cs="Arial" w:eastAsia="Arial" w:hAnsi="Arial"/>
                <w:sz w:val="17"/>
                <w:szCs w:val="17"/>
                <w:color w:val="0000FF"/>
              </w:rPr>
              <w:t>98101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60" w:type="dxa"/>
            <w:vAlign w:val="bottom"/>
            <w:gridSpan w:val="9"/>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4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4"/>
          </w:tcPr>
          <w:p>
            <w:pPr>
              <w:jc w:val="center"/>
              <w:ind w:left="5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gridSpan w:val="4"/>
            <w:vMerge w:val="restart"/>
          </w:tcPr>
          <w:p>
            <w:pPr>
              <w:jc w:val="center"/>
              <w:ind w:left="546"/>
              <w:spacing w:after="0"/>
              <w:rPr>
                <w:sz w:val="20"/>
                <w:szCs w:val="20"/>
                <w:color w:val="auto"/>
              </w:rPr>
            </w:pPr>
            <w:r>
              <w:rPr>
                <w:rFonts w:ascii="Arial" w:cs="Arial" w:eastAsia="Arial" w:hAnsi="Arial"/>
                <w:sz w:val="17"/>
                <w:szCs w:val="17"/>
                <w:color w:val="0000FF"/>
                <w:w w:val="91"/>
              </w:rPr>
              <w:t>11/16/2020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973,612</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20" w:type="dxa"/>
            <w:vAlign w:val="bottom"/>
            <w:gridSpan w:val="2"/>
            <w:vMerge w:val="restart"/>
          </w:tcPr>
          <w:p>
            <w:pPr>
              <w:jc w:val="center"/>
              <w:ind w:left="483"/>
              <w:spacing w:after="0"/>
              <w:rPr>
                <w:sz w:val="20"/>
                <w:szCs w:val="20"/>
                <w:color w:val="auto"/>
              </w:rPr>
            </w:pPr>
            <w:r>
              <w:rPr>
                <w:rFonts w:ascii="Arial" w:cs="Arial" w:eastAsia="Arial" w:hAnsi="Arial"/>
                <w:sz w:val="17"/>
                <w:szCs w:val="17"/>
                <w:color w:val="0000FF"/>
                <w:w w:val="84"/>
              </w:rPr>
              <w:t>0</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vMerge w:val="restart"/>
          </w:tcPr>
          <w:p>
            <w:pPr>
              <w:jc w:val="center"/>
              <w:ind w:right="269"/>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Frazier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7"/>
                <w:szCs w:val="17"/>
                <w:color w:val="0000FF"/>
              </w:rPr>
              <w:t>Healthcare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V, L.P.</w:t>
            </w:r>
            <w:r>
              <w:rPr>
                <w:rFonts w:ascii="Arial" w:cs="Arial" w:eastAsia="Arial" w:hAnsi="Arial"/>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gridSpan w:val="4"/>
            <w:vMerge w:val="restart"/>
          </w:tcPr>
          <w:p>
            <w:pPr>
              <w:jc w:val="center"/>
              <w:ind w:left="546"/>
              <w:spacing w:after="0"/>
              <w:rPr>
                <w:sz w:val="20"/>
                <w:szCs w:val="20"/>
                <w:color w:val="auto"/>
              </w:rPr>
            </w:pPr>
            <w:r>
              <w:rPr>
                <w:rFonts w:ascii="Arial" w:cs="Arial" w:eastAsia="Arial" w:hAnsi="Arial"/>
                <w:sz w:val="17"/>
                <w:szCs w:val="17"/>
                <w:color w:val="0000FF"/>
                <w:w w:val="91"/>
              </w:rPr>
              <w:t>11/16/2020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344,860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700,171</w:t>
            </w:r>
          </w:p>
        </w:tc>
        <w:tc>
          <w:tcPr>
            <w:tcW w:w="280" w:type="dxa"/>
            <w:vAlign w:val="bottom"/>
          </w:tcPr>
          <w:p>
            <w:pPr>
              <w:spacing w:after="0"/>
              <w:rPr>
                <w:sz w:val="18"/>
                <w:szCs w:val="18"/>
                <w:color w:val="auto"/>
              </w:rPr>
            </w:pPr>
          </w:p>
        </w:tc>
        <w:tc>
          <w:tcPr>
            <w:tcW w:w="560" w:type="dxa"/>
            <w:vAlign w:val="bottom"/>
            <w:vMerge w:val="restart"/>
          </w:tcPr>
          <w:p>
            <w:pPr>
              <w:jc w:val="center"/>
              <w:ind w:right="269"/>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Frazier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20" w:type="dxa"/>
            <w:vAlign w:val="bottom"/>
            <w:gridSpan w:val="5"/>
            <w:vMerge w:val="restart"/>
          </w:tcPr>
          <w:p>
            <w:pPr>
              <w:ind w:left="80"/>
              <w:spacing w:after="0"/>
              <w:rPr>
                <w:sz w:val="20"/>
                <w:szCs w:val="20"/>
                <w:color w:val="auto"/>
              </w:rPr>
            </w:pPr>
            <w:r>
              <w:rPr>
                <w:rFonts w:ascii="Arial" w:cs="Arial" w:eastAsia="Arial" w:hAnsi="Arial"/>
                <w:sz w:val="17"/>
                <w:szCs w:val="17"/>
                <w:color w:val="0000FF"/>
              </w:rPr>
              <w:t>Healthcare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VII, L.P.</w:t>
            </w:r>
            <w:r>
              <w:rPr>
                <w:rFonts w:ascii="Arial" w:cs="Arial" w:eastAsia="Arial" w:hAnsi="Arial"/>
                <w:sz w:val="22"/>
                <w:szCs w:val="22"/>
                <w:color w:val="008000"/>
                <w:vertAlign w:val="superscript"/>
              </w:rPr>
              <w:t>(4)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Frazier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60" w:type="dxa"/>
            <w:vAlign w:val="bottom"/>
            <w:gridSpan w:val="4"/>
          </w:tcPr>
          <w:p>
            <w:pPr>
              <w:jc w:val="center"/>
              <w:ind w:left="546"/>
              <w:spacing w:after="0"/>
              <w:rPr>
                <w:sz w:val="20"/>
                <w:szCs w:val="20"/>
                <w:color w:val="auto"/>
              </w:rPr>
            </w:pPr>
            <w:r>
              <w:rPr>
                <w:rFonts w:ascii="Arial" w:cs="Arial" w:eastAsia="Arial" w:hAnsi="Arial"/>
                <w:sz w:val="17"/>
                <w:szCs w:val="17"/>
                <w:color w:val="0000FF"/>
                <w:w w:val="91"/>
              </w:rPr>
              <w:t>11/16/2020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ind w:left="1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(5)</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98,275</w:t>
            </w:r>
          </w:p>
        </w:tc>
        <w:tc>
          <w:tcPr>
            <w:tcW w:w="440" w:type="dxa"/>
            <w:vAlign w:val="bottom"/>
          </w:tcPr>
          <w:p>
            <w:pPr>
              <w:ind w:left="200"/>
              <w:spacing w:after="0"/>
              <w:rPr>
                <w:sz w:val="20"/>
                <w:szCs w:val="20"/>
                <w:color w:val="auto"/>
              </w:rPr>
            </w:pPr>
            <w:r>
              <w:rPr>
                <w:rFonts w:ascii="Arial" w:cs="Arial" w:eastAsia="Arial" w:hAnsi="Arial"/>
                <w:sz w:val="17"/>
                <w:szCs w:val="17"/>
                <w:color w:val="0000FF"/>
              </w:rPr>
              <w:t>D</w:t>
            </w: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1"/>
              </w:rPr>
              <w:t>199,529</w:t>
            </w:r>
          </w:p>
        </w:tc>
        <w:tc>
          <w:tcPr>
            <w:tcW w:w="280" w:type="dxa"/>
            <w:vAlign w:val="bottom"/>
          </w:tcPr>
          <w:p>
            <w:pPr>
              <w:spacing w:after="0"/>
              <w:rPr>
                <w:sz w:val="18"/>
                <w:szCs w:val="18"/>
                <w:color w:val="auto"/>
              </w:rPr>
            </w:pPr>
          </w:p>
        </w:tc>
        <w:tc>
          <w:tcPr>
            <w:tcW w:w="560" w:type="dxa"/>
            <w:vAlign w:val="bottom"/>
          </w:tcPr>
          <w:p>
            <w:pPr>
              <w:jc w:val="center"/>
              <w:ind w:right="269"/>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VII-A,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5"/>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gridSpan w:val="4"/>
          </w:tcPr>
          <w:p>
            <w:pPr>
              <w:jc w:val="center"/>
              <w:ind w:left="546"/>
              <w:spacing w:after="0"/>
              <w:rPr>
                <w:sz w:val="20"/>
                <w:szCs w:val="20"/>
                <w:color w:val="auto"/>
              </w:rPr>
            </w:pPr>
            <w:r>
              <w:rPr>
                <w:rFonts w:ascii="Arial" w:cs="Arial" w:eastAsia="Arial" w:hAnsi="Arial"/>
                <w:sz w:val="17"/>
                <w:szCs w:val="17"/>
                <w:color w:val="0000FF"/>
                <w:w w:val="91"/>
              </w:rPr>
              <w:t>11/16/2020</w:t>
            </w:r>
          </w:p>
        </w:tc>
        <w:tc>
          <w:tcPr>
            <w:tcW w:w="4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(7)</w:t>
            </w:r>
          </w:p>
        </w:tc>
        <w:tc>
          <w:tcPr>
            <w:tcW w:w="7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2"/>
              </w:rPr>
              <w:t>22,604</w:t>
            </w:r>
          </w:p>
        </w:tc>
        <w:tc>
          <w:tcPr>
            <w:tcW w:w="440" w:type="dxa"/>
            <w:vAlign w:val="bottom"/>
            <w:tcBorders>
              <w:top w:val="single" w:sz="8" w:color="2C2C2C"/>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54,458</w:t>
            </w:r>
          </w:p>
        </w:tc>
        <w:tc>
          <w:tcPr>
            <w:tcW w:w="2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69"/>
              <w:spacing w:after="0"/>
              <w:rPr>
                <w:sz w:val="20"/>
                <w:szCs w:val="20"/>
                <w:color w:val="auto"/>
              </w:rPr>
            </w:pPr>
            <w:r>
              <w:rPr>
                <w:rFonts w:ascii="Arial" w:cs="Arial" w:eastAsia="Arial" w:hAnsi="Arial"/>
                <w:sz w:val="17"/>
                <w:szCs w:val="17"/>
                <w:color w:val="0000FF"/>
              </w:rPr>
              <w:t>D</w:t>
            </w:r>
          </w:p>
        </w:tc>
        <w:tc>
          <w:tcPr>
            <w:tcW w:w="2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jc w:val="center"/>
              <w:ind w:left="546"/>
              <w:spacing w:after="0"/>
              <w:rPr>
                <w:sz w:val="20"/>
                <w:szCs w:val="20"/>
                <w:color w:val="auto"/>
              </w:rPr>
            </w:pPr>
            <w:r>
              <w:rPr>
                <w:rFonts w:ascii="Arial" w:cs="Arial" w:eastAsia="Arial" w:hAnsi="Arial"/>
                <w:sz w:val="17"/>
                <w:szCs w:val="17"/>
                <w:color w:val="0000FF"/>
                <w:w w:val="91"/>
              </w:rPr>
              <w:t>11/16/2020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(8)</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26,354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80,812</w:t>
            </w:r>
            <w:r>
              <w:rPr>
                <w:rFonts w:ascii="Arial" w:cs="Arial" w:eastAsia="Arial" w:hAnsi="Arial"/>
                <w:sz w:val="22"/>
                <w:szCs w:val="22"/>
                <w:color w:val="008000"/>
                <w:w w:val="85"/>
                <w:vertAlign w:val="superscript"/>
              </w:rPr>
              <w:t>(9)</w:t>
            </w:r>
          </w:p>
        </w:tc>
        <w:tc>
          <w:tcPr>
            <w:tcW w:w="2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69"/>
              <w:spacing w:after="0"/>
              <w:rPr>
                <w:sz w:val="20"/>
                <w:szCs w:val="20"/>
                <w:color w:val="auto"/>
              </w:rPr>
            </w:pPr>
            <w:r>
              <w:rPr>
                <w:rFonts w:ascii="Arial" w:cs="Arial" w:eastAsia="Arial" w:hAnsi="Arial"/>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2"/>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-5107940</wp:posOffset>
            </wp:positionV>
            <wp:extent cx="7031355" cy="5153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515302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 rata distribution in-kind by Frazier Healthcare V, L.P. to its limited partners for no consideration.</w:t>
      </w:r>
    </w:p>
    <w:p>
      <w:pPr>
        <w:spacing w:after="0" w:line="50"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were held directly by Frazier Healthcare V, L.P. FHM V, L.P. is the general partner of Frazier Healthcare V, L.P. FHM V, L.L.C. is the general partner of FHM V, L.P. James Topper is one of five managing members of FHM V, L.L.C. Dr. Topper disclaims beneficial ownership of the securities held by Frazier Healthcare V, L.P., except to the extent of his pecuniary interest therein, if any.</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 rata distribution in-kind by Frazier Healthcare VII, L.P. to its limited partners for no consideration.</w:t>
      </w:r>
    </w:p>
    <w:p>
      <w:pPr>
        <w:spacing w:after="0" w:line="50"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held directly by Frazier Healthcare VII, L.P. FHM VII, L.P. is the general partner of Frazier Healthcare VII, L.P. FHM VII, L.L.C. is the general partner of FHM VII, L.P. James Topper is one of six managing members of FHM VII, L.L.C. Dr. Topper disclaims beneficial ownership of the securities held by Frazier Healthcare VII, L.P., except to the extent of his pecuniary interest therein, if any.</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 rata distribution in-kind by Frazier Healthcare VII-A, L.P. to its limited partners for no consideration.</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reportable securities are held directly by Frazier Healthcare VII-A, L.P. FHM VII, L.P. is the general partner of Frazier Healthcare VII-A, L.P. FHM VII, L.L.C. is the general partner of FHM VII, L.P. James Topper is one of six managing members of FHM VII, L.L.C. Dr. Topper disclaims beneficial ownership of the securities held by Frazier Healthcare VII-A, L.P., except to the extent of his pecuniary interest therein, if any.</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acquired by Dr. Topper through a distribution in-kind from Frazier Healthcare V, L.P.</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acquired by Dr. Topper through a distribution in-kind from Frazier Healthcare VII, L.P.</w:t>
      </w:r>
    </w:p>
    <w:p>
      <w:pPr>
        <w:spacing w:after="0" w:line="50" w:lineRule="exact"/>
        <w:rPr>
          <w:rFonts w:ascii="Arial" w:cs="Arial" w:eastAsia="Arial" w:hAnsi="Arial"/>
          <w:sz w:val="13"/>
          <w:szCs w:val="13"/>
          <w:color w:val="008000"/>
        </w:rPr>
      </w:pP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Dr. Topper also holds stock options to purchase up to an aggregate of 38,000 shares of the Issuer's Common Stock, which stock options vest according to their terms, in addition to the 80,812 shares of Common Stock that are held directly by Dr. Topper.</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/s/ Steve R. Bailey, Attorney-</w:t>
      </w:r>
      <w:r>
        <w:rPr>
          <w:sz w:val="20"/>
          <w:szCs w:val="20"/>
          <w:color w:val="auto"/>
        </w:rPr>
        <w:tab/>
      </w:r>
      <w:r>
        <w:rPr>
          <w:rFonts w:ascii="Arial" w:cs="Arial" w:eastAsia="Arial" w:hAnsi="Arial"/>
          <w:sz w:val="15"/>
          <w:szCs w:val="15"/>
          <w:color w:val="0000FF"/>
        </w:rPr>
        <w:t>11/18/2020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In-Fact for James N. Topper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1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59"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41382"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2020-11-18T16:18:54Z</dcterms:created>
  <dcterms:modified xsi:type="dcterms:W3CDTF">2020-11-18T16:18:54Z</dcterms:modified>
</cp:coreProperties>
</file>