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February 16, 2016.</w:t>
      </w:r>
    </w:p>
    <w:p>
      <w:pPr>
        <w:spacing w:after="0" w:line="2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333-206849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AMENDMENT NO. 2</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TO</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S-1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151765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Arial" w:cs="Arial" w:eastAsia="Arial" w:hAnsi="Arial"/>
          <w:sz w:val="41"/>
          <w:szCs w:val="41"/>
          <w:b w:val="1"/>
          <w:bCs w:val="1"/>
          <w:color w:val="auto"/>
        </w:rPr>
        <w:t>A</w:t>
      </w:r>
      <w:r>
        <w:rPr>
          <w:rFonts w:ascii="Arial" w:cs="Arial" w:eastAsia="Arial" w:hAnsi="Arial"/>
          <w:sz w:val="34"/>
          <w:szCs w:val="34"/>
          <w:b w:val="1"/>
          <w:bCs w:val="1"/>
          <w:color w:val="auto"/>
        </w:rPr>
        <w:t>NAPTYS</w:t>
      </w:r>
      <w:r>
        <w:rPr>
          <w:rFonts w:ascii="Arial" w:cs="Arial" w:eastAsia="Arial" w:hAnsi="Arial"/>
          <w:sz w:val="41"/>
          <w:szCs w:val="41"/>
          <w:b w:val="1"/>
          <w:bCs w:val="1"/>
          <w:color w:val="auto"/>
        </w:rPr>
        <w:t>B</w:t>
      </w:r>
      <w:r>
        <w:rPr>
          <w:rFonts w:ascii="Arial" w:cs="Arial" w:eastAsia="Arial" w:hAnsi="Arial"/>
          <w:sz w:val="34"/>
          <w:szCs w:val="34"/>
          <w:b w:val="1"/>
          <w:bCs w:val="1"/>
          <w:color w:val="auto"/>
        </w:rPr>
        <w:t>IO</w:t>
      </w:r>
      <w:r>
        <w:rPr>
          <w:rFonts w:ascii="Arial" w:cs="Arial" w:eastAsia="Arial" w:hAnsi="Arial"/>
          <w:sz w:val="41"/>
          <w:szCs w:val="41"/>
          <w:b w:val="1"/>
          <w:bCs w:val="1"/>
          <w:color w:val="auto"/>
        </w:rPr>
        <w:t>, I</w:t>
      </w:r>
      <w:r>
        <w:rPr>
          <w:rFonts w:ascii="Arial" w:cs="Arial" w:eastAsia="Arial" w:hAnsi="Arial"/>
          <w:sz w:val="34"/>
          <w:szCs w:val="34"/>
          <w:b w:val="1"/>
          <w:bCs w:val="1"/>
          <w:color w:val="auto"/>
        </w:rPr>
        <w:t>NC</w:t>
      </w:r>
      <w:r>
        <w:rPr>
          <w:rFonts w:ascii="Arial" w:cs="Arial" w:eastAsia="Arial" w:hAnsi="Arial"/>
          <w:sz w:val="41"/>
          <w:szCs w:val="41"/>
          <w:b w:val="1"/>
          <w:bCs w:val="1"/>
          <w:color w:val="auto"/>
        </w:rPr>
        <w:t>.</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152400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2" w:lineRule="exact"/>
        <w:rPr>
          <w:sz w:val="24"/>
          <w:szCs w:val="24"/>
          <w:color w:val="auto"/>
        </w:rPr>
      </w:pPr>
    </w:p>
    <w:tbl>
      <w:tblPr>
        <w:tblLayout w:type="fixed"/>
        <w:tblInd w:w="1060" w:type="dxa"/>
        <w:tblCellMar>
          <w:top w:w="0" w:type="dxa"/>
          <w:left w:w="0" w:type="dxa"/>
          <w:bottom w:w="0" w:type="dxa"/>
          <w:right w:w="0" w:type="dxa"/>
        </w:tblCellMar>
      </w:tblPr>
      <w:tr>
        <w:trPr>
          <w:trHeight w:val="204"/>
        </w:trPr>
        <w:tc>
          <w:tcPr>
            <w:tcW w:w="2840" w:type="dxa"/>
            <w:vAlign w:val="bottom"/>
          </w:tcPr>
          <w:p>
            <w:pPr>
              <w:jc w:val="center"/>
              <w:ind w:right="988"/>
              <w:spacing w:after="0"/>
              <w:rPr>
                <w:sz w:val="20"/>
                <w:szCs w:val="20"/>
                <w:color w:val="auto"/>
              </w:rPr>
            </w:pPr>
            <w:r>
              <w:rPr>
                <w:rFonts w:ascii="Arial" w:cs="Arial" w:eastAsia="Arial" w:hAnsi="Arial"/>
                <w:sz w:val="16"/>
                <w:szCs w:val="16"/>
                <w:b w:val="1"/>
                <w:bCs w:val="1"/>
                <w:color w:val="auto"/>
                <w:w w:val="93"/>
              </w:rPr>
              <w:t>Delaware</w:t>
            </w:r>
          </w:p>
        </w:tc>
        <w:tc>
          <w:tcPr>
            <w:tcW w:w="3920" w:type="dxa"/>
            <w:vAlign w:val="bottom"/>
          </w:tcPr>
          <w:p>
            <w:pPr>
              <w:jc w:val="center"/>
              <w:spacing w:after="0"/>
              <w:rPr>
                <w:sz w:val="20"/>
                <w:szCs w:val="20"/>
                <w:color w:val="auto"/>
              </w:rPr>
            </w:pPr>
            <w:r>
              <w:rPr>
                <w:rFonts w:ascii="Arial" w:cs="Arial" w:eastAsia="Arial" w:hAnsi="Arial"/>
                <w:sz w:val="16"/>
                <w:szCs w:val="16"/>
                <w:b w:val="1"/>
                <w:bCs w:val="1"/>
                <w:color w:val="auto"/>
                <w:w w:val="89"/>
              </w:rPr>
              <w:t>2834</w:t>
            </w:r>
          </w:p>
        </w:tc>
        <w:tc>
          <w:tcPr>
            <w:tcW w:w="2440" w:type="dxa"/>
            <w:vAlign w:val="bottom"/>
          </w:tcPr>
          <w:p>
            <w:pPr>
              <w:jc w:val="center"/>
              <w:ind w:left="1028"/>
              <w:spacing w:after="0"/>
              <w:rPr>
                <w:sz w:val="20"/>
                <w:szCs w:val="20"/>
                <w:color w:val="auto"/>
              </w:rPr>
            </w:pPr>
            <w:r>
              <w:rPr>
                <w:rFonts w:ascii="Arial" w:cs="Arial" w:eastAsia="Arial" w:hAnsi="Arial"/>
                <w:sz w:val="16"/>
                <w:szCs w:val="16"/>
                <w:b w:val="1"/>
                <w:bCs w:val="1"/>
                <w:color w:val="auto"/>
                <w:w w:val="91"/>
              </w:rPr>
              <w:t>20-3828755</w:t>
            </w:r>
          </w:p>
        </w:tc>
      </w:tr>
      <w:tr>
        <w:trPr>
          <w:trHeight w:val="149"/>
        </w:trPr>
        <w:tc>
          <w:tcPr>
            <w:tcW w:w="284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(Primary Standard Industrial</w:t>
            </w:r>
          </w:p>
        </w:tc>
        <w:tc>
          <w:tcPr>
            <w:tcW w:w="2440" w:type="dxa"/>
            <w:vAlign w:val="bottom"/>
          </w:tcPr>
          <w:p>
            <w:pPr>
              <w:jc w:val="center"/>
              <w:ind w:left="1028"/>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840" w:type="dxa"/>
            <w:vAlign w:val="bottom"/>
          </w:tcPr>
          <w:p>
            <w:pPr>
              <w:jc w:val="center"/>
              <w:ind w:right="1008"/>
              <w:spacing w:after="0"/>
              <w:rPr>
                <w:sz w:val="20"/>
                <w:szCs w:val="20"/>
                <w:color w:val="auto"/>
              </w:rPr>
            </w:pPr>
            <w:r>
              <w:rPr>
                <w:rFonts w:ascii="Arial" w:cs="Arial" w:eastAsia="Arial" w:hAnsi="Arial"/>
                <w:sz w:val="14"/>
                <w:szCs w:val="14"/>
                <w:b w:val="1"/>
                <w:bCs w:val="1"/>
                <w:color w:val="auto"/>
                <w:w w:val="88"/>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Code Number)</w:t>
            </w:r>
          </w:p>
        </w:tc>
        <w:tc>
          <w:tcPr>
            <w:tcW w:w="2440" w:type="dxa"/>
            <w:vAlign w:val="bottom"/>
          </w:tcPr>
          <w:p>
            <w:pPr>
              <w:jc w:val="center"/>
              <w:ind w:left="1028"/>
              <w:spacing w:after="0"/>
              <w:rPr>
                <w:sz w:val="20"/>
                <w:szCs w:val="20"/>
                <w:color w:val="auto"/>
              </w:rPr>
            </w:pPr>
            <w:r>
              <w:rPr>
                <w:rFonts w:ascii="Arial" w:cs="Arial" w:eastAsia="Arial" w:hAnsi="Arial"/>
                <w:sz w:val="14"/>
                <w:szCs w:val="14"/>
                <w:b w:val="1"/>
                <w:bCs w:val="1"/>
                <w:color w:val="auto"/>
                <w:w w:val="90"/>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10421 Pacific Center Court, Suite 200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Diego, CA 92121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362-6295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Hamza Suria</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AnaptysBio,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10421 Pacific Center Court, Suite 200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Diego, CA 92121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(858) 362-6295</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140335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3" w:lineRule="exact"/>
        <w:rPr>
          <w:sz w:val="24"/>
          <w:szCs w:val="24"/>
          <w:color w:val="auto"/>
        </w:rPr>
      </w:pPr>
    </w:p>
    <w:tbl>
      <w:tblPr>
        <w:tblLayout w:type="fixed"/>
        <w:tblInd w:w="1960" w:type="dxa"/>
        <w:tblCellMar>
          <w:top w:w="0" w:type="dxa"/>
          <w:left w:w="0" w:type="dxa"/>
          <w:bottom w:w="0" w:type="dxa"/>
          <w:right w:w="0" w:type="dxa"/>
        </w:tblCellMar>
      </w:tblPr>
      <w:tr>
        <w:trPr>
          <w:trHeight w:val="206"/>
        </w:trPr>
        <w:tc>
          <w:tcPr>
            <w:tcW w:w="2620" w:type="dxa"/>
            <w:vAlign w:val="bottom"/>
          </w:tcPr>
          <w:p>
            <w:pPr>
              <w:spacing w:after="0"/>
              <w:rPr>
                <w:sz w:val="17"/>
                <w:szCs w:val="17"/>
                <w:color w:val="auto"/>
              </w:rPr>
            </w:pPr>
          </w:p>
        </w:tc>
        <w:tc>
          <w:tcPr>
            <w:tcW w:w="4920" w:type="dxa"/>
            <w:vAlign w:val="bottom"/>
          </w:tcPr>
          <w:p>
            <w:pPr>
              <w:ind w:left="800"/>
              <w:spacing w:after="0"/>
              <w:rPr>
                <w:sz w:val="20"/>
                <w:szCs w:val="20"/>
                <w:color w:val="auto"/>
              </w:rPr>
            </w:pPr>
            <w:r>
              <w:rPr>
                <w:rFonts w:ascii="Arial" w:cs="Arial" w:eastAsia="Arial" w:hAnsi="Arial"/>
                <w:sz w:val="16"/>
                <w:szCs w:val="16"/>
                <w:b w:val="1"/>
                <w:bCs w:val="1"/>
                <w:i w:val="1"/>
                <w:iCs w:val="1"/>
                <w:color w:val="auto"/>
              </w:rPr>
              <w:t>Copies to:</w:t>
            </w:r>
          </w:p>
        </w:tc>
      </w:tr>
      <w:tr>
        <w:trPr>
          <w:trHeight w:val="235"/>
        </w:trPr>
        <w:tc>
          <w:tcPr>
            <w:tcW w:w="2620" w:type="dxa"/>
            <w:vAlign w:val="bottom"/>
          </w:tcPr>
          <w:p>
            <w:pPr>
              <w:jc w:val="center"/>
              <w:ind w:right="739"/>
              <w:spacing w:after="0"/>
              <w:rPr>
                <w:sz w:val="20"/>
                <w:szCs w:val="20"/>
                <w:color w:val="auto"/>
              </w:rPr>
            </w:pPr>
            <w:r>
              <w:rPr>
                <w:rFonts w:ascii="Arial" w:cs="Arial" w:eastAsia="Arial" w:hAnsi="Arial"/>
                <w:sz w:val="16"/>
                <w:szCs w:val="16"/>
                <w:b w:val="1"/>
                <w:bCs w:val="1"/>
                <w:color w:val="auto"/>
                <w:w w:val="89"/>
              </w:rPr>
              <w:t>Effie Toshav, Esq.</w:t>
            </w:r>
          </w:p>
        </w:tc>
        <w:tc>
          <w:tcPr>
            <w:tcW w:w="4920" w:type="dxa"/>
            <w:vAlign w:val="bottom"/>
          </w:tcPr>
          <w:p>
            <w:pPr>
              <w:jc w:val="center"/>
              <w:ind w:left="3199"/>
              <w:spacing w:after="0"/>
              <w:rPr>
                <w:sz w:val="20"/>
                <w:szCs w:val="20"/>
                <w:color w:val="auto"/>
              </w:rPr>
            </w:pPr>
            <w:r>
              <w:rPr>
                <w:rFonts w:ascii="Arial" w:cs="Arial" w:eastAsia="Arial" w:hAnsi="Arial"/>
                <w:sz w:val="16"/>
                <w:szCs w:val="16"/>
                <w:b w:val="1"/>
                <w:bCs w:val="1"/>
                <w:color w:val="auto"/>
                <w:w w:val="92"/>
              </w:rPr>
              <w:t>Charles S. Kim, Esq.</w:t>
            </w:r>
          </w:p>
        </w:tc>
      </w:tr>
      <w:tr>
        <w:trPr>
          <w:trHeight w:val="203"/>
        </w:trPr>
        <w:tc>
          <w:tcPr>
            <w:tcW w:w="2620" w:type="dxa"/>
            <w:vAlign w:val="bottom"/>
          </w:tcPr>
          <w:p>
            <w:pPr>
              <w:jc w:val="center"/>
              <w:ind w:right="739"/>
              <w:spacing w:after="0"/>
              <w:rPr>
                <w:sz w:val="20"/>
                <w:szCs w:val="20"/>
                <w:color w:val="auto"/>
              </w:rPr>
            </w:pPr>
            <w:r>
              <w:rPr>
                <w:rFonts w:ascii="Arial" w:cs="Arial" w:eastAsia="Arial" w:hAnsi="Arial"/>
                <w:sz w:val="16"/>
                <w:szCs w:val="16"/>
                <w:b w:val="1"/>
                <w:bCs w:val="1"/>
                <w:color w:val="auto"/>
                <w:w w:val="90"/>
              </w:rPr>
              <w:t>Matthew S. Rossiter, Esq.</w:t>
            </w:r>
          </w:p>
        </w:tc>
        <w:tc>
          <w:tcPr>
            <w:tcW w:w="4920" w:type="dxa"/>
            <w:vAlign w:val="bottom"/>
          </w:tcPr>
          <w:p>
            <w:pPr>
              <w:jc w:val="center"/>
              <w:ind w:left="3179"/>
              <w:spacing w:after="0"/>
              <w:rPr>
                <w:sz w:val="20"/>
                <w:szCs w:val="20"/>
                <w:color w:val="auto"/>
              </w:rPr>
            </w:pPr>
            <w:r>
              <w:rPr>
                <w:rFonts w:ascii="Arial" w:cs="Arial" w:eastAsia="Arial" w:hAnsi="Arial"/>
                <w:sz w:val="16"/>
                <w:szCs w:val="16"/>
                <w:b w:val="1"/>
                <w:bCs w:val="1"/>
                <w:color w:val="auto"/>
                <w:w w:val="92"/>
              </w:rPr>
              <w:t>Robert W. Phillips, Esq.</w:t>
            </w:r>
          </w:p>
        </w:tc>
      </w:tr>
      <w:tr>
        <w:trPr>
          <w:trHeight w:val="203"/>
        </w:trPr>
        <w:tc>
          <w:tcPr>
            <w:tcW w:w="2620" w:type="dxa"/>
            <w:vAlign w:val="bottom"/>
          </w:tcPr>
          <w:p>
            <w:pPr>
              <w:jc w:val="center"/>
              <w:ind w:right="719"/>
              <w:spacing w:after="0"/>
              <w:rPr>
                <w:sz w:val="20"/>
                <w:szCs w:val="20"/>
                <w:color w:val="auto"/>
              </w:rPr>
            </w:pPr>
            <w:r>
              <w:rPr>
                <w:rFonts w:ascii="Arial" w:cs="Arial" w:eastAsia="Arial" w:hAnsi="Arial"/>
                <w:sz w:val="16"/>
                <w:szCs w:val="16"/>
                <w:b w:val="1"/>
                <w:bCs w:val="1"/>
                <w:color w:val="auto"/>
                <w:w w:val="93"/>
              </w:rPr>
              <w:t>Robert A. Freedman, Esq.</w:t>
            </w:r>
          </w:p>
        </w:tc>
        <w:tc>
          <w:tcPr>
            <w:tcW w:w="4920" w:type="dxa"/>
            <w:vAlign w:val="bottom"/>
          </w:tcPr>
          <w:p>
            <w:pPr>
              <w:jc w:val="center"/>
              <w:ind w:left="3179"/>
              <w:spacing w:after="0"/>
              <w:rPr>
                <w:sz w:val="20"/>
                <w:szCs w:val="20"/>
                <w:color w:val="auto"/>
              </w:rPr>
            </w:pPr>
            <w:r>
              <w:rPr>
                <w:rFonts w:ascii="Arial" w:cs="Arial" w:eastAsia="Arial" w:hAnsi="Arial"/>
                <w:sz w:val="16"/>
                <w:szCs w:val="16"/>
                <w:b w:val="1"/>
                <w:bCs w:val="1"/>
                <w:color w:val="auto"/>
                <w:w w:val="92"/>
              </w:rPr>
              <w:t>Sean M. Clayton, Esq.</w:t>
            </w:r>
          </w:p>
        </w:tc>
      </w:tr>
      <w:tr>
        <w:trPr>
          <w:trHeight w:val="203"/>
        </w:trPr>
        <w:tc>
          <w:tcPr>
            <w:tcW w:w="2620" w:type="dxa"/>
            <w:vAlign w:val="bottom"/>
          </w:tcPr>
          <w:p>
            <w:pPr>
              <w:jc w:val="center"/>
              <w:ind w:right="719"/>
              <w:spacing w:after="0"/>
              <w:rPr>
                <w:sz w:val="20"/>
                <w:szCs w:val="20"/>
                <w:color w:val="auto"/>
              </w:rPr>
            </w:pPr>
            <w:r>
              <w:rPr>
                <w:rFonts w:ascii="Arial" w:cs="Arial" w:eastAsia="Arial" w:hAnsi="Arial"/>
                <w:sz w:val="16"/>
                <w:szCs w:val="16"/>
                <w:b w:val="1"/>
                <w:bCs w:val="1"/>
                <w:color w:val="auto"/>
                <w:w w:val="95"/>
              </w:rPr>
              <w:t>Fenwick &amp; West LLP</w:t>
            </w:r>
          </w:p>
        </w:tc>
        <w:tc>
          <w:tcPr>
            <w:tcW w:w="4920" w:type="dxa"/>
            <w:vAlign w:val="bottom"/>
          </w:tcPr>
          <w:p>
            <w:pPr>
              <w:jc w:val="center"/>
              <w:ind w:left="3199"/>
              <w:spacing w:after="0"/>
              <w:rPr>
                <w:sz w:val="20"/>
                <w:szCs w:val="20"/>
                <w:color w:val="auto"/>
              </w:rPr>
            </w:pPr>
            <w:r>
              <w:rPr>
                <w:rFonts w:ascii="Arial" w:cs="Arial" w:eastAsia="Arial" w:hAnsi="Arial"/>
                <w:sz w:val="16"/>
                <w:szCs w:val="16"/>
                <w:b w:val="1"/>
                <w:bCs w:val="1"/>
                <w:color w:val="auto"/>
                <w:w w:val="95"/>
              </w:rPr>
              <w:t>Cooley LLP</w:t>
            </w:r>
          </w:p>
        </w:tc>
      </w:tr>
      <w:tr>
        <w:trPr>
          <w:trHeight w:val="203"/>
        </w:trPr>
        <w:tc>
          <w:tcPr>
            <w:tcW w:w="2620" w:type="dxa"/>
            <w:vAlign w:val="bottom"/>
          </w:tcPr>
          <w:p>
            <w:pPr>
              <w:jc w:val="center"/>
              <w:ind w:right="739"/>
              <w:spacing w:after="0"/>
              <w:rPr>
                <w:sz w:val="20"/>
                <w:szCs w:val="20"/>
                <w:color w:val="auto"/>
              </w:rPr>
            </w:pPr>
            <w:r>
              <w:rPr>
                <w:rFonts w:ascii="Arial" w:cs="Arial" w:eastAsia="Arial" w:hAnsi="Arial"/>
                <w:sz w:val="16"/>
                <w:szCs w:val="16"/>
                <w:b w:val="1"/>
                <w:bCs w:val="1"/>
                <w:color w:val="auto"/>
                <w:w w:val="93"/>
              </w:rPr>
              <w:t>555 California Street</w:t>
            </w:r>
          </w:p>
        </w:tc>
        <w:tc>
          <w:tcPr>
            <w:tcW w:w="4920" w:type="dxa"/>
            <w:vAlign w:val="bottom"/>
          </w:tcPr>
          <w:p>
            <w:pPr>
              <w:jc w:val="center"/>
              <w:ind w:left="3199"/>
              <w:spacing w:after="0"/>
              <w:rPr>
                <w:sz w:val="20"/>
                <w:szCs w:val="20"/>
                <w:color w:val="auto"/>
              </w:rPr>
            </w:pPr>
            <w:r>
              <w:rPr>
                <w:rFonts w:ascii="Arial" w:cs="Arial" w:eastAsia="Arial" w:hAnsi="Arial"/>
                <w:sz w:val="16"/>
                <w:szCs w:val="16"/>
                <w:b w:val="1"/>
                <w:bCs w:val="1"/>
                <w:color w:val="auto"/>
                <w:w w:val="92"/>
              </w:rPr>
              <w:t>4401 Eastgate Mall</w:t>
            </w:r>
          </w:p>
        </w:tc>
      </w:tr>
      <w:tr>
        <w:trPr>
          <w:trHeight w:val="203"/>
        </w:trPr>
        <w:tc>
          <w:tcPr>
            <w:tcW w:w="2620" w:type="dxa"/>
            <w:vAlign w:val="bottom"/>
          </w:tcPr>
          <w:p>
            <w:pPr>
              <w:jc w:val="center"/>
              <w:ind w:right="719"/>
              <w:spacing w:after="0"/>
              <w:rPr>
                <w:sz w:val="20"/>
                <w:szCs w:val="20"/>
                <w:color w:val="auto"/>
              </w:rPr>
            </w:pPr>
            <w:r>
              <w:rPr>
                <w:rFonts w:ascii="Arial" w:cs="Arial" w:eastAsia="Arial" w:hAnsi="Arial"/>
                <w:sz w:val="16"/>
                <w:szCs w:val="16"/>
                <w:b w:val="1"/>
                <w:bCs w:val="1"/>
                <w:color w:val="auto"/>
                <w:w w:val="91"/>
              </w:rPr>
              <w:t>San Francisco, CA 94104</w:t>
            </w:r>
          </w:p>
        </w:tc>
        <w:tc>
          <w:tcPr>
            <w:tcW w:w="4920" w:type="dxa"/>
            <w:vAlign w:val="bottom"/>
          </w:tcPr>
          <w:p>
            <w:pPr>
              <w:jc w:val="center"/>
              <w:ind w:left="3179"/>
              <w:spacing w:after="0"/>
              <w:rPr>
                <w:sz w:val="20"/>
                <w:szCs w:val="20"/>
                <w:color w:val="auto"/>
              </w:rPr>
            </w:pPr>
            <w:r>
              <w:rPr>
                <w:rFonts w:ascii="Arial" w:cs="Arial" w:eastAsia="Arial" w:hAnsi="Arial"/>
                <w:sz w:val="16"/>
                <w:szCs w:val="16"/>
                <w:b w:val="1"/>
                <w:bCs w:val="1"/>
                <w:color w:val="auto"/>
                <w:w w:val="91"/>
              </w:rPr>
              <w:t>San Diego, CA 92121</w:t>
            </w:r>
          </w:p>
        </w:tc>
      </w:tr>
      <w:tr>
        <w:trPr>
          <w:trHeight w:val="210"/>
        </w:trPr>
        <w:tc>
          <w:tcPr>
            <w:tcW w:w="2620" w:type="dxa"/>
            <w:vAlign w:val="bottom"/>
          </w:tcPr>
          <w:p>
            <w:pPr>
              <w:jc w:val="center"/>
              <w:ind w:right="719"/>
              <w:spacing w:after="0"/>
              <w:rPr>
                <w:sz w:val="20"/>
                <w:szCs w:val="20"/>
                <w:color w:val="auto"/>
              </w:rPr>
            </w:pPr>
            <w:r>
              <w:rPr>
                <w:rFonts w:ascii="Arial" w:cs="Arial" w:eastAsia="Arial" w:hAnsi="Arial"/>
                <w:sz w:val="16"/>
                <w:szCs w:val="16"/>
                <w:b w:val="1"/>
                <w:bCs w:val="1"/>
                <w:color w:val="auto"/>
                <w:w w:val="93"/>
              </w:rPr>
              <w:t>(415) 875-2300</w:t>
            </w:r>
          </w:p>
        </w:tc>
        <w:tc>
          <w:tcPr>
            <w:tcW w:w="4920" w:type="dxa"/>
            <w:vAlign w:val="bottom"/>
          </w:tcPr>
          <w:p>
            <w:pPr>
              <w:jc w:val="center"/>
              <w:ind w:left="3199"/>
              <w:spacing w:after="0"/>
              <w:rPr>
                <w:sz w:val="20"/>
                <w:szCs w:val="20"/>
                <w:color w:val="auto"/>
              </w:rPr>
            </w:pPr>
            <w:r>
              <w:rPr>
                <w:rFonts w:ascii="Arial" w:cs="Arial" w:eastAsia="Arial" w:hAnsi="Arial"/>
                <w:sz w:val="16"/>
                <w:szCs w:val="16"/>
                <w:b w:val="1"/>
                <w:bCs w:val="1"/>
                <w:color w:val="auto"/>
                <w:w w:val="91"/>
              </w:rPr>
              <w:t>(858) 550-6000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167005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0" w:lineRule="exact"/>
        <w:rPr>
          <w:sz w:val="24"/>
          <w:szCs w:val="24"/>
          <w:color w:val="auto"/>
        </w:rPr>
      </w:pPr>
    </w:p>
    <w:p>
      <w:pPr>
        <w:ind w:left="3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90" w:lineRule="exact"/>
        <w:rPr>
          <w:sz w:val="24"/>
          <w:szCs w:val="24"/>
          <w:color w:val="auto"/>
        </w:rPr>
      </w:pPr>
    </w:p>
    <w:p>
      <w:pPr>
        <w:ind w:right="260" w:firstLine="342"/>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46" w:lineRule="exact"/>
        <w:rPr>
          <w:sz w:val="24"/>
          <w:szCs w:val="24"/>
          <w:color w:val="auto"/>
        </w:rPr>
      </w:pPr>
    </w:p>
    <w:p>
      <w:pPr>
        <w:ind w:right="280" w:firstLine="342"/>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60" w:lineRule="exact"/>
        <w:rPr>
          <w:sz w:val="24"/>
          <w:szCs w:val="24"/>
          <w:color w:val="auto"/>
        </w:rPr>
      </w:pPr>
    </w:p>
    <w:p>
      <w:pPr>
        <w:ind w:right="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right="140" w:firstLine="342"/>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firstLine="342"/>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7" w:lineRule="exact"/>
        <w:rPr>
          <w:sz w:val="24"/>
          <w:szCs w:val="24"/>
          <w:color w:val="auto"/>
        </w:rPr>
      </w:pPr>
    </w:p>
    <w:p>
      <w:pPr>
        <w:spacing w:after="0" w:line="36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8" w:lineRule="exact"/>
        <w:rPr>
          <w:sz w:val="20"/>
          <w:szCs w:val="20"/>
          <w:color w:val="auto"/>
        </w:rPr>
      </w:pPr>
      <w:r>
        <w:rPr>
          <w:rFonts w:ascii="MS PGothic" w:cs="MS PGothic" w:eastAsia="MS PGothic" w:hAnsi="MS PGothic"/>
          <w:sz w:val="16"/>
          <w:szCs w:val="16"/>
          <w:color w:val="auto"/>
        </w:rPr>
        <w:t>☐</w:t>
      </w:r>
    </w:p>
    <w:p>
      <w:pPr>
        <w:spacing w:after="0" w:line="87"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1561465</wp:posOffset>
            </wp:positionH>
            <wp:positionV relativeFrom="paragraph">
              <wp:posOffset>170815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8"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44" w:lineRule="exact"/>
        <w:rPr>
          <w:sz w:val="24"/>
          <w:szCs w:val="24"/>
          <w:color w:val="auto"/>
        </w:rPr>
      </w:pPr>
    </w:p>
    <w:p>
      <w:pPr>
        <w:sectPr>
          <w:pgSz w:w="11900" w:h="16838" w:orient="portrait"/>
          <w:cols w:equalWidth="0" w:num="4">
            <w:col w:w="1460" w:space="600"/>
            <w:col w:w="5880" w:space="720"/>
            <w:col w:w="1900" w:space="720"/>
            <w:col w:w="140"/>
          </w:cols>
          <w:pgMar w:left="240" w:top="230" w:right="239" w:bottom="1440" w:gutter="0" w:footer="0" w:header="0"/>
          <w:type w:val="continuous"/>
        </w:sectPr>
      </w:pPr>
    </w:p>
    <w:p>
      <w:pPr>
        <w:spacing w:after="0" w:line="71" w:lineRule="exact"/>
        <w:rPr>
          <w:sz w:val="24"/>
          <w:szCs w:val="24"/>
          <w:color w:val="auto"/>
        </w:rPr>
      </w:pPr>
    </w:p>
    <w:p>
      <w:pPr>
        <w:ind w:right="20" w:firstLine="342"/>
        <w:spacing w:after="0" w:line="275"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right="100" w:firstLine="342"/>
        <w:spacing w:after="0" w:line="253" w:lineRule="auto"/>
        <w:rPr>
          <w:sz w:val="20"/>
          <w:szCs w:val="20"/>
          <w:color w:val="auto"/>
        </w:rPr>
      </w:pPr>
      <w:r>
        <w:rPr>
          <w:rFonts w:ascii="Arial" w:cs="Arial" w:eastAsia="Arial" w:hAnsi="Arial"/>
          <w:sz w:val="16"/>
          <w:szCs w:val="16"/>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DE1A1E"/>
        </w:rPr>
        <w:t>SUBJECT TO COMPLETION, DATED FEBRUARY 16, 2016</w:t>
      </w:r>
    </w:p>
    <w:p>
      <w:pPr>
        <w:spacing w:after="0" w:line="200" w:lineRule="exact"/>
        <w:rPr>
          <w:sz w:val="20"/>
          <w:szCs w:val="20"/>
          <w:color w:val="auto"/>
        </w:rPr>
      </w:pPr>
    </w:p>
    <w:p>
      <w:pPr>
        <w:spacing w:after="0" w:line="204" w:lineRule="exact"/>
        <w:rPr>
          <w:sz w:val="20"/>
          <w:szCs w:val="20"/>
          <w:color w:val="auto"/>
        </w:rPr>
      </w:pPr>
    </w:p>
    <w:p>
      <w:pPr>
        <w:ind w:left="6260"/>
        <w:spacing w:after="0"/>
        <w:rPr>
          <w:sz w:val="20"/>
          <w:szCs w:val="20"/>
          <w:color w:val="auto"/>
        </w:rPr>
      </w:pPr>
      <w:r>
        <w:rPr>
          <w:rFonts w:ascii="Arial" w:cs="Arial" w:eastAsia="Arial" w:hAnsi="Arial"/>
          <w:sz w:val="29"/>
          <w:szCs w:val="29"/>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159385</wp:posOffset>
            </wp:positionV>
            <wp:extent cx="2118360"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left="460"/>
        <w:spacing w:after="0"/>
        <w:tabs>
          <w:tab w:leader="none" w:pos="8460" w:val="left"/>
        </w:tabs>
        <w:rPr>
          <w:sz w:val="20"/>
          <w:szCs w:val="20"/>
          <w:color w:val="auto"/>
        </w:rPr>
      </w:pPr>
      <w:r>
        <w:rPr>
          <w:rFonts w:ascii="Arial" w:cs="Arial" w:eastAsia="Arial" w:hAnsi="Arial"/>
          <w:sz w:val="18"/>
          <w:szCs w:val="18"/>
          <w:color w:val="auto"/>
        </w:rPr>
        <w:t>This is the initial public offering of shares of AnaptysBio, Inc. common stock. We are offering</w:t>
      </w:r>
      <w:r>
        <w:rPr>
          <w:sz w:val="20"/>
          <w:szCs w:val="20"/>
          <w:color w:val="auto"/>
        </w:rPr>
        <w:tab/>
      </w:r>
      <w:r>
        <w:rPr>
          <w:rFonts w:ascii="Arial" w:cs="Arial" w:eastAsia="Arial" w:hAnsi="Arial"/>
          <w:sz w:val="18"/>
          <w:szCs w:val="18"/>
          <w:color w:val="auto"/>
        </w:rPr>
        <w:t>shares of our common stock. We</w:t>
      </w:r>
    </w:p>
    <w:p>
      <w:pPr>
        <w:spacing w:after="0"/>
        <w:tabs>
          <w:tab w:leader="none" w:pos="7280" w:val="left"/>
          <w:tab w:leader="none" w:pos="8380" w:val="left"/>
        </w:tabs>
        <w:rPr>
          <w:sz w:val="20"/>
          <w:szCs w:val="20"/>
          <w:color w:val="auto"/>
        </w:rPr>
      </w:pPr>
      <w:r>
        <w:rPr>
          <w:rFonts w:ascii="Arial" w:cs="Arial" w:eastAsia="Arial" w:hAnsi="Arial"/>
          <w:sz w:val="18"/>
          <w:szCs w:val="18"/>
          <w:color w:val="auto"/>
        </w:rPr>
        <w:t>anticipate that the initial public offering price of our common stock will be between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7"/>
          <w:szCs w:val="17"/>
          <w:color w:val="auto"/>
        </w:rPr>
        <w:t>per share.</w:t>
      </w:r>
    </w:p>
    <w:p>
      <w:pPr>
        <w:spacing w:after="0" w:line="212" w:lineRule="exact"/>
        <w:rPr>
          <w:sz w:val="20"/>
          <w:szCs w:val="20"/>
          <w:color w:val="auto"/>
        </w:rPr>
      </w:pPr>
    </w:p>
    <w:p>
      <w:pPr>
        <w:ind w:right="420" w:firstLine="456"/>
        <w:spacing w:after="0" w:line="246" w:lineRule="auto"/>
        <w:rPr>
          <w:sz w:val="20"/>
          <w:szCs w:val="20"/>
          <w:color w:val="auto"/>
        </w:rPr>
      </w:pPr>
      <w:r>
        <w:rPr>
          <w:rFonts w:ascii="Arial" w:cs="Arial" w:eastAsia="Arial" w:hAnsi="Arial"/>
          <w:sz w:val="18"/>
          <w:szCs w:val="18"/>
          <w:color w:val="auto"/>
        </w:rPr>
        <w:t>Prior to this offering, there has been no public market for our common stock. Our common stock has been approved for listing on the NASDAQ Global Select Market under the symbol “ANAB.”</w:t>
      </w:r>
    </w:p>
    <w:p>
      <w:pPr>
        <w:spacing w:after="0" w:line="193" w:lineRule="exact"/>
        <w:rPr>
          <w:sz w:val="20"/>
          <w:szCs w:val="20"/>
          <w:color w:val="auto"/>
        </w:rPr>
      </w:pPr>
    </w:p>
    <w:p>
      <w:pPr>
        <w:ind w:left="460"/>
        <w:spacing w:after="0"/>
        <w:tabs>
          <w:tab w:leader="none" w:pos="8040" w:val="left"/>
        </w:tabs>
        <w:rPr>
          <w:sz w:val="20"/>
          <w:szCs w:val="20"/>
          <w:color w:val="auto"/>
        </w:rPr>
      </w:pPr>
      <w:r>
        <w:rPr>
          <w:rFonts w:ascii="Arial" w:cs="Arial" w:eastAsia="Arial" w:hAnsi="Arial"/>
          <w:sz w:val="18"/>
          <w:szCs w:val="18"/>
          <w:color w:val="auto"/>
        </w:rPr>
        <w:t>The underwriters have the option for a 30-day period to purchase up to an additional</w:t>
      </w:r>
      <w:r>
        <w:rPr>
          <w:sz w:val="20"/>
          <w:szCs w:val="20"/>
          <w:color w:val="auto"/>
        </w:rPr>
        <w:tab/>
      </w:r>
      <w:r>
        <w:rPr>
          <w:rFonts w:ascii="Arial" w:cs="Arial" w:eastAsia="Arial" w:hAnsi="Arial"/>
          <w:sz w:val="18"/>
          <w:szCs w:val="18"/>
          <w:color w:val="auto"/>
        </w:rPr>
        <w:t>shares from us to cover over-allotments</w:t>
      </w:r>
    </w:p>
    <w:p>
      <w:pPr>
        <w:spacing w:after="0"/>
        <w:rPr>
          <w:sz w:val="20"/>
          <w:szCs w:val="20"/>
          <w:color w:val="auto"/>
        </w:rPr>
      </w:pPr>
      <w:r>
        <w:rPr>
          <w:rFonts w:ascii="Arial" w:cs="Arial" w:eastAsia="Arial" w:hAnsi="Arial"/>
          <w:sz w:val="18"/>
          <w:szCs w:val="18"/>
          <w:color w:val="auto"/>
        </w:rPr>
        <w:t>of shares.</w:t>
      </w:r>
    </w:p>
    <w:p>
      <w:pPr>
        <w:spacing w:after="0" w:line="212" w:lineRule="exact"/>
        <w:rPr>
          <w:sz w:val="20"/>
          <w:szCs w:val="20"/>
          <w:color w:val="auto"/>
        </w:rPr>
      </w:pPr>
    </w:p>
    <w:p>
      <w:pPr>
        <w:ind w:right="240" w:firstLine="456"/>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we have elected to comply with certain reduced public company reporting requirements for this prospectus and future filings.</w:t>
      </w:r>
    </w:p>
    <w:p>
      <w:pPr>
        <w:spacing w:after="0" w:line="175" w:lineRule="exact"/>
        <w:rPr>
          <w:sz w:val="20"/>
          <w:szCs w:val="20"/>
          <w:color w:val="auto"/>
        </w:rPr>
      </w:pPr>
    </w:p>
    <w:p>
      <w:pPr>
        <w:jc w:val="center"/>
        <w:ind w:right="-39"/>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5">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12 of this prospectus.</w:t>
      </w:r>
    </w:p>
    <w:p>
      <w:pPr>
        <w:spacing w:after="0" w:line="263" w:lineRule="exact"/>
        <w:rPr>
          <w:sz w:val="20"/>
          <w:szCs w:val="20"/>
          <w:color w:val="auto"/>
        </w:rPr>
      </w:pPr>
    </w:p>
    <w:tbl>
      <w:tblPr>
        <w:tblLayout w:type="fixed"/>
        <w:tblInd w:w="5600" w:type="dxa"/>
        <w:tblCellMar>
          <w:top w:w="0" w:type="dxa"/>
          <w:left w:w="0" w:type="dxa"/>
          <w:bottom w:w="0" w:type="dxa"/>
          <w:right w:w="0" w:type="dxa"/>
        </w:tblCellMar>
      </w:tblPr>
      <w:tr>
        <w:trPr>
          <w:trHeight w:val="189"/>
        </w:trPr>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Underwriting</w:t>
            </w:r>
          </w:p>
        </w:tc>
        <w:tc>
          <w:tcPr>
            <w:tcW w:w="1940" w:type="dxa"/>
            <w:vAlign w:val="bottom"/>
          </w:tcPr>
          <w:p>
            <w:pPr>
              <w:jc w:val="center"/>
              <w:spacing w:after="0"/>
              <w:rPr>
                <w:sz w:val="20"/>
                <w:szCs w:val="20"/>
                <w:color w:val="auto"/>
              </w:rPr>
            </w:pPr>
            <w:r>
              <w:rPr>
                <w:rFonts w:ascii="Arial" w:cs="Arial" w:eastAsia="Arial" w:hAnsi="Arial"/>
                <w:sz w:val="16"/>
                <w:szCs w:val="16"/>
                <w:color w:val="auto"/>
              </w:rPr>
              <w:t>Proceeds to</w:t>
            </w:r>
          </w:p>
        </w:tc>
      </w:tr>
      <w:tr>
        <w:trPr>
          <w:trHeight w:val="184"/>
        </w:trPr>
        <w:tc>
          <w:tcPr>
            <w:tcW w:w="19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Price to</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rPr>
              <w:t>Discounts and</w:t>
            </w:r>
          </w:p>
        </w:tc>
        <w:tc>
          <w:tcPr>
            <w:tcW w:w="1940" w:type="dxa"/>
            <w:vAlign w:val="bottom"/>
          </w:tcPr>
          <w:p>
            <w:pPr>
              <w:jc w:val="center"/>
              <w:spacing w:after="0"/>
              <w:rPr>
                <w:sz w:val="20"/>
                <w:szCs w:val="20"/>
                <w:color w:val="auto"/>
              </w:rPr>
            </w:pPr>
            <w:r>
              <w:rPr>
                <w:rFonts w:ascii="Arial" w:cs="Arial" w:eastAsia="Arial" w:hAnsi="Arial"/>
                <w:sz w:val="16"/>
                <w:szCs w:val="16"/>
                <w:color w:val="auto"/>
              </w:rPr>
              <w:t>AnaptysBio,</w:t>
            </w:r>
          </w:p>
        </w:tc>
      </w:tr>
      <w:tr>
        <w:trPr>
          <w:trHeight w:val="206"/>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Public</w:t>
            </w:r>
          </w:p>
        </w:tc>
        <w:tc>
          <w:tcPr>
            <w:tcW w:w="140" w:type="dxa"/>
            <w:vAlign w:val="bottom"/>
          </w:tcPr>
          <w:p>
            <w:pPr>
              <w:spacing w:after="0"/>
              <w:rPr>
                <w:sz w:val="17"/>
                <w:szCs w:val="17"/>
                <w:color w:val="auto"/>
              </w:rPr>
            </w:pPr>
          </w:p>
        </w:tc>
        <w:tc>
          <w:tcPr>
            <w:tcW w:w="1820" w:type="dxa"/>
            <w:vAlign w:val="bottom"/>
            <w:tcBorders>
              <w:bottom w:val="single" w:sz="8" w:color="auto"/>
            </w:tcBorders>
          </w:tcPr>
          <w:p>
            <w:pPr>
              <w:jc w:val="center"/>
              <w:spacing w:after="0" w:line="205" w:lineRule="exact"/>
              <w:rPr>
                <w:sz w:val="20"/>
                <w:szCs w:val="20"/>
                <w:color w:val="auto"/>
              </w:rPr>
            </w:pPr>
            <w:r>
              <w:rPr>
                <w:rFonts w:ascii="Arial" w:cs="Arial" w:eastAsia="Arial" w:hAnsi="Arial"/>
                <w:sz w:val="14"/>
                <w:szCs w:val="14"/>
                <w:color w:val="auto"/>
              </w:rPr>
              <w:t>Commissions</w:t>
            </w:r>
            <w:r>
              <w:rPr>
                <w:rFonts w:ascii="Arial" w:cs="Arial" w:eastAsia="Arial" w:hAnsi="Arial"/>
                <w:sz w:val="23"/>
                <w:szCs w:val="23"/>
                <w:color w:val="auto"/>
                <w:vertAlign w:val="superscript"/>
              </w:rPr>
              <w:t>(1)</w:t>
            </w:r>
          </w:p>
        </w:tc>
        <w:tc>
          <w:tcPr>
            <w:tcW w:w="100" w:type="dxa"/>
            <w:vAlign w:val="bottom"/>
          </w:tcPr>
          <w:p>
            <w:pPr>
              <w:spacing w:after="0"/>
              <w:rPr>
                <w:sz w:val="17"/>
                <w:szCs w:val="17"/>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Inc.</w:t>
            </w:r>
          </w:p>
        </w:tc>
      </w:tr>
    </w:tbl>
    <w:p>
      <w:pPr>
        <w:spacing w:after="0" w:line="94" w:lineRule="exact"/>
        <w:rPr>
          <w:sz w:val="20"/>
          <w:szCs w:val="20"/>
          <w:color w:val="auto"/>
        </w:rPr>
      </w:pPr>
    </w:p>
    <w:p>
      <w:pPr>
        <w:sectPr>
          <w:pgSz w:w="11900" w:h="16838" w:orient="portrait"/>
          <w:cols w:equalWidth="0" w:num="1">
            <w:col w:w="11420"/>
          </w:cols>
          <w:pgMar w:left="240" w:top="459" w:right="239" w:bottom="1440" w:gutter="0" w:footer="0" w:header="0"/>
        </w:sectPr>
      </w:pPr>
    </w:p>
    <w:p>
      <w:pPr>
        <w:spacing w:after="0"/>
        <w:tabs>
          <w:tab w:leader="none" w:pos="5840" w:val="left"/>
        </w:tabs>
        <w:rPr>
          <w:sz w:val="20"/>
          <w:szCs w:val="20"/>
          <w:color w:val="auto"/>
        </w:rPr>
      </w:pPr>
      <w:r>
        <w:rPr>
          <w:rFonts w:ascii="Arial" w:cs="Arial" w:eastAsia="Arial" w:hAnsi="Arial"/>
          <w:sz w:val="18"/>
          <w:szCs w:val="18"/>
          <w:color w:val="auto"/>
        </w:rPr>
        <w:t>Per Share</w:t>
      </w:r>
      <w:r>
        <w:rPr>
          <w:sz w:val="20"/>
          <w:szCs w:val="20"/>
          <w:color w:val="auto"/>
        </w:rPr>
        <w:tab/>
      </w:r>
      <w:r>
        <w:rPr>
          <w:rFonts w:ascii="Arial" w:cs="Arial" w:eastAsia="Arial" w:hAnsi="Arial"/>
          <w:sz w:val="17"/>
          <w:szCs w:val="17"/>
          <w:color w:val="auto"/>
        </w:rPr>
        <w:t>$</w:t>
      </w:r>
    </w:p>
    <w:p>
      <w:pPr>
        <w:spacing w:after="0" w:line="104"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11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See “Underwriting” for a description of the compensation payable to the underwriters.</w:t>
      </w:r>
    </w:p>
    <w:p>
      <w:pPr>
        <w:spacing w:after="0" w:line="20" w:lineRule="exact"/>
        <w:rPr>
          <w:sz w:val="20"/>
          <w:szCs w:val="20"/>
          <w:color w:val="auto"/>
        </w:rPr>
      </w:pPr>
      <w:r>
        <w:rPr>
          <w:sz w:val="20"/>
          <w:szCs w:val="20"/>
          <w:color w:val="auto"/>
        </w:rPr>
        <w:br w:type="column"/>
      </w:r>
    </w:p>
    <w:p>
      <w:pPr>
        <w:spacing w:after="0"/>
        <w:tabs>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115"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w:t>
      </w:r>
    </w:p>
    <w:p>
      <w:pPr>
        <w:spacing w:after="0" w:line="524" w:lineRule="exact"/>
        <w:rPr>
          <w:sz w:val="20"/>
          <w:szCs w:val="20"/>
          <w:color w:val="auto"/>
        </w:rPr>
      </w:pPr>
    </w:p>
    <w:p>
      <w:pPr>
        <w:sectPr>
          <w:pgSz w:w="11900" w:h="16838" w:orient="portrait"/>
          <w:cols w:equalWidth="0" w:num="2">
            <w:col w:w="7220" w:space="600"/>
            <w:col w:w="3600"/>
          </w:cols>
          <w:pgMar w:left="240" w:top="459" w:right="239" w:bottom="1440" w:gutter="0" w:footer="0" w:header="0"/>
          <w:type w:val="continuous"/>
        </w:sectPr>
      </w:pPr>
    </w:p>
    <w:p>
      <w:pPr>
        <w:spacing w:after="0" w:line="23"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7940" w:type="dxa"/>
            <w:vAlign w:val="bottom"/>
          </w:tcPr>
          <w:p>
            <w:pPr>
              <w:spacing w:after="0"/>
              <w:rPr>
                <w:sz w:val="20"/>
                <w:szCs w:val="20"/>
                <w:color w:val="auto"/>
              </w:rPr>
            </w:pPr>
            <w:r>
              <w:rPr>
                <w:rFonts w:ascii="Arial" w:cs="Arial" w:eastAsia="Arial" w:hAnsi="Arial"/>
                <w:sz w:val="18"/>
                <w:szCs w:val="18"/>
                <w:color w:val="auto"/>
              </w:rPr>
              <w:t>The underwriters expect to deliver the shares of common stock to the purchasers on or about</w:t>
            </w:r>
          </w:p>
        </w:tc>
        <w:tc>
          <w:tcPr>
            <w:tcW w:w="1080" w:type="dxa"/>
            <w:vAlign w:val="bottom"/>
          </w:tcPr>
          <w:p>
            <w:pPr>
              <w:jc w:val="right"/>
              <w:spacing w:after="0"/>
              <w:rPr>
                <w:sz w:val="20"/>
                <w:szCs w:val="20"/>
                <w:color w:val="auto"/>
              </w:rPr>
            </w:pPr>
            <w:r>
              <w:rPr>
                <w:rFonts w:ascii="Arial" w:cs="Arial" w:eastAsia="Arial" w:hAnsi="Arial"/>
                <w:sz w:val="18"/>
                <w:szCs w:val="18"/>
                <w:color w:val="auto"/>
              </w:rPr>
              <w:t>, 2016.</w:t>
            </w:r>
          </w:p>
        </w:tc>
      </w:tr>
    </w:tbl>
    <w:p>
      <w:pPr>
        <w:spacing w:after="0" w:line="396" w:lineRule="exact"/>
        <w:rPr>
          <w:sz w:val="20"/>
          <w:szCs w:val="20"/>
          <w:color w:val="auto"/>
        </w:rPr>
      </w:pPr>
    </w:p>
    <w:p>
      <w:pPr>
        <w:spacing w:after="0"/>
        <w:tabs>
          <w:tab w:leader="none" w:pos="10600" w:val="left"/>
        </w:tabs>
        <w:rPr>
          <w:sz w:val="20"/>
          <w:szCs w:val="20"/>
          <w:color w:val="auto"/>
        </w:rPr>
      </w:pPr>
      <w:r>
        <w:rPr>
          <w:rFonts w:ascii="Arial" w:cs="Arial" w:eastAsia="Arial" w:hAnsi="Arial"/>
          <w:sz w:val="32"/>
          <w:szCs w:val="32"/>
          <w:b w:val="1"/>
          <w:bCs w:val="1"/>
          <w:color w:val="auto"/>
        </w:rPr>
        <w:t>Credit Suisse</w:t>
      </w:r>
      <w:r>
        <w:rPr>
          <w:sz w:val="20"/>
          <w:szCs w:val="20"/>
          <w:color w:val="auto"/>
        </w:rPr>
        <w:tab/>
      </w:r>
      <w:r>
        <w:rPr>
          <w:rFonts w:ascii="Arial" w:cs="Arial" w:eastAsia="Arial" w:hAnsi="Arial"/>
          <w:sz w:val="32"/>
          <w:szCs w:val="32"/>
          <w:b w:val="1"/>
          <w:bCs w:val="1"/>
          <w:color w:val="auto"/>
        </w:rPr>
        <w:t>Stifel</w:t>
      </w:r>
    </w:p>
    <w:p>
      <w:pPr>
        <w:spacing w:after="0" w:line="338" w:lineRule="exact"/>
        <w:rPr>
          <w:sz w:val="20"/>
          <w:szCs w:val="20"/>
          <w:color w:val="auto"/>
        </w:rPr>
      </w:pPr>
    </w:p>
    <w:p>
      <w:pPr>
        <w:spacing w:after="0"/>
        <w:tabs>
          <w:tab w:leader="none" w:pos="9440" w:val="left"/>
        </w:tabs>
        <w:rPr>
          <w:sz w:val="20"/>
          <w:szCs w:val="20"/>
          <w:color w:val="auto"/>
        </w:rPr>
      </w:pPr>
      <w:r>
        <w:rPr>
          <w:rFonts w:ascii="Arial" w:cs="Arial" w:eastAsia="Arial" w:hAnsi="Arial"/>
          <w:sz w:val="22"/>
          <w:szCs w:val="22"/>
          <w:b w:val="1"/>
          <w:bCs w:val="1"/>
          <w:color w:val="auto"/>
        </w:rPr>
        <w:t>JMP Securities</w:t>
      </w:r>
      <w:r>
        <w:rPr>
          <w:sz w:val="20"/>
          <w:szCs w:val="20"/>
          <w:color w:val="auto"/>
        </w:rPr>
        <w:tab/>
      </w:r>
      <w:r>
        <w:rPr>
          <w:rFonts w:ascii="Arial" w:cs="Arial" w:eastAsia="Arial" w:hAnsi="Arial"/>
          <w:sz w:val="21"/>
          <w:szCs w:val="21"/>
          <w:b w:val="1"/>
          <w:bCs w:val="1"/>
          <w:color w:val="auto"/>
        </w:rPr>
        <w:t>Wedbush PacGrow</w:t>
      </w:r>
    </w:p>
    <w:p>
      <w:pPr>
        <w:spacing w:after="0" w:line="332" w:lineRule="exact"/>
        <w:rPr>
          <w:sz w:val="20"/>
          <w:szCs w:val="20"/>
          <w:color w:val="auto"/>
        </w:rPr>
      </w:pPr>
    </w:p>
    <w:p>
      <w:pPr>
        <w:ind w:left="3740"/>
        <w:spacing w:after="0"/>
        <w:tabs>
          <w:tab w:leader="none" w:pos="71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8"/>
          <w:szCs w:val="18"/>
          <w:color w:val="auto"/>
        </w:rPr>
        <w:t>, 2016.</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780" w:type="dxa"/>
            <w:vAlign w:val="bottom"/>
            <w:gridSpan w:val="8"/>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w:t>
              </w:r>
              <w:r>
                <w:rPr>
                  <w:rFonts w:ascii="Arial" w:cs="Arial" w:eastAsia="Arial" w:hAnsi="Arial"/>
                  <w:sz w:val="15"/>
                  <w:szCs w:val="15"/>
                  <w:color w:val="0000EE"/>
                  <w:w w:val="93"/>
                </w:rPr>
                <w:t>ROSPECTUS</w:t>
              </w:r>
              <w:r>
                <w:rPr>
                  <w:rFonts w:ascii="Arial" w:cs="Arial" w:eastAsia="Arial" w:hAnsi="Arial"/>
                  <w:sz w:val="18"/>
                  <w:szCs w:val="18"/>
                  <w:color w:val="0000EE"/>
                  <w:w w:val="93"/>
                </w:rPr>
                <w:t xml:space="preserve"> S</w:t>
              </w:r>
              <w:r>
                <w:rPr>
                  <w:rFonts w:ascii="Arial" w:cs="Arial" w:eastAsia="Arial" w:hAnsi="Arial"/>
                  <w:sz w:val="15"/>
                  <w:szCs w:val="15"/>
                  <w:color w:val="0000EE"/>
                  <w:w w:val="93"/>
                </w:rPr>
                <w:t>UMMARY</w:t>
              </w:r>
            </w:hyperlink>
          </w:p>
        </w:tc>
        <w:tc>
          <w:tcPr>
            <w:tcW w:w="3280" w:type="dxa"/>
            <w:vAlign w:val="bottom"/>
            <w:gridSpan w:val="6"/>
            <w:vMerge w:val="restart"/>
          </w:tcPr>
          <w:p>
            <w:pPr>
              <w:spacing w:after="0"/>
              <w:rPr>
                <w:sz w:val="14"/>
                <w:szCs w:val="14"/>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Page</w:t>
            </w:r>
          </w:p>
        </w:tc>
        <w:tc>
          <w:tcPr>
            <w:tcW w:w="5040" w:type="dxa"/>
            <w:vAlign w:val="bottom"/>
            <w:gridSpan w:val="14"/>
            <w:vMerge w:val="restart"/>
          </w:tcPr>
          <w:p>
            <w:pPr>
              <w:spacing w:after="0"/>
              <w:rPr>
                <w:rFonts w:ascii="Arial" w:cs="Arial" w:eastAsia="Arial" w:hAnsi="Arial"/>
                <w:sz w:val="18"/>
                <w:szCs w:val="18"/>
                <w:color w:val="0000EE"/>
              </w:rPr>
            </w:pPr>
            <w:hyperlink w:anchor="page117">
              <w:r>
                <w:rPr>
                  <w:rFonts w:ascii="Arial" w:cs="Arial" w:eastAsia="Arial" w:hAnsi="Arial"/>
                  <w:sz w:val="18"/>
                  <w:szCs w:val="18"/>
                  <w:color w:val="0000EE"/>
                </w:rPr>
                <w:t>M</w:t>
              </w:r>
              <w:r>
                <w:rPr>
                  <w:rFonts w:ascii="Arial" w:cs="Arial" w:eastAsia="Arial" w:hAnsi="Arial"/>
                  <w:sz w:val="15"/>
                  <w:szCs w:val="15"/>
                  <w:color w:val="0000EE"/>
                </w:rPr>
                <w:t>ANAGEMENT</w:t>
              </w:r>
            </w:hyperlink>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780" w:type="dxa"/>
            <w:vAlign w:val="bottom"/>
            <w:gridSpan w:val="8"/>
            <w:vMerge w:val="continue"/>
          </w:tcPr>
          <w:p>
            <w:pPr>
              <w:spacing w:after="0"/>
              <w:rPr>
                <w:sz w:val="13"/>
                <w:szCs w:val="13"/>
                <w:color w:val="auto"/>
              </w:rPr>
            </w:pPr>
          </w:p>
        </w:tc>
        <w:tc>
          <w:tcPr>
            <w:tcW w:w="3280" w:type="dxa"/>
            <w:vAlign w:val="bottom"/>
            <w:gridSpan w:val="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460" w:type="dxa"/>
            <w:vAlign w:val="bottom"/>
          </w:tcPr>
          <w:p>
            <w:pPr>
              <w:spacing w:after="0"/>
              <w:rPr>
                <w:sz w:val="13"/>
                <w:szCs w:val="13"/>
                <w:color w:val="auto"/>
              </w:rPr>
            </w:pPr>
          </w:p>
        </w:tc>
        <w:tc>
          <w:tcPr>
            <w:tcW w:w="5040" w:type="dxa"/>
            <w:vAlign w:val="bottom"/>
            <w:gridSpan w:val="14"/>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80" w:type="dxa"/>
            <w:vAlign w:val="bottom"/>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T</w:t>
              </w:r>
              <w:r>
                <w:rPr>
                  <w:rFonts w:ascii="Arial" w:cs="Arial" w:eastAsia="Arial" w:hAnsi="Arial"/>
                  <w:sz w:val="15"/>
                  <w:szCs w:val="15"/>
                  <w:color w:val="0000EE"/>
                </w:rPr>
                <w:t>HE</w:t>
              </w:r>
              <w:r>
                <w:rPr>
                  <w:rFonts w:ascii="Arial" w:cs="Arial" w:eastAsia="Arial" w:hAnsi="Arial"/>
                  <w:sz w:val="18"/>
                  <w:szCs w:val="18"/>
                  <w:color w:val="0000EE"/>
                </w:rPr>
                <w:t xml:space="preserve"> O</w:t>
              </w:r>
              <w:r>
                <w:rPr>
                  <w:rFonts w:ascii="Arial" w:cs="Arial" w:eastAsia="Arial" w:hAnsi="Arial"/>
                  <w:sz w:val="15"/>
                  <w:szCs w:val="15"/>
                  <w:color w:val="0000EE"/>
                </w:rPr>
                <w:t>FFERING</w:t>
              </w:r>
            </w:hyperlink>
          </w:p>
        </w:tc>
        <w:tc>
          <w:tcPr>
            <w:tcW w:w="3280" w:type="dxa"/>
            <w:vAlign w:val="bottom"/>
            <w:gridSpan w:val="6"/>
          </w:tcPr>
          <w:p>
            <w:pPr>
              <w:spacing w:after="0"/>
              <w:rPr>
                <w:sz w:val="18"/>
                <w:szCs w:val="18"/>
                <w:color w:val="auto"/>
              </w:rPr>
            </w:pP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5040" w:type="dxa"/>
            <w:vAlign w:val="bottom"/>
            <w:gridSpan w:val="14"/>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E</w:t>
              </w:r>
              <w:r>
                <w:rPr>
                  <w:rFonts w:ascii="Arial" w:cs="Arial" w:eastAsia="Arial" w:hAnsi="Arial"/>
                  <w:sz w:val="15"/>
                  <w:szCs w:val="15"/>
                  <w:color w:val="0000EE"/>
                </w:rPr>
                <w:t>XECUTIVE</w:t>
              </w:r>
              <w:r>
                <w:rPr>
                  <w:rFonts w:ascii="Arial" w:cs="Arial" w:eastAsia="Arial" w:hAnsi="Arial"/>
                  <w:sz w:val="18"/>
                  <w:szCs w:val="18"/>
                  <w:color w:val="0000EE"/>
                </w:rPr>
                <w:t xml:space="preserve"> C</w:t>
              </w:r>
              <w:r>
                <w:rPr>
                  <w:rFonts w:ascii="Arial" w:cs="Arial" w:eastAsia="Arial" w:hAnsi="Arial"/>
                  <w:sz w:val="15"/>
                  <w:szCs w:val="15"/>
                  <w:color w:val="0000EE"/>
                </w:rPr>
                <w:t>OMPENSATION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4"/>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R</w:t>
              </w:r>
              <w:r>
                <w:rPr>
                  <w:rFonts w:ascii="Arial" w:cs="Arial" w:eastAsia="Arial" w:hAnsi="Arial"/>
                  <w:sz w:val="15"/>
                  <w:szCs w:val="15"/>
                  <w:color w:val="0000EE"/>
                  <w:w w:val="89"/>
                </w:rPr>
                <w:t>ISK</w:t>
              </w:r>
              <w:r>
                <w:rPr>
                  <w:rFonts w:ascii="Arial" w:cs="Arial" w:eastAsia="Arial" w:hAnsi="Arial"/>
                  <w:sz w:val="18"/>
                  <w:szCs w:val="18"/>
                  <w:color w:val="0000EE"/>
                  <w:w w:val="89"/>
                </w:rPr>
                <w:t xml:space="preserve"> F</w:t>
              </w:r>
              <w:r>
                <w:rPr>
                  <w:rFonts w:ascii="Arial" w:cs="Arial" w:eastAsia="Arial" w:hAnsi="Arial"/>
                  <w:sz w:val="15"/>
                  <w:szCs w:val="15"/>
                  <w:color w:val="0000EE"/>
                  <w:w w:val="89"/>
                </w:rPr>
                <w:t>ACTORS</w:t>
              </w:r>
            </w:hyperlink>
          </w:p>
        </w:tc>
        <w:tc>
          <w:tcPr>
            <w:tcW w:w="3980" w:type="dxa"/>
            <w:vAlign w:val="bottom"/>
            <w:gridSpan w:val="10"/>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12</w:t>
            </w:r>
          </w:p>
        </w:tc>
        <w:tc>
          <w:tcPr>
            <w:tcW w:w="5040" w:type="dxa"/>
            <w:vAlign w:val="bottom"/>
            <w:gridSpan w:val="1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w:t>
              </w:r>
              <w:r>
                <w:rPr>
                  <w:rFonts w:ascii="Arial" w:cs="Arial" w:eastAsia="Arial" w:hAnsi="Arial"/>
                  <w:sz w:val="15"/>
                  <w:szCs w:val="15"/>
                  <w:color w:val="0000EE"/>
                </w:rPr>
                <w:t>ERTAIN</w:t>
              </w:r>
              <w:r>
                <w:rPr>
                  <w:rFonts w:ascii="Arial" w:cs="Arial" w:eastAsia="Arial" w:hAnsi="Arial"/>
                  <w:sz w:val="18"/>
                  <w:szCs w:val="18"/>
                  <w:color w:val="0000EE"/>
                </w:rPr>
                <w:t xml:space="preserve"> R</w:t>
              </w:r>
              <w:r>
                <w:rPr>
                  <w:rFonts w:ascii="Arial" w:cs="Arial" w:eastAsia="Arial" w:hAnsi="Arial"/>
                  <w:sz w:val="15"/>
                  <w:szCs w:val="15"/>
                  <w:color w:val="0000EE"/>
                </w:rPr>
                <w:t>ELATIONSHIPS AND</w:t>
              </w:r>
              <w:r>
                <w:rPr>
                  <w:rFonts w:ascii="Arial" w:cs="Arial" w:eastAsia="Arial" w:hAnsi="Arial"/>
                  <w:sz w:val="18"/>
                  <w:szCs w:val="18"/>
                  <w:color w:val="0000EE"/>
                </w:rPr>
                <w:t xml:space="preserve"> R</w:t>
              </w:r>
              <w:r>
                <w:rPr>
                  <w:rFonts w:ascii="Arial" w:cs="Arial" w:eastAsia="Arial" w:hAnsi="Arial"/>
                  <w:sz w:val="15"/>
                  <w:szCs w:val="15"/>
                  <w:color w:val="0000EE"/>
                </w:rPr>
                <w:t>ELATED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T</w:t>
              </w:r>
              <w:r>
                <w:rPr>
                  <w:rFonts w:ascii="Arial" w:cs="Arial" w:eastAsia="Arial" w:hAnsi="Arial"/>
                  <w:sz w:val="15"/>
                  <w:szCs w:val="15"/>
                  <w:color w:val="0000EE"/>
                </w:rPr>
                <w: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S</w:t>
              </w:r>
              <w:r>
                <w:rPr>
                  <w:rFonts w:ascii="Arial" w:cs="Arial" w:eastAsia="Arial" w:hAnsi="Arial"/>
                  <w:sz w:val="15"/>
                  <w:szCs w:val="15"/>
                  <w:color w:val="0000EE"/>
                </w:rPr>
                <w:t>PECIAL</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w:t>
              </w:r>
              <w:r>
                <w:rPr>
                  <w:rFonts w:ascii="Arial" w:cs="Arial" w:eastAsia="Arial" w:hAnsi="Arial"/>
                  <w:sz w:val="18"/>
                  <w:szCs w:val="18"/>
                  <w:color w:val="0000EE"/>
                </w:rPr>
                <w:t xml:space="preserve"> F</w:t>
              </w:r>
              <w:r>
                <w:rPr>
                  <w:rFonts w:ascii="Arial" w:cs="Arial" w:eastAsia="Arial" w:hAnsi="Arial"/>
                  <w:sz w:val="15"/>
                  <w:szCs w:val="15"/>
                  <w:color w:val="0000EE"/>
                </w:rPr>
                <w:t>ORWARD</w:t>
              </w:r>
              <w:r>
                <w:rPr>
                  <w:rFonts w:ascii="Arial" w:cs="Arial" w:eastAsia="Arial" w:hAnsi="Arial"/>
                  <w:sz w:val="18"/>
                  <w:szCs w:val="18"/>
                  <w:color w:val="0000EE"/>
                </w:rPr>
                <w:t>-L</w:t>
              </w:r>
              <w:r>
                <w:rPr>
                  <w:rFonts w:ascii="Arial" w:cs="Arial" w:eastAsia="Arial" w:hAnsi="Arial"/>
                  <w:sz w:val="15"/>
                  <w:szCs w:val="15"/>
                  <w:color w:val="0000EE"/>
                </w:rPr>
                <w:t>OOKING</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51</w:t>
            </w:r>
          </w:p>
        </w:tc>
        <w:tc>
          <w:tcPr>
            <w:tcW w:w="5040" w:type="dxa"/>
            <w:vAlign w:val="bottom"/>
            <w:gridSpan w:val="14"/>
          </w:tcPr>
          <w:p>
            <w:pPr>
              <w:spacing w:after="0" w:line="196" w:lineRule="exact"/>
              <w:rPr>
                <w:rFonts w:ascii="Arial" w:cs="Arial" w:eastAsia="Arial" w:hAnsi="Arial"/>
                <w:sz w:val="18"/>
                <w:szCs w:val="18"/>
                <w:color w:val="0000EE"/>
              </w:rPr>
            </w:pPr>
            <w:hyperlink w:anchor="page139">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w:t>
              </w:r>
              <w:r>
                <w:rPr>
                  <w:rFonts w:ascii="Arial" w:cs="Arial" w:eastAsia="Arial" w:hAnsi="Arial"/>
                  <w:sz w:val="15"/>
                  <w:szCs w:val="15"/>
                  <w:color w:val="0000EE"/>
                </w:rPr>
                <w:t>ARKET AND</w:t>
              </w:r>
              <w:r>
                <w:rPr>
                  <w:rFonts w:ascii="Arial" w:cs="Arial" w:eastAsia="Arial" w:hAnsi="Arial"/>
                  <w:sz w:val="18"/>
                  <w:szCs w:val="18"/>
                  <w:color w:val="0000EE"/>
                </w:rPr>
                <w:t xml:space="preserve"> I</w:t>
              </w:r>
              <w:r>
                <w:rPr>
                  <w:rFonts w:ascii="Arial" w:cs="Arial" w:eastAsia="Arial" w:hAnsi="Arial"/>
                  <w:sz w:val="15"/>
                  <w:szCs w:val="15"/>
                  <w:color w:val="0000EE"/>
                </w:rPr>
                <w:t>NDUSTRY</w:t>
              </w:r>
              <w:r>
                <w:rPr>
                  <w:rFonts w:ascii="Arial" w:cs="Arial" w:eastAsia="Arial" w:hAnsi="Arial"/>
                  <w:sz w:val="18"/>
                  <w:szCs w:val="18"/>
                  <w:color w:val="0000EE"/>
                </w:rPr>
                <w:t xml:space="preserve"> D</w:t>
              </w:r>
              <w:r>
                <w:rPr>
                  <w:rFonts w:ascii="Arial" w:cs="Arial" w:eastAsia="Arial" w:hAnsi="Arial"/>
                  <w:sz w:val="15"/>
                  <w:szCs w:val="15"/>
                  <w:color w:val="0000EE"/>
                </w:rPr>
                <w:t>ATA</w:t>
              </w:r>
            </w:hyperlink>
          </w:p>
        </w:tc>
        <w:tc>
          <w:tcPr>
            <w:tcW w:w="480" w:type="dxa"/>
            <w:vAlign w:val="bottom"/>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52</w:t>
            </w:r>
          </w:p>
        </w:tc>
        <w:tc>
          <w:tcPr>
            <w:tcW w:w="5040" w:type="dxa"/>
            <w:vAlign w:val="bottom"/>
            <w:gridSpan w:val="14"/>
          </w:tcPr>
          <w:p>
            <w:pPr>
              <w:spacing w:after="0" w:line="196" w:lineRule="exact"/>
              <w:rPr>
                <w:rFonts w:ascii="Arial" w:cs="Arial" w:eastAsia="Arial" w:hAnsi="Arial"/>
                <w:sz w:val="18"/>
                <w:szCs w:val="18"/>
                <w:color w:val="0000EE"/>
              </w:rPr>
            </w:pPr>
            <w:hyperlink w:anchor="page142">
              <w:r>
                <w:rPr>
                  <w:rFonts w:ascii="Arial" w:cs="Arial" w:eastAsia="Arial" w:hAnsi="Arial"/>
                  <w:sz w:val="18"/>
                  <w:szCs w:val="18"/>
                  <w:color w:val="0000EE"/>
                </w:rPr>
                <w:t>D</w:t>
              </w:r>
              <w:r>
                <w:rPr>
                  <w:rFonts w:ascii="Arial" w:cs="Arial" w:eastAsia="Arial" w:hAnsi="Arial"/>
                  <w:sz w:val="15"/>
                  <w:szCs w:val="15"/>
                  <w:color w:val="0000EE"/>
                </w:rPr>
                <w:t>ESCRIPTION OF</w:t>
              </w:r>
              <w:r>
                <w:rPr>
                  <w:rFonts w:ascii="Arial" w:cs="Arial" w:eastAsia="Arial" w:hAnsi="Arial"/>
                  <w:sz w:val="18"/>
                  <w:szCs w:val="18"/>
                  <w:color w:val="0000EE"/>
                </w:rPr>
                <w:t xml:space="preserve"> C</w:t>
              </w:r>
              <w:r>
                <w:rPr>
                  <w:rFonts w:ascii="Arial" w:cs="Arial" w:eastAsia="Arial" w:hAnsi="Arial"/>
                  <w:sz w:val="15"/>
                  <w:szCs w:val="15"/>
                  <w:color w:val="0000EE"/>
                </w:rPr>
                <w:t>APITAL</w:t>
              </w:r>
              <w:r>
                <w:rPr>
                  <w:rFonts w:ascii="Arial" w:cs="Arial" w:eastAsia="Arial" w:hAnsi="Arial"/>
                  <w:sz w:val="18"/>
                  <w:szCs w:val="18"/>
                  <w:color w:val="0000EE"/>
                </w:rPr>
                <w:t xml:space="preserve"> S</w:t>
              </w:r>
              <w:r>
                <w:rPr>
                  <w:rFonts w:ascii="Arial" w:cs="Arial" w:eastAsia="Arial" w:hAnsi="Arial"/>
                  <w:sz w:val="15"/>
                  <w:szCs w:val="15"/>
                  <w:color w:val="0000EE"/>
                </w:rPr>
                <w:t>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00" w:type="dxa"/>
            <w:vAlign w:val="bottom"/>
            <w:gridSpan w:val="2"/>
          </w:tcPr>
          <w:p>
            <w:pPr>
              <w:spacing w:after="0"/>
              <w:rPr>
                <w:sz w:val="17"/>
                <w:szCs w:val="17"/>
                <w:color w:val="auto"/>
              </w:rPr>
            </w:pPr>
          </w:p>
        </w:tc>
        <w:tc>
          <w:tcPr>
            <w:tcW w:w="2780" w:type="dxa"/>
            <w:vAlign w:val="bottom"/>
            <w:gridSpan w:val="5"/>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53</w:t>
            </w:r>
          </w:p>
        </w:tc>
        <w:tc>
          <w:tcPr>
            <w:tcW w:w="2740" w:type="dxa"/>
            <w:vAlign w:val="bottom"/>
            <w:tcBorders>
              <w:bottom w:val="single" w:sz="8" w:color="0000EE"/>
            </w:tcBorders>
            <w:gridSpan w:val="10"/>
          </w:tcPr>
          <w:p>
            <w:pPr>
              <w:spacing w:after="0" w:line="196" w:lineRule="exact"/>
              <w:rPr>
                <w:rFonts w:ascii="Arial" w:cs="Arial" w:eastAsia="Arial" w:hAnsi="Arial"/>
                <w:sz w:val="18"/>
                <w:szCs w:val="18"/>
                <w:color w:val="0000EE"/>
                <w:w w:val="95"/>
              </w:rPr>
            </w:pPr>
            <w:hyperlink w:anchor="page147">
              <w:r>
                <w:rPr>
                  <w:rFonts w:ascii="Arial" w:cs="Arial" w:eastAsia="Arial" w:hAnsi="Arial"/>
                  <w:sz w:val="18"/>
                  <w:szCs w:val="18"/>
                  <w:color w:val="0000EE"/>
                  <w:w w:val="95"/>
                </w:rPr>
                <w:t>S</w:t>
              </w:r>
              <w:r>
                <w:rPr>
                  <w:rFonts w:ascii="Arial" w:cs="Arial" w:eastAsia="Arial" w:hAnsi="Arial"/>
                  <w:sz w:val="15"/>
                  <w:szCs w:val="15"/>
                  <w:color w:val="0000EE"/>
                  <w:w w:val="95"/>
                </w:rPr>
                <w:t>HARES</w:t>
              </w:r>
              <w:r>
                <w:rPr>
                  <w:rFonts w:ascii="Arial" w:cs="Arial" w:eastAsia="Arial" w:hAnsi="Arial"/>
                  <w:sz w:val="18"/>
                  <w:szCs w:val="18"/>
                  <w:color w:val="0000EE"/>
                  <w:w w:val="95"/>
                </w:rPr>
                <w:t xml:space="preserve"> E</w:t>
              </w:r>
              <w:r>
                <w:rPr>
                  <w:rFonts w:ascii="Arial" w:cs="Arial" w:eastAsia="Arial" w:hAnsi="Arial"/>
                  <w:sz w:val="15"/>
                  <w:szCs w:val="15"/>
                  <w:color w:val="0000EE"/>
                  <w:w w:val="95"/>
                </w:rPr>
                <w:t>LIGIBLE FOR</w:t>
              </w:r>
              <w:r>
                <w:rPr>
                  <w:rFonts w:ascii="Arial" w:cs="Arial" w:eastAsia="Arial" w:hAnsi="Arial"/>
                  <w:sz w:val="18"/>
                  <w:szCs w:val="18"/>
                  <w:color w:val="0000EE"/>
                  <w:w w:val="95"/>
                </w:rPr>
                <w:t xml:space="preserve"> F</w:t>
              </w:r>
              <w:r>
                <w:rPr>
                  <w:rFonts w:ascii="Arial" w:cs="Arial" w:eastAsia="Arial" w:hAnsi="Arial"/>
                  <w:sz w:val="15"/>
                  <w:szCs w:val="15"/>
                  <w:color w:val="0000EE"/>
                  <w:w w:val="95"/>
                </w:rPr>
                <w:t>UTURE</w:t>
              </w:r>
              <w:r>
                <w:rPr>
                  <w:rFonts w:ascii="Arial" w:cs="Arial" w:eastAsia="Arial" w:hAnsi="Arial"/>
                  <w:sz w:val="18"/>
                  <w:szCs w:val="18"/>
                  <w:color w:val="0000EE"/>
                  <w:w w:val="95"/>
                </w:rPr>
                <w:t xml:space="preserve"> S</w:t>
              </w:r>
              <w:r>
                <w:rPr>
                  <w:rFonts w:ascii="Arial" w:cs="Arial" w:eastAsia="Arial" w:hAnsi="Arial"/>
                  <w:sz w:val="15"/>
                  <w:szCs w:val="15"/>
                  <w:color w:val="0000EE"/>
                  <w:w w:val="95"/>
                </w:rPr>
                <w:t>ALE</w:t>
              </w:r>
            </w:hyperlink>
          </w:p>
        </w:tc>
        <w:tc>
          <w:tcPr>
            <w:tcW w:w="23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144</w:t>
            </w:r>
          </w:p>
        </w:tc>
        <w:tc>
          <w:tcPr>
            <w:tcW w:w="0" w:type="dxa"/>
            <w:vAlign w:val="bottom"/>
          </w:tcPr>
          <w:p>
            <w:pPr>
              <w:spacing w:after="0"/>
              <w:rPr>
                <w:sz w:val="1"/>
                <w:szCs w:val="1"/>
                <w:color w:val="auto"/>
              </w:rPr>
            </w:pPr>
          </w:p>
        </w:tc>
      </w:tr>
      <w:tr>
        <w:trPr>
          <w:trHeight w:val="196"/>
        </w:trPr>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98"/>
              </w:rPr>
            </w:pPr>
            <w:hyperlink w:anchor="page57">
              <w:r>
                <w:rPr>
                  <w:rFonts w:ascii="Arial" w:cs="Arial" w:eastAsia="Arial" w:hAnsi="Arial"/>
                  <w:sz w:val="18"/>
                  <w:szCs w:val="18"/>
                  <w:color w:val="0000EE"/>
                  <w:w w:val="98"/>
                </w:rPr>
                <w:t>D</w:t>
              </w:r>
              <w:r>
                <w:rPr>
                  <w:rFonts w:ascii="Arial" w:cs="Arial" w:eastAsia="Arial" w:hAnsi="Arial"/>
                  <w:sz w:val="15"/>
                  <w:szCs w:val="15"/>
                  <w:color w:val="0000EE"/>
                  <w:w w:val="98"/>
                </w:rPr>
                <w:t>IVIDEND</w:t>
              </w:r>
              <w:r>
                <w:rPr>
                  <w:rFonts w:ascii="Arial" w:cs="Arial" w:eastAsia="Arial" w:hAnsi="Arial"/>
                  <w:sz w:val="18"/>
                  <w:szCs w:val="18"/>
                  <w:color w:val="0000EE"/>
                  <w:w w:val="98"/>
                </w:rPr>
                <w:t xml:space="preserve"> P</w:t>
              </w:r>
              <w:r>
                <w:rPr>
                  <w:rFonts w:ascii="Arial" w:cs="Arial" w:eastAsia="Arial" w:hAnsi="Arial"/>
                  <w:sz w:val="15"/>
                  <w:szCs w:val="15"/>
                  <w:color w:val="0000EE"/>
                  <w:w w:val="98"/>
                </w:rPr>
                <w:t>OLICY</w:t>
              </w:r>
            </w:hyperlink>
          </w:p>
        </w:tc>
        <w:tc>
          <w:tcPr>
            <w:tcW w:w="3700" w:type="dxa"/>
            <w:vAlign w:val="bottom"/>
            <w:gridSpan w:val="8"/>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54</w:t>
            </w:r>
          </w:p>
        </w:tc>
        <w:tc>
          <w:tcPr>
            <w:tcW w:w="458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149">
              <w:r>
                <w:rPr>
                  <w:rFonts w:ascii="Arial" w:cs="Arial" w:eastAsia="Arial" w:hAnsi="Arial"/>
                  <w:sz w:val="18"/>
                  <w:szCs w:val="18"/>
                  <w:color w:val="0000EE"/>
                  <w:w w:val="96"/>
                </w:rPr>
                <w:t>M</w:t>
              </w:r>
              <w:r>
                <w:rPr>
                  <w:rFonts w:ascii="Arial" w:cs="Arial" w:eastAsia="Arial" w:hAnsi="Arial"/>
                  <w:sz w:val="15"/>
                  <w:szCs w:val="15"/>
                  <w:color w:val="0000EE"/>
                  <w:w w:val="96"/>
                </w:rPr>
                <w:t>ATERIAL</w:t>
              </w:r>
              <w:r>
                <w:rPr>
                  <w:rFonts w:ascii="Arial" w:cs="Arial" w:eastAsia="Arial" w:hAnsi="Arial"/>
                  <w:sz w:val="18"/>
                  <w:szCs w:val="18"/>
                  <w:color w:val="0000EE"/>
                  <w:w w:val="96"/>
                </w:rPr>
                <w:t xml:space="preserve"> U.S. F</w:t>
              </w:r>
              <w:r>
                <w:rPr>
                  <w:rFonts w:ascii="Arial" w:cs="Arial" w:eastAsia="Arial" w:hAnsi="Arial"/>
                  <w:sz w:val="15"/>
                  <w:szCs w:val="15"/>
                  <w:color w:val="0000EE"/>
                  <w:w w:val="96"/>
                </w:rPr>
                <w:t>EDERAL</w:t>
              </w:r>
              <w:r>
                <w:rPr>
                  <w:rFonts w:ascii="Arial" w:cs="Arial" w:eastAsia="Arial" w:hAnsi="Arial"/>
                  <w:sz w:val="18"/>
                  <w:szCs w:val="18"/>
                  <w:color w:val="0000EE"/>
                  <w:w w:val="96"/>
                </w:rPr>
                <w:t xml:space="preserve"> I</w:t>
              </w:r>
              <w:r>
                <w:rPr>
                  <w:rFonts w:ascii="Arial" w:cs="Arial" w:eastAsia="Arial" w:hAnsi="Arial"/>
                  <w:sz w:val="15"/>
                  <w:szCs w:val="15"/>
                  <w:color w:val="0000EE"/>
                  <w:w w:val="96"/>
                </w:rPr>
                <w:t>NCOME</w:t>
              </w:r>
              <w:r>
                <w:rPr>
                  <w:rFonts w:ascii="Arial" w:cs="Arial" w:eastAsia="Arial" w:hAnsi="Arial"/>
                  <w:sz w:val="18"/>
                  <w:szCs w:val="18"/>
                  <w:color w:val="0000EE"/>
                  <w:w w:val="96"/>
                </w:rPr>
                <w:t xml:space="preserve"> T</w:t>
              </w:r>
              <w:r>
                <w:rPr>
                  <w:rFonts w:ascii="Arial" w:cs="Arial" w:eastAsia="Arial" w:hAnsi="Arial"/>
                  <w:sz w:val="15"/>
                  <w:szCs w:val="15"/>
                  <w:color w:val="0000EE"/>
                  <w:w w:val="96"/>
                </w:rPr>
                <w:t>AX</w:t>
              </w:r>
              <w:r>
                <w:rPr>
                  <w:rFonts w:ascii="Arial" w:cs="Arial" w:eastAsia="Arial" w:hAnsi="Arial"/>
                  <w:sz w:val="18"/>
                  <w:szCs w:val="18"/>
                  <w:color w:val="0000EE"/>
                  <w:w w:val="96"/>
                </w:rPr>
                <w:t xml:space="preserve"> C</w:t>
              </w:r>
              <w:r>
                <w:rPr>
                  <w:rFonts w:ascii="Arial" w:cs="Arial" w:eastAsia="Arial" w:hAnsi="Arial"/>
                  <w:sz w:val="15"/>
                  <w:szCs w:val="15"/>
                  <w:color w:val="0000EE"/>
                  <w:w w:val="96"/>
                </w:rPr>
                <w:t>ONSIDERATIONS FOR</w:t>
              </w:r>
            </w:hyperlink>
          </w:p>
        </w:tc>
        <w:tc>
          <w:tcPr>
            <w:tcW w:w="4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55</w:t>
            </w:r>
          </w:p>
        </w:tc>
        <w:tc>
          <w:tcPr>
            <w:tcW w:w="180" w:type="dxa"/>
            <w:vAlign w:val="bottom"/>
          </w:tcPr>
          <w:p>
            <w:pPr>
              <w:spacing w:after="0"/>
              <w:rPr>
                <w:sz w:val="17"/>
                <w:szCs w:val="17"/>
                <w:color w:val="auto"/>
              </w:rPr>
            </w:pPr>
          </w:p>
        </w:tc>
        <w:tc>
          <w:tcPr>
            <w:tcW w:w="4860" w:type="dxa"/>
            <w:vAlign w:val="bottom"/>
            <w:gridSpan w:val="13"/>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60">
              <w:r>
                <w:rPr>
                  <w:rFonts w:ascii="Arial" w:cs="Arial" w:eastAsia="Arial" w:hAnsi="Arial"/>
                  <w:sz w:val="18"/>
                  <w:szCs w:val="18"/>
                  <w:color w:val="0000EE"/>
                  <w:w w:val="99"/>
                </w:rPr>
                <w:t>D</w:t>
              </w:r>
              <w:r>
                <w:rPr>
                  <w:rFonts w:ascii="Arial" w:cs="Arial" w:eastAsia="Arial" w:hAnsi="Arial"/>
                  <w:sz w:val="15"/>
                  <w:szCs w:val="15"/>
                  <w:color w:val="0000EE"/>
                  <w:w w:val="99"/>
                </w:rPr>
                <w:t>ILUTION</w:t>
              </w:r>
            </w:hyperlink>
          </w:p>
        </w:tc>
        <w:tc>
          <w:tcPr>
            <w:tcW w:w="480" w:type="dxa"/>
            <w:vAlign w:val="bottom"/>
            <w:gridSpan w:val="2"/>
          </w:tcPr>
          <w:p>
            <w:pPr>
              <w:spacing w:after="0"/>
              <w:rPr>
                <w:sz w:val="17"/>
                <w:szCs w:val="17"/>
                <w:color w:val="auto"/>
              </w:rPr>
            </w:pPr>
          </w:p>
        </w:tc>
        <w:tc>
          <w:tcPr>
            <w:tcW w:w="3840" w:type="dxa"/>
            <w:vAlign w:val="bottom"/>
            <w:gridSpan w:val="9"/>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57</w:t>
            </w:r>
          </w:p>
        </w:tc>
        <w:tc>
          <w:tcPr>
            <w:tcW w:w="118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54">
              <w:r>
                <w:rPr>
                  <w:rFonts w:ascii="Arial" w:cs="Arial" w:eastAsia="Arial" w:hAnsi="Arial"/>
                  <w:sz w:val="18"/>
                  <w:szCs w:val="18"/>
                  <w:color w:val="0000EE"/>
                  <w:w w:val="96"/>
                </w:rPr>
                <w:t>U</w:t>
              </w:r>
              <w:r>
                <w:rPr>
                  <w:rFonts w:ascii="Arial" w:cs="Arial" w:eastAsia="Arial" w:hAnsi="Arial"/>
                  <w:sz w:val="15"/>
                  <w:szCs w:val="15"/>
                  <w:color w:val="0000EE"/>
                  <w:w w:val="96"/>
                </w:rPr>
                <w:t>NDERWRITING</w:t>
              </w:r>
            </w:hyperlink>
          </w:p>
        </w:tc>
        <w:tc>
          <w:tcPr>
            <w:tcW w:w="386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151</w:t>
            </w:r>
          </w:p>
        </w:tc>
        <w:tc>
          <w:tcPr>
            <w:tcW w:w="0" w:type="dxa"/>
            <w:vAlign w:val="bottom"/>
          </w:tcPr>
          <w:p>
            <w:pPr>
              <w:spacing w:after="0"/>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S</w:t>
              </w:r>
              <w:r>
                <w:rPr>
                  <w:rFonts w:ascii="Arial" w:cs="Arial" w:eastAsia="Arial" w:hAnsi="Arial"/>
                  <w:sz w:val="15"/>
                  <w:szCs w:val="15"/>
                  <w:color w:val="0000EE"/>
                  <w:w w:val="96"/>
                </w:rPr>
                <w:t>ELECTED</w:t>
              </w:r>
              <w:r>
                <w:rPr>
                  <w:rFonts w:ascii="Arial" w:cs="Arial" w:eastAsia="Arial" w:hAnsi="Arial"/>
                  <w:sz w:val="18"/>
                  <w:szCs w:val="18"/>
                  <w:color w:val="0000EE"/>
                  <w:w w:val="96"/>
                </w:rPr>
                <w:t xml:space="preserve"> C</w:t>
              </w:r>
              <w:r>
                <w:rPr>
                  <w:rFonts w:ascii="Arial" w:cs="Arial" w:eastAsia="Arial" w:hAnsi="Arial"/>
                  <w:sz w:val="15"/>
                  <w:szCs w:val="15"/>
                  <w:color w:val="0000EE"/>
                  <w:w w:val="96"/>
                </w:rPr>
                <w:t>ONSOLIDATED</w:t>
              </w:r>
              <w:r>
                <w:rPr>
                  <w:rFonts w:ascii="Arial" w:cs="Arial" w:eastAsia="Arial" w:hAnsi="Arial"/>
                  <w:sz w:val="18"/>
                  <w:szCs w:val="18"/>
                  <w:color w:val="0000EE"/>
                  <w:w w:val="96"/>
                </w:rPr>
                <w:t xml:space="preserve"> F</w:t>
              </w:r>
              <w:r>
                <w:rPr>
                  <w:rFonts w:ascii="Arial" w:cs="Arial" w:eastAsia="Arial" w:hAnsi="Arial"/>
                  <w:sz w:val="15"/>
                  <w:szCs w:val="15"/>
                  <w:color w:val="0000EE"/>
                  <w:w w:val="96"/>
                </w:rPr>
                <w:t>INANCIAL</w:t>
              </w:r>
              <w:r>
                <w:rPr>
                  <w:rFonts w:ascii="Arial" w:cs="Arial" w:eastAsia="Arial" w:hAnsi="Arial"/>
                  <w:sz w:val="18"/>
                  <w:szCs w:val="18"/>
                  <w:color w:val="0000EE"/>
                  <w:w w:val="96"/>
                </w:rPr>
                <w:t xml:space="preserve"> D</w:t>
              </w:r>
              <w:r>
                <w:rPr>
                  <w:rFonts w:ascii="Arial" w:cs="Arial" w:eastAsia="Arial" w:hAnsi="Arial"/>
                  <w:sz w:val="15"/>
                  <w:szCs w:val="15"/>
                  <w:color w:val="0000EE"/>
                  <w:w w:val="96"/>
                </w:rPr>
                <w:t>ATA</w:t>
              </w:r>
            </w:hyperlink>
          </w:p>
        </w:tc>
        <w:tc>
          <w:tcPr>
            <w:tcW w:w="1760" w:type="dxa"/>
            <w:vAlign w:val="bottom"/>
            <w:gridSpan w:val="4"/>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59</w:t>
            </w: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5"/>
              </w:rPr>
            </w:pPr>
            <w:hyperlink w:anchor="page165">
              <w:r>
                <w:rPr>
                  <w:rFonts w:ascii="Arial" w:cs="Arial" w:eastAsia="Arial" w:hAnsi="Arial"/>
                  <w:sz w:val="18"/>
                  <w:szCs w:val="18"/>
                  <w:color w:val="0000EE"/>
                  <w:w w:val="95"/>
                </w:rPr>
                <w:t>L</w:t>
              </w:r>
              <w:r>
                <w:rPr>
                  <w:rFonts w:ascii="Arial" w:cs="Arial" w:eastAsia="Arial" w:hAnsi="Arial"/>
                  <w:sz w:val="15"/>
                  <w:szCs w:val="15"/>
                  <w:color w:val="0000EE"/>
                  <w:w w:val="95"/>
                </w:rPr>
                <w:t>EGAL</w:t>
              </w:r>
              <w:r>
                <w:rPr>
                  <w:rFonts w:ascii="Arial" w:cs="Arial" w:eastAsia="Arial" w:hAnsi="Arial"/>
                  <w:sz w:val="18"/>
                  <w:szCs w:val="18"/>
                  <w:color w:val="0000EE"/>
                  <w:w w:val="95"/>
                </w:rPr>
                <w:t xml:space="preserve"> M</w:t>
              </w:r>
              <w:r>
                <w:rPr>
                  <w:rFonts w:ascii="Arial" w:cs="Arial" w:eastAsia="Arial" w:hAnsi="Arial"/>
                  <w:sz w:val="15"/>
                  <w:szCs w:val="15"/>
                  <w:color w:val="0000EE"/>
                  <w:w w:val="95"/>
                </w:rPr>
                <w:t>ATTERS</w:t>
              </w:r>
            </w:hyperlink>
          </w:p>
        </w:tc>
        <w:tc>
          <w:tcPr>
            <w:tcW w:w="37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446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w:anchor="page64">
              <w:r>
                <w:rPr>
                  <w:rFonts w:ascii="Arial" w:cs="Arial" w:eastAsia="Arial" w:hAnsi="Arial"/>
                  <w:sz w:val="18"/>
                  <w:szCs w:val="18"/>
                  <w:color w:val="0000EE"/>
                  <w:w w:val="98"/>
                </w:rPr>
                <w:t>M</w:t>
              </w:r>
              <w:r>
                <w:rPr>
                  <w:rFonts w:ascii="Arial" w:cs="Arial" w:eastAsia="Arial" w:hAnsi="Arial"/>
                  <w:sz w:val="15"/>
                  <w:szCs w:val="15"/>
                  <w:color w:val="0000EE"/>
                  <w:w w:val="98"/>
                </w:rPr>
                <w:t>ANAGEMENT</w:t>
              </w:r>
              <w:r>
                <w:rPr>
                  <w:rFonts w:ascii="Arial" w:cs="Arial" w:eastAsia="Arial" w:hAnsi="Arial"/>
                  <w:sz w:val="18"/>
                  <w:szCs w:val="18"/>
                  <w:color w:val="0000EE"/>
                  <w:w w:val="98"/>
                </w:rPr>
                <w:t>’</w:t>
              </w:r>
              <w:r>
                <w:rPr>
                  <w:rFonts w:ascii="Arial" w:cs="Arial" w:eastAsia="Arial" w:hAnsi="Arial"/>
                  <w:sz w:val="15"/>
                  <w:szCs w:val="15"/>
                  <w:color w:val="0000EE"/>
                  <w:w w:val="98"/>
                </w:rPr>
                <w:t>S</w:t>
              </w:r>
              <w:r>
                <w:rPr>
                  <w:rFonts w:ascii="Arial" w:cs="Arial" w:eastAsia="Arial" w:hAnsi="Arial"/>
                  <w:sz w:val="18"/>
                  <w:szCs w:val="18"/>
                  <w:color w:val="0000EE"/>
                  <w:w w:val="98"/>
                </w:rPr>
                <w:t xml:space="preserve"> D</w:t>
              </w:r>
              <w:r>
                <w:rPr>
                  <w:rFonts w:ascii="Arial" w:cs="Arial" w:eastAsia="Arial" w:hAnsi="Arial"/>
                  <w:sz w:val="15"/>
                  <w:szCs w:val="15"/>
                  <w:color w:val="0000EE"/>
                  <w:w w:val="98"/>
                </w:rPr>
                <w:t>ISCUSSION AND</w:t>
              </w:r>
              <w:r>
                <w:rPr>
                  <w:rFonts w:ascii="Arial" w:cs="Arial" w:eastAsia="Arial" w:hAnsi="Arial"/>
                  <w:sz w:val="18"/>
                  <w:szCs w:val="18"/>
                  <w:color w:val="0000EE"/>
                  <w:w w:val="98"/>
                </w:rPr>
                <w:t xml:space="preserve"> A</w:t>
              </w:r>
              <w:r>
                <w:rPr>
                  <w:rFonts w:ascii="Arial" w:cs="Arial" w:eastAsia="Arial" w:hAnsi="Arial"/>
                  <w:sz w:val="15"/>
                  <w:szCs w:val="15"/>
                  <w:color w:val="0000EE"/>
                  <w:w w:val="98"/>
                </w:rPr>
                <w:t>NALYSIS OF</w:t>
              </w:r>
              <w:r>
                <w:rPr>
                  <w:rFonts w:ascii="Arial" w:cs="Arial" w:eastAsia="Arial" w:hAnsi="Arial"/>
                  <w:sz w:val="18"/>
                  <w:szCs w:val="18"/>
                  <w:color w:val="0000EE"/>
                  <w:w w:val="98"/>
                </w:rPr>
                <w:t xml:space="preserve"> F</w:t>
              </w:r>
              <w:r>
                <w:rPr>
                  <w:rFonts w:ascii="Arial" w:cs="Arial" w:eastAsia="Arial" w:hAnsi="Arial"/>
                  <w:sz w:val="15"/>
                  <w:szCs w:val="15"/>
                  <w:color w:val="0000EE"/>
                  <w:w w:val="98"/>
                </w:rPr>
                <w:t>INANCIAL</w:t>
              </w:r>
            </w:hyperlink>
          </w:p>
        </w:tc>
        <w:tc>
          <w:tcPr>
            <w:tcW w:w="6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65">
              <w:r>
                <w:rPr>
                  <w:rFonts w:ascii="Arial" w:cs="Arial" w:eastAsia="Arial" w:hAnsi="Arial"/>
                  <w:sz w:val="18"/>
                  <w:szCs w:val="18"/>
                  <w:color w:val="0000EE"/>
                  <w:w w:val="88"/>
                </w:rPr>
                <w:t>E</w:t>
              </w:r>
              <w:r>
                <w:rPr>
                  <w:rFonts w:ascii="Arial" w:cs="Arial" w:eastAsia="Arial" w:hAnsi="Arial"/>
                  <w:sz w:val="15"/>
                  <w:szCs w:val="15"/>
                  <w:color w:val="0000EE"/>
                  <w:w w:val="88"/>
                </w:rPr>
                <w:t>XPERTS</w:t>
              </w:r>
            </w:hyperlink>
          </w:p>
        </w:tc>
        <w:tc>
          <w:tcPr>
            <w:tcW w:w="438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1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4">
              <w:r>
                <w:rPr>
                  <w:rFonts w:ascii="Arial" w:cs="Arial" w:eastAsia="Arial" w:hAnsi="Arial"/>
                  <w:sz w:val="18"/>
                  <w:szCs w:val="18"/>
                  <w:color w:val="0000EE"/>
                  <w:w w:val="94"/>
                </w:rPr>
                <w:t>C</w:t>
              </w:r>
              <w:r>
                <w:rPr>
                  <w:rFonts w:ascii="Arial" w:cs="Arial" w:eastAsia="Arial" w:hAnsi="Arial"/>
                  <w:sz w:val="15"/>
                  <w:szCs w:val="15"/>
                  <w:color w:val="0000EE"/>
                  <w:w w:val="94"/>
                </w:rPr>
                <w:t>ONDITION AND</w:t>
              </w:r>
              <w:r>
                <w:rPr>
                  <w:rFonts w:ascii="Arial" w:cs="Arial" w:eastAsia="Arial" w:hAnsi="Arial"/>
                  <w:sz w:val="18"/>
                  <w:szCs w:val="18"/>
                  <w:color w:val="0000EE"/>
                  <w:w w:val="94"/>
                </w:rPr>
                <w:t xml:space="preserve"> R</w:t>
              </w:r>
              <w:r>
                <w:rPr>
                  <w:rFonts w:ascii="Arial" w:cs="Arial" w:eastAsia="Arial" w:hAnsi="Arial"/>
                  <w:sz w:val="15"/>
                  <w:szCs w:val="15"/>
                  <w:color w:val="0000EE"/>
                  <w:w w:val="94"/>
                </w:rPr>
                <w:t>ESULTS OF</w:t>
              </w:r>
              <w:r>
                <w:rPr>
                  <w:rFonts w:ascii="Arial" w:cs="Arial" w:eastAsia="Arial" w:hAnsi="Arial"/>
                  <w:sz w:val="18"/>
                  <w:szCs w:val="18"/>
                  <w:color w:val="0000EE"/>
                  <w:w w:val="94"/>
                </w:rPr>
                <w:t xml:space="preserve"> O</w:t>
              </w:r>
              <w:r>
                <w:rPr>
                  <w:rFonts w:ascii="Arial" w:cs="Arial" w:eastAsia="Arial" w:hAnsi="Arial"/>
                  <w:sz w:val="15"/>
                  <w:szCs w:val="15"/>
                  <w:color w:val="0000EE"/>
                  <w:w w:val="94"/>
                </w:rPr>
                <w:t>PERATIONS</w:t>
              </w:r>
            </w:hyperlink>
          </w:p>
        </w:tc>
        <w:tc>
          <w:tcPr>
            <w:tcW w:w="1740" w:type="dxa"/>
            <w:vAlign w:val="bottom"/>
            <w:gridSpan w:val="3"/>
          </w:tcPr>
          <w:p>
            <w:pPr>
              <w:spacing w:after="0"/>
              <w:rPr>
                <w:sz w:val="17"/>
                <w:szCs w:val="17"/>
                <w:color w:val="auto"/>
              </w:rPr>
            </w:pPr>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61</w:t>
            </w:r>
          </w:p>
        </w:tc>
        <w:tc>
          <w:tcPr>
            <w:tcW w:w="208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A</w:t>
              </w:r>
              <w:r>
                <w:rPr>
                  <w:rFonts w:ascii="Arial" w:cs="Arial" w:eastAsia="Arial" w:hAnsi="Arial"/>
                  <w:sz w:val="15"/>
                  <w:szCs w:val="15"/>
                  <w:color w:val="0000EE"/>
                </w:rPr>
                <w:t>DDITIONAL</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296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5060" w:type="dxa"/>
            <w:vAlign w:val="bottom"/>
            <w:gridSpan w:val="14"/>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B</w:t>
              </w:r>
              <w:r>
                <w:rPr>
                  <w:rFonts w:ascii="Arial" w:cs="Arial" w:eastAsia="Arial" w:hAnsi="Arial"/>
                  <w:sz w:val="15"/>
                  <w:szCs w:val="15"/>
                  <w:color w:val="0000EE"/>
                </w:rPr>
                <w:t>USINESS</w:t>
              </w:r>
            </w:hyperlink>
          </w:p>
        </w:tc>
        <w:tc>
          <w:tcPr>
            <w:tcW w:w="760" w:type="dxa"/>
            <w:vAlign w:val="bottom"/>
            <w:gridSpan w:val="2"/>
          </w:tcPr>
          <w:p>
            <w:pPr>
              <w:jc w:val="right"/>
              <w:ind w:right="460"/>
              <w:spacing w:after="0" w:line="196" w:lineRule="exact"/>
              <w:rPr>
                <w:sz w:val="20"/>
                <w:szCs w:val="20"/>
                <w:color w:val="auto"/>
              </w:rPr>
            </w:pPr>
            <w:r>
              <w:rPr>
                <w:rFonts w:ascii="Arial" w:cs="Arial" w:eastAsia="Arial" w:hAnsi="Arial"/>
                <w:sz w:val="18"/>
                <w:szCs w:val="18"/>
                <w:color w:val="auto"/>
              </w:rPr>
              <w:t>76</w:t>
            </w:r>
          </w:p>
        </w:tc>
        <w:tc>
          <w:tcPr>
            <w:tcW w:w="5040" w:type="dxa"/>
            <w:vAlign w:val="bottom"/>
            <w:gridSpan w:val="14"/>
          </w:tcPr>
          <w:p>
            <w:pPr>
              <w:spacing w:after="0" w:line="196" w:lineRule="exact"/>
              <w:rPr>
                <w:rFonts w:ascii="Arial" w:cs="Arial" w:eastAsia="Arial" w:hAnsi="Arial"/>
                <w:sz w:val="18"/>
                <w:szCs w:val="18"/>
                <w:color w:val="0000EE"/>
              </w:rPr>
            </w:pPr>
            <w:hyperlink w:anchor="page166">
              <w:r>
                <w:rPr>
                  <w:rFonts w:ascii="Arial" w:cs="Arial" w:eastAsia="Arial" w:hAnsi="Arial"/>
                  <w:sz w:val="18"/>
                  <w:szCs w:val="18"/>
                  <w:color w:val="0000EE"/>
                </w:rPr>
                <w:t>I</w:t>
              </w:r>
              <w:r>
                <w:rPr>
                  <w:rFonts w:ascii="Arial" w:cs="Arial" w:eastAsia="Arial" w:hAnsi="Arial"/>
                  <w:sz w:val="15"/>
                  <w:szCs w:val="15"/>
                  <w:color w:val="0000EE"/>
                </w:rPr>
                <w:t>NDEX TO</w:t>
              </w:r>
              <w:r>
                <w:rPr>
                  <w:rFonts w:ascii="Arial" w:cs="Arial" w:eastAsia="Arial" w:hAnsi="Arial"/>
                  <w:sz w:val="18"/>
                  <w:szCs w:val="18"/>
                  <w:color w:val="0000EE"/>
                </w:rPr>
                <w:t xml:space="preserve"> C</w:t>
              </w:r>
              <w:r>
                <w:rPr>
                  <w:rFonts w:ascii="Arial" w:cs="Arial" w:eastAsia="Arial" w:hAnsi="Arial"/>
                  <w:sz w:val="15"/>
                  <w:szCs w:val="15"/>
                  <w:color w:val="0000EE"/>
                </w:rPr>
                <w:t>ONSOLIDATED</w:t>
              </w:r>
              <w:r>
                <w:rPr>
                  <w:rFonts w:ascii="Arial" w:cs="Arial" w:eastAsia="Arial" w:hAnsi="Arial"/>
                  <w:sz w:val="18"/>
                  <w:szCs w:val="18"/>
                  <w:color w:val="0000EE"/>
                </w:rPr>
                <w:t xml:space="preserve"> F</w:t>
              </w:r>
              <w:r>
                <w:rPr>
                  <w:rFonts w:ascii="Arial" w:cs="Arial" w:eastAsia="Arial" w:hAnsi="Arial"/>
                  <w:sz w:val="15"/>
                  <w:szCs w:val="15"/>
                  <w:color w:val="0000EE"/>
                </w:rPr>
                <w:t>INANCIAL</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334645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not, and the underwriters have not, authorized anyone to provide any information or to make any representations other than those contained in this prospectus or in any free writing prospectuses we have prepared. We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current only as of its date.</w:t>
      </w:r>
    </w:p>
    <w:p>
      <w:pPr>
        <w:spacing w:after="0" w:line="17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Through and including , 2016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369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43694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420"/>
        <w:spacing w:after="0" w:line="297" w:lineRule="auto"/>
        <w:rPr>
          <w:sz w:val="20"/>
          <w:szCs w:val="20"/>
          <w:color w:val="auto"/>
        </w:rPr>
      </w:pPr>
      <w:r>
        <w:rPr>
          <w:rFonts w:ascii="Arial" w:cs="Arial" w:eastAsia="Arial" w:hAnsi="Arial"/>
          <w:sz w:val="16"/>
          <w:szCs w:val="16"/>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this prospectus. Unless the context otherwise requires, we use the terms “AnaptysBio,” “company,” “we,” “us” and “our” in this prospectus to refer to AnaptysBio, Inc. and our subsidiary.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3"/>
        <w:spacing w:after="0" w:line="288" w:lineRule="auto"/>
        <w:rPr>
          <w:sz w:val="20"/>
          <w:szCs w:val="20"/>
          <w:color w:val="auto"/>
        </w:rPr>
      </w:pPr>
      <w:r>
        <w:rPr>
          <w:rFonts w:ascii="Arial" w:cs="Arial" w:eastAsia="Arial" w:hAnsi="Arial"/>
          <w:sz w:val="16"/>
          <w:szCs w:val="16"/>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Arial" w:cs="Arial" w:eastAsia="Arial" w:hAnsi="Arial"/>
          <w:sz w:val="16"/>
          <w:szCs w:val="16"/>
          <w:i w:val="1"/>
          <w:iCs w:val="1"/>
          <w:color w:val="auto"/>
        </w:rPr>
        <w:t>in vitro</w:t>
      </w:r>
      <w:r>
        <w:rPr>
          <w:rFonts w:ascii="Arial" w:cs="Arial" w:eastAsia="Arial" w:hAnsi="Arial"/>
          <w:sz w:val="16"/>
          <w:szCs w:val="16"/>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antibody programs, ANB020 and ANB019, bind to therapeutic targets that are genetically associated with severe inflammatory disorders. ANB020 is an antibody that inhibits the activity of interleukin-33 for the treatment of severe adult asthma and severe adult peanut allergy. We submitted and have received approval of a Clinical Trial Notification, or CTN, in Australia for ANB020 and plan to initiate a Phase 1 clinical trial in the first half of 2016. ANB019 is an antibody that inhibits the interleukin-36 receptor for the treatment of rare inflammatory diseases called generalized pustular psoriasis (GPP) and palmo-plantar pustular psoriasis (PPP). We plan to submit a CTN for ANB019 by the end of 2016 and commence a Phase 1 clinical trial in the first half of 2017.</w:t>
      </w:r>
    </w:p>
    <w:p>
      <w:pPr>
        <w:spacing w:after="0" w:line="169" w:lineRule="exact"/>
        <w:rPr>
          <w:sz w:val="20"/>
          <w:szCs w:val="20"/>
          <w:color w:val="auto"/>
        </w:rPr>
      </w:pPr>
    </w:p>
    <w:p>
      <w:pPr>
        <w:ind w:left="200" w:right="280" w:firstLine="443"/>
        <w:spacing w:after="0" w:line="286" w:lineRule="auto"/>
        <w:rPr>
          <w:sz w:val="20"/>
          <w:szCs w:val="20"/>
          <w:color w:val="auto"/>
        </w:rPr>
      </w:pPr>
      <w:r>
        <w:rPr>
          <w:rFonts w:ascii="Arial" w:cs="Arial" w:eastAsia="Arial" w:hAnsi="Arial"/>
          <w:sz w:val="17"/>
          <w:szCs w:val="17"/>
          <w:color w:val="auto"/>
        </w:rPr>
        <w:t>Our company is led by a strong management team with deep experience in antibody discovery and development, collaborations, operations and corporate finance. Through January 31, 2016, we have raised approximately $94.3 million from investors, including Biotechnology Value Fund, Cormorant Asset Management, Frazier Healthcare, HBM Partners, Longwood Capital Partners and Novo A/S.</w:t>
      </w:r>
    </w:p>
    <w:p>
      <w:pPr>
        <w:spacing w:after="0" w:line="16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In addition to our wholly-owned antibody programs, we expect four programs will be advanced by our collaborators to the clinic by the first half of 2017. Our collaborations include an immuno-oncology-focused collaboration with TESARO, Inc. and TESARO Development, Ltd., or collectively, TESARO, and an inflammation-focused collaboration with Celgene Corporation, or Celgene. Through January 31, 2016, we have received non-dilutive funding of $52.9 million from our collaborators.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78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67875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Product Candidates</w:t>
      </w:r>
    </w:p>
    <w:p>
      <w:pPr>
        <w:spacing w:after="0" w:line="121" w:lineRule="exact"/>
        <w:rPr>
          <w:sz w:val="20"/>
          <w:szCs w:val="20"/>
          <w:color w:val="auto"/>
        </w:rPr>
      </w:pPr>
    </w:p>
    <w:p>
      <w:pPr>
        <w:ind w:left="200" w:right="60" w:firstLine="443"/>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20" w:hanging="323"/>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Proof-of-concept, or POC, indicates initial efficacy data in a patient population.</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1060" w:hanging="323"/>
        <w:spacing w:after="0" w:line="268"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ANB020 </w:t>
      </w:r>
      <w:r>
        <w:rPr>
          <w:rFonts w:ascii="Arial" w:cs="Arial" w:eastAsia="Arial" w:hAnsi="Arial"/>
          <w:sz w:val="17"/>
          <w:szCs w:val="17"/>
          <w:color w:val="auto"/>
        </w:rPr>
        <w:t>is an antibody that inhibits the activity of interleukin-33, or IL-33, a pro-inflammatory cytokine that multiple studies have indicated</w:t>
      </w:r>
      <w:r>
        <w:rPr>
          <w:rFonts w:ascii="Arial" w:cs="Arial" w:eastAsia="Arial" w:hAnsi="Arial"/>
          <w:sz w:val="17"/>
          <w:szCs w:val="17"/>
          <w:b w:val="1"/>
          <w:bCs w:val="1"/>
          <w:color w:val="auto"/>
        </w:rPr>
        <w:t xml:space="preserve"> </w:t>
      </w:r>
      <w:r>
        <w:rPr>
          <w:rFonts w:ascii="Arial" w:cs="Arial" w:eastAsia="Arial" w:hAnsi="Arial"/>
          <w:sz w:val="17"/>
          <w:szCs w:val="17"/>
          <w:color w:val="auto"/>
        </w:rPr>
        <w:t>is a 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believe ANB020 is potentially the first-in-class therapy targeting IL-33. We submitted and have received approval of an Australian CTN for ANB020, and plan to commence a Phase 1 healthy volunteer trial in Australia in the first half of 2016, followed by patient trials in severe adult asthma and severe adult peanut allergy in other countries, including the United States after submitting an Investigational New Drug application, or IND, to the U.S. Food and Drug Administration, or FDA. We estimate, based on our analysis of publicly available data sources and interviews with physicians and key opinion leaders in the field, that asthma affects approximately 7.7% of the adult U.S. population, or approximately 19.0 million individuals, of which 19%, or approximately 3.6 million have severe, persistent occurrence of this respiratory disease. Peanut allergy is the most common cause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07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60071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spacing w:after="0" w:line="259" w:lineRule="auto"/>
        <w:rPr>
          <w:sz w:val="20"/>
          <w:szCs w:val="20"/>
          <w:color w:val="auto"/>
        </w:rPr>
      </w:pPr>
      <w:r>
        <w:rPr>
          <w:rFonts w:ascii="Arial" w:cs="Arial" w:eastAsia="Arial" w:hAnsi="Arial"/>
          <w:sz w:val="18"/>
          <w:szCs w:val="18"/>
          <w:color w:val="auto"/>
        </w:rPr>
        <w:t>of food-induced allergy in the United States. Based on our analysis of publicly available data sources and interviews with physicians and key opinion leaders in the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w:t>
      </w:r>
    </w:p>
    <w:p>
      <w:pPr>
        <w:spacing w:after="0" w:line="88" w:lineRule="exact"/>
        <w:rPr>
          <w:sz w:val="20"/>
          <w:szCs w:val="20"/>
          <w:color w:val="auto"/>
        </w:rPr>
      </w:pPr>
    </w:p>
    <w:p>
      <w:pPr>
        <w:ind w:left="1060" w:right="40" w:hanging="323"/>
        <w:spacing w:after="0" w:line="270"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ANB019 </w:t>
      </w:r>
      <w:r>
        <w:rPr>
          <w:rFonts w:ascii="Arial" w:cs="Arial" w:eastAsia="Arial" w:hAnsi="Arial"/>
          <w:sz w:val="17"/>
          <w:szCs w:val="17"/>
          <w:color w:val="auto"/>
        </w:rPr>
        <w:t>is an antibody that inhibits the function of the interleukin-36-receptor, or IL-36R, which we are initially developing as a potential</w:t>
      </w:r>
      <w:r>
        <w:rPr>
          <w:rFonts w:ascii="Arial" w:cs="Arial" w:eastAsia="Arial" w:hAnsi="Arial"/>
          <w:sz w:val="17"/>
          <w:szCs w:val="17"/>
          <w:b w:val="1"/>
          <w:bCs w:val="1"/>
          <w:color w:val="auto"/>
        </w:rPr>
        <w:t xml:space="preserve"> </w:t>
      </w:r>
      <w:r>
        <w:rPr>
          <w:rFonts w:ascii="Arial" w:cs="Arial" w:eastAsia="Arial" w:hAnsi="Arial"/>
          <w:sz w:val="17"/>
          <w:szCs w:val="17"/>
          <w:color w:val="auto"/>
        </w:rPr>
        <w:t>first-in-class therapy for GPP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We believe ANB019 is the most advanced therapeutic antibody targeting the IL-36R in development. We anticipate filing an Australian CTN for ANB019 by the end of 2016, the approval of which would allow us to initiate a Phase 1 clinical trial in Australia in the first half of 2017.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Advantages of Our SHM-XEL Platform</w:t>
      </w:r>
    </w:p>
    <w:p>
      <w:pPr>
        <w:spacing w:after="0" w:line="121" w:lineRule="exact"/>
        <w:rPr>
          <w:sz w:val="20"/>
          <w:szCs w:val="20"/>
          <w:color w:val="auto"/>
        </w:rPr>
      </w:pPr>
    </w:p>
    <w:p>
      <w:pPr>
        <w:ind w:left="200" w:right="80" w:firstLine="443"/>
        <w:spacing w:after="0" w:line="276" w:lineRule="auto"/>
        <w:rPr>
          <w:sz w:val="20"/>
          <w:szCs w:val="20"/>
          <w:color w:val="auto"/>
        </w:rPr>
      </w:pPr>
      <w:r>
        <w:rPr>
          <w:rFonts w:ascii="Arial" w:cs="Arial" w:eastAsia="Arial" w:hAnsi="Arial"/>
          <w:sz w:val="17"/>
          <w:szCs w:val="17"/>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74" w:lineRule="exact"/>
        <w:rPr>
          <w:sz w:val="20"/>
          <w:szCs w:val="20"/>
          <w:color w:val="auto"/>
        </w:rPr>
      </w:pPr>
    </w:p>
    <w:p>
      <w:pPr>
        <w:ind w:left="1060" w:right="14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1060" w:right="520" w:hanging="323"/>
        <w:spacing w:after="0" w:line="347" w:lineRule="auto"/>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1060" w:right="22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1060" w:right="200" w:hanging="323"/>
        <w:spacing w:after="0" w:line="266"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1060" w:right="600" w:hanging="323"/>
        <w:spacing w:after="0" w:line="282"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with antibody expression, formulation and stability during the antibody generation process.</w:t>
      </w:r>
    </w:p>
    <w:p>
      <w:pPr>
        <w:spacing w:after="0" w:line="67" w:lineRule="exact"/>
        <w:rPr>
          <w:rFonts w:ascii="Arial" w:cs="Arial" w:eastAsia="Arial" w:hAnsi="Arial"/>
          <w:sz w:val="18"/>
          <w:szCs w:val="18"/>
          <w:color w:val="auto"/>
        </w:rPr>
      </w:pPr>
    </w:p>
    <w:p>
      <w:pPr>
        <w:ind w:left="1060" w:right="840" w:hanging="323"/>
        <w:spacing w:after="0" w:line="282"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Our novel approach for the generation of bispecific antibodies leverages SHM to combine two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mechanisms into a single natural antibody molecule.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12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62128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left="200" w:right="460" w:firstLine="443"/>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$52.9 million in payments through January 31, 2016. Multiple antibodies, generated by us prior to or during a strategic collaboration, are currently being advanced through development by our collaborators. Our collaborations with TESARO and Celgene are described below:</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left="200" w:firstLine="443"/>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SHM-XEL platform consisting of the following antibody product candidates:</w:t>
      </w:r>
    </w:p>
    <w:p>
      <w:pPr>
        <w:spacing w:after="0" w:line="76" w:lineRule="exact"/>
        <w:rPr>
          <w:sz w:val="20"/>
          <w:szCs w:val="20"/>
          <w:color w:val="auto"/>
        </w:rPr>
      </w:pPr>
    </w:p>
    <w:p>
      <w:pPr>
        <w:ind w:left="1060" w:right="12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U.S. FDA IND has been submitted and Phase 1 clinical trial initiation anticipated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2016;</w:t>
      </w:r>
    </w:p>
    <w:p>
      <w:pPr>
        <w:spacing w:after="0" w:line="75" w:lineRule="exact"/>
        <w:rPr>
          <w:rFonts w:ascii="Arial" w:cs="Arial" w:eastAsia="Arial" w:hAnsi="Arial"/>
          <w:sz w:val="18"/>
          <w:szCs w:val="18"/>
          <w:color w:val="auto"/>
        </w:rPr>
      </w:pPr>
    </w:p>
    <w:p>
      <w:pPr>
        <w:ind w:left="1060" w:right="24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w:t>
      </w:r>
      <w:r>
        <w:rPr>
          <w:rFonts w:ascii="Arial" w:cs="Arial" w:eastAsia="Arial" w:hAnsi="Arial"/>
          <w:sz w:val="18"/>
          <w:szCs w:val="18"/>
          <w:color w:val="auto"/>
        </w:rPr>
        <w:t>: currently in preclinical development, U.S. FDA IND submission anticipated in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2016;</w:t>
      </w:r>
    </w:p>
    <w:p>
      <w:pPr>
        <w:spacing w:after="0" w:line="75" w:lineRule="exact"/>
        <w:rPr>
          <w:rFonts w:ascii="Arial" w:cs="Arial" w:eastAsia="Arial" w:hAnsi="Arial"/>
          <w:sz w:val="18"/>
          <w:szCs w:val="18"/>
          <w:color w:val="auto"/>
        </w:rPr>
      </w:pPr>
    </w:p>
    <w:p>
      <w:pPr>
        <w:ind w:left="1060" w:right="8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w:t>
      </w:r>
      <w:r>
        <w:rPr>
          <w:rFonts w:ascii="Arial" w:cs="Arial" w:eastAsia="Arial" w:hAnsi="Arial"/>
          <w:sz w:val="18"/>
          <w:szCs w:val="18"/>
          <w:color w:val="auto"/>
        </w:rPr>
        <w:t>: currently in preclinical development, clinical candidate selection anticipated in the first half</w:t>
      </w:r>
      <w:r>
        <w:rPr>
          <w:rFonts w:ascii="Arial" w:cs="Arial" w:eastAsia="Arial" w:hAnsi="Arial"/>
          <w:sz w:val="18"/>
          <w:szCs w:val="18"/>
          <w:i w:val="1"/>
          <w:iCs w:val="1"/>
          <w:color w:val="auto"/>
        </w:rPr>
        <w:t xml:space="preserve"> </w:t>
      </w:r>
      <w:r>
        <w:rPr>
          <w:rFonts w:ascii="Arial" w:cs="Arial" w:eastAsia="Arial" w:hAnsi="Arial"/>
          <w:sz w:val="18"/>
          <w:szCs w:val="18"/>
          <w:color w:val="auto"/>
        </w:rPr>
        <w:t>of 2016;</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Anti-PD-1/TIM-3 Bispecific Antagonist Antibody</w:t>
      </w:r>
      <w:r>
        <w:rPr>
          <w:rFonts w:ascii="Arial" w:cs="Arial" w:eastAsia="Arial" w:hAnsi="Arial"/>
          <w:sz w:val="17"/>
          <w:szCs w:val="17"/>
          <w:color w:val="auto"/>
        </w:rPr>
        <w:t>: currently in lead selection process, clinical candidate selection anticipated in 2016;</w:t>
      </w:r>
    </w:p>
    <w:p>
      <w:pPr>
        <w:spacing w:after="0" w:line="142" w:lineRule="exact"/>
        <w:rPr>
          <w:rFonts w:ascii="Arial" w:cs="Arial" w:eastAsia="Arial" w:hAnsi="Arial"/>
          <w:sz w:val="17"/>
          <w:szCs w:val="17"/>
          <w:color w:val="auto"/>
        </w:rPr>
      </w:pPr>
    </w:p>
    <w:p>
      <w:pPr>
        <w:ind w:left="1060" w:hanging="323"/>
        <w:spacing w:after="0"/>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Anti-PD-1/LAG-3 Bispecific Antagonist Antibody</w:t>
      </w:r>
      <w:r>
        <w:rPr>
          <w:rFonts w:ascii="Arial" w:cs="Arial" w:eastAsia="Arial" w:hAnsi="Arial"/>
          <w:sz w:val="16"/>
          <w:szCs w:val="16"/>
          <w:color w:val="auto"/>
        </w:rPr>
        <w:t>: currently in lead selection process, clinical candidate selection anticipated in 2016; and</w:t>
      </w:r>
    </w:p>
    <w:p>
      <w:pPr>
        <w:spacing w:after="0" w:line="153" w:lineRule="exact"/>
        <w:rPr>
          <w:rFonts w:ascii="Arial" w:cs="Arial" w:eastAsia="Arial" w:hAnsi="Arial"/>
          <w:sz w:val="16"/>
          <w:szCs w:val="16"/>
          <w:color w:val="auto"/>
        </w:rPr>
      </w:pPr>
    </w:p>
    <w:p>
      <w:pPr>
        <w:ind w:left="1060" w:hanging="323"/>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left="200" w:right="200" w:firstLine="443"/>
        <w:spacing w:after="0" w:line="279"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1060" w:hanging="323"/>
        <w:spacing w:after="0" w:line="255"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Advancing our lead product candidates into the clinic. </w:t>
      </w:r>
      <w:r>
        <w:rPr>
          <w:rFonts w:ascii="Arial" w:cs="Arial" w:eastAsia="Arial" w:hAnsi="Arial"/>
          <w:sz w:val="18"/>
          <w:szCs w:val="18"/>
          <w:color w:val="auto"/>
        </w:rPr>
        <w:t>We plan to initiate a Phase 1 healthy volunteer trial for ANB020 in the first half of</w:t>
      </w:r>
      <w:r>
        <w:rPr>
          <w:rFonts w:ascii="Arial" w:cs="Arial" w:eastAsia="Arial" w:hAnsi="Arial"/>
          <w:sz w:val="18"/>
          <w:szCs w:val="18"/>
          <w:b w:val="1"/>
          <w:bCs w:val="1"/>
          <w:color w:val="auto"/>
        </w:rPr>
        <w:t xml:space="preserve"> </w:t>
      </w:r>
      <w:r>
        <w:rPr>
          <w:rFonts w:ascii="Arial" w:cs="Arial" w:eastAsia="Arial" w:hAnsi="Arial"/>
          <w:sz w:val="18"/>
          <w:szCs w:val="18"/>
          <w:color w:val="auto"/>
        </w:rPr>
        <w:t>2016, followed by trials in severe adult asthma and severe adult peanut allergy patients. We plan to initiate a Phase 1 healthy volunteer trial for ANB019 in the first half of 2017, followed by a registration study in GPP patients. For both ANB020 and ANB019, we plan to conduct our initial clinical trials in Australia, and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499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6465" cy="57499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060" w:hanging="323"/>
        <w:spacing w:after="0" w:line="298"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Identifying emerging opportunities in key therapeutic areas. </w:t>
      </w:r>
      <w:r>
        <w:rPr>
          <w:rFonts w:ascii="Arial" w:cs="Arial" w:eastAsia="Arial" w:hAnsi="Arial"/>
          <w:sz w:val="16"/>
          <w:szCs w:val="16"/>
          <w:color w:val="auto"/>
        </w:rPr>
        <w:t>We intend to remain at the forefront of discovery and development of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therapeutic opportunities in inflammation and immuno-oncology by understanding and translating biological breakthroughs into first-in-class therapeutic antibodies. Our approach includes translational biology assessments, such as human genetics,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59" w:lineRule="exact"/>
        <w:rPr>
          <w:rFonts w:ascii="Arial" w:cs="Arial" w:eastAsia="Arial" w:hAnsi="Arial"/>
          <w:sz w:val="16"/>
          <w:szCs w:val="16"/>
          <w:color w:val="auto"/>
        </w:rPr>
      </w:pPr>
    </w:p>
    <w:p>
      <w:pPr>
        <w:ind w:left="1060" w:right="20" w:hanging="323"/>
        <w:spacing w:after="0" w:line="314"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47" w:lineRule="exact"/>
        <w:rPr>
          <w:rFonts w:ascii="Arial" w:cs="Arial" w:eastAsia="Arial" w:hAnsi="Arial"/>
          <w:sz w:val="16"/>
          <w:szCs w:val="16"/>
          <w:color w:val="auto"/>
        </w:rPr>
      </w:pPr>
    </w:p>
    <w:p>
      <w:pPr>
        <w:ind w:left="1060" w:right="60" w:hanging="323"/>
        <w:spacing w:after="0" w:line="261"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w:t>
      </w:r>
      <w:r>
        <w:rPr>
          <w:rFonts w:ascii="Arial" w:cs="Arial" w:eastAsia="Arial" w:hAnsi="Arial"/>
          <w:sz w:val="18"/>
          <w:szCs w:val="18"/>
          <w:b w:val="1"/>
          <w:bCs w:val="1"/>
          <w:color w:val="auto"/>
        </w:rPr>
        <w:t xml:space="preserve"> </w:t>
      </w:r>
      <w:r>
        <w:rPr>
          <w:rFonts w:ascii="Arial" w:cs="Arial" w:eastAsia="Arial" w:hAnsi="Arial"/>
          <w:sz w:val="18"/>
          <w:szCs w:val="18"/>
          <w:color w:val="auto"/>
        </w:rPr>
        <w:t>key 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Affecting Us</w:t>
      </w:r>
    </w:p>
    <w:p>
      <w:pPr>
        <w:spacing w:after="0" w:line="121" w:lineRule="exact"/>
        <w:rPr>
          <w:sz w:val="20"/>
          <w:szCs w:val="20"/>
          <w:color w:val="auto"/>
        </w:rPr>
      </w:pPr>
    </w:p>
    <w:p>
      <w:pPr>
        <w:ind w:left="200" w:right="660" w:firstLine="443"/>
        <w:spacing w:after="0" w:line="277" w:lineRule="auto"/>
        <w:rPr>
          <w:sz w:val="20"/>
          <w:szCs w:val="20"/>
          <w:color w:val="auto"/>
        </w:rPr>
      </w:pPr>
      <w:r>
        <w:rPr>
          <w:rFonts w:ascii="Arial" w:cs="Arial" w:eastAsia="Arial" w:hAnsi="Arial"/>
          <w:sz w:val="18"/>
          <w:szCs w:val="18"/>
          <w:color w:val="auto"/>
        </w:rPr>
        <w:t>Our business is subject to a number of risks and uncertainties, including those highlighted in the section titled “Risk Factors” immediately following this prospectus summary. These risks include, among others, the following:</w:t>
      </w:r>
    </w:p>
    <w:p>
      <w:pPr>
        <w:spacing w:after="0" w:line="76" w:lineRule="exact"/>
        <w:rPr>
          <w:sz w:val="20"/>
          <w:szCs w:val="20"/>
          <w:color w:val="auto"/>
        </w:rPr>
      </w:pPr>
    </w:p>
    <w:p>
      <w:pPr>
        <w:ind w:left="1060" w:right="74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6" w:lineRule="exact"/>
        <w:rPr>
          <w:rFonts w:ascii="Arial" w:cs="Arial" w:eastAsia="Arial" w:hAnsi="Arial"/>
          <w:sz w:val="18"/>
          <w:szCs w:val="18"/>
          <w:color w:val="auto"/>
        </w:rPr>
      </w:pPr>
    </w:p>
    <w:p>
      <w:pPr>
        <w:ind w:left="1060" w:right="22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never dosed any of our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86" w:lineRule="exact"/>
        <w:rPr>
          <w:rFonts w:ascii="Arial" w:cs="Arial" w:eastAsia="Arial" w:hAnsi="Arial"/>
          <w:sz w:val="18"/>
          <w:szCs w:val="18"/>
          <w:color w:val="auto"/>
        </w:rPr>
      </w:pPr>
    </w:p>
    <w:p>
      <w:pPr>
        <w:ind w:left="1060" w:right="20" w:hanging="323"/>
        <w:spacing w:after="0" w:line="342" w:lineRule="auto"/>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1060" w:right="3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use and expand our technology platform to build a pipeline of product candidates and develop marketable products.</w:t>
      </w:r>
    </w:p>
    <w:p>
      <w:pPr>
        <w:spacing w:after="0" w:line="75" w:lineRule="exact"/>
        <w:rPr>
          <w:rFonts w:ascii="Arial" w:cs="Arial" w:eastAsia="Arial" w:hAnsi="Arial"/>
          <w:sz w:val="18"/>
          <w:szCs w:val="18"/>
          <w:color w:val="auto"/>
        </w:rPr>
      </w:pPr>
    </w:p>
    <w:p>
      <w:pPr>
        <w:ind w:left="1060" w:right="4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no history of conducting clinical trials or commercializing biotechnology products, which may make it difficult to evaluate the prospects for our future viability.</w:t>
      </w:r>
    </w:p>
    <w:p>
      <w:pPr>
        <w:spacing w:after="0" w:line="75"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106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44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6144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323"/>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6" w:lineRule="exact"/>
        <w:rPr>
          <w:rFonts w:ascii="Arial" w:cs="Arial" w:eastAsia="Arial" w:hAnsi="Arial"/>
          <w:sz w:val="18"/>
          <w:szCs w:val="18"/>
          <w:color w:val="auto"/>
        </w:rPr>
      </w:pPr>
    </w:p>
    <w:p>
      <w:pPr>
        <w:ind w:left="1060" w:right="42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1060" w:right="220" w:hanging="323"/>
        <w:spacing w:after="0" w:line="308" w:lineRule="auto"/>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52" w:lineRule="exact"/>
        <w:rPr>
          <w:sz w:val="20"/>
          <w:szCs w:val="20"/>
          <w:color w:val="auto"/>
        </w:rPr>
      </w:pPr>
    </w:p>
    <w:p>
      <w:pPr>
        <w:jc w:val="both"/>
        <w:ind w:left="1060" w:right="60" w:hanging="319"/>
        <w:spacing w:after="0" w:line="264" w:lineRule="auto"/>
        <w:tabs>
          <w:tab w:leader="none" w:pos="1040" w:val="left"/>
        </w:tabs>
        <w:rPr>
          <w:sz w:val="20"/>
          <w:szCs w:val="20"/>
          <w:color w:val="auto"/>
        </w:rPr>
      </w:pPr>
      <w:r>
        <w:rPr>
          <w:rFonts w:ascii="Arial" w:cs="Arial" w:eastAsia="Arial" w:hAnsi="Arial"/>
          <w:sz w:val="18"/>
          <w:szCs w:val="18"/>
          <w:color w:val="auto"/>
        </w:rPr>
        <w:t>•</w:t>
        <w:tab/>
        <w:t>Our executive officers, directors, current 5% or greater stockholders and entities affiliated with any of them, together will own % of our common stock after this offering based on the number of shares outstanding as of December 31, 2015; the concentration of our capital stock ownership will likely limit your ability to influence corporate matters.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00" w:firstLine="443"/>
        <w:spacing w:after="0" w:line="279"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171"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200" w:right="360" w:firstLine="443"/>
        <w:spacing w:after="0" w:line="286" w:lineRule="auto"/>
        <w:rPr>
          <w:sz w:val="20"/>
          <w:szCs w:val="20"/>
          <w:color w:val="auto"/>
        </w:rPr>
      </w:pPr>
      <w:r>
        <w:rPr>
          <w:rFonts w:ascii="Arial" w:cs="Arial" w:eastAsia="Arial" w:hAnsi="Arial"/>
          <w:sz w:val="17"/>
          <w:szCs w:val="17"/>
          <w:color w:val="auto"/>
        </w:rPr>
        <w:t>As a company with less than $1.0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060" w:right="58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1060" w:right="6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1060" w:right="20" w:hanging="323"/>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3506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13506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firstLine="443"/>
        <w:spacing w:after="0" w:line="286" w:lineRule="auto"/>
        <w:rPr>
          <w:sz w:val="20"/>
          <w:szCs w:val="20"/>
          <w:color w:val="auto"/>
        </w:rPr>
      </w:pPr>
      <w:r>
        <w:rPr>
          <w:rFonts w:ascii="Arial" w:cs="Arial" w:eastAsia="Arial" w:hAnsi="Arial"/>
          <w:sz w:val="17"/>
          <w:szCs w:val="17"/>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66" w:lineRule="exact"/>
        <w:rPr>
          <w:sz w:val="20"/>
          <w:szCs w:val="20"/>
          <w:color w:val="auto"/>
        </w:rPr>
      </w:pPr>
    </w:p>
    <w:p>
      <w:pPr>
        <w:jc w:val="both"/>
        <w:ind w:left="200" w:right="80" w:firstLine="443"/>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63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3638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100" w:type="dxa"/>
            <w:vAlign w:val="bottom"/>
          </w:tcPr>
          <w:p>
            <w:pPr>
              <w:spacing w:after="0"/>
              <w:rPr>
                <w:sz w:val="20"/>
                <w:szCs w:val="20"/>
                <w:color w:val="auto"/>
              </w:rPr>
            </w:pPr>
          </w:p>
        </w:tc>
        <w:tc>
          <w:tcPr>
            <w:tcW w:w="5040" w:type="dxa"/>
            <w:vAlign w:val="bottom"/>
            <w:gridSpan w:val="2"/>
          </w:tcPr>
          <w:p>
            <w:pPr>
              <w:ind w:left="920"/>
              <w:spacing w:after="0"/>
              <w:rPr>
                <w:sz w:val="20"/>
                <w:szCs w:val="20"/>
                <w:color w:val="auto"/>
              </w:rPr>
            </w:pPr>
            <w:r>
              <w:rPr>
                <w:rFonts w:ascii="Arial" w:cs="Arial" w:eastAsia="Arial" w:hAnsi="Arial"/>
                <w:sz w:val="18"/>
                <w:szCs w:val="18"/>
                <w:b w:val="1"/>
                <w:bCs w:val="1"/>
                <w:color w:val="auto"/>
              </w:rPr>
              <w:t>The Offering</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8"/>
        </w:trPr>
        <w:tc>
          <w:tcPr>
            <w:tcW w:w="4100" w:type="dxa"/>
            <w:vAlign w:val="bottom"/>
          </w:tcPr>
          <w:p>
            <w:pPr>
              <w:spacing w:after="0"/>
              <w:rPr>
                <w:sz w:val="20"/>
                <w:szCs w:val="20"/>
                <w:color w:val="auto"/>
              </w:rPr>
            </w:pPr>
            <w:r>
              <w:rPr>
                <w:rFonts w:ascii="Arial" w:cs="Arial" w:eastAsia="Arial" w:hAnsi="Arial"/>
                <w:sz w:val="18"/>
                <w:szCs w:val="18"/>
                <w:color w:val="auto"/>
              </w:rPr>
              <w:t>Shares of common stock offered by us</w:t>
            </w:r>
          </w:p>
        </w:tc>
        <w:tc>
          <w:tcPr>
            <w:tcW w:w="1840" w:type="dxa"/>
            <w:vAlign w:val="bottom"/>
          </w:tcPr>
          <w:p>
            <w:pPr>
              <w:ind w:left="860"/>
              <w:spacing w:after="0"/>
              <w:rPr>
                <w:sz w:val="20"/>
                <w:szCs w:val="20"/>
                <w:color w:val="auto"/>
              </w:rPr>
            </w:pPr>
            <w:r>
              <w:rPr>
                <w:rFonts w:ascii="Arial" w:cs="Arial" w:eastAsia="Arial" w:hAnsi="Arial"/>
                <w:sz w:val="18"/>
                <w:szCs w:val="18"/>
                <w:color w:val="auto"/>
              </w:rPr>
              <w:t>shares.</w:t>
            </w: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3"/>
        </w:trPr>
        <w:tc>
          <w:tcPr>
            <w:tcW w:w="4100" w:type="dxa"/>
            <w:vAlign w:val="bottom"/>
          </w:tcPr>
          <w:p>
            <w:pPr>
              <w:spacing w:after="0"/>
              <w:rPr>
                <w:sz w:val="20"/>
                <w:szCs w:val="20"/>
                <w:color w:val="auto"/>
              </w:rPr>
            </w:pPr>
            <w:r>
              <w:rPr>
                <w:rFonts w:ascii="Arial" w:cs="Arial" w:eastAsia="Arial" w:hAnsi="Arial"/>
                <w:sz w:val="18"/>
                <w:szCs w:val="18"/>
                <w:color w:val="auto"/>
                <w:w w:val="91"/>
              </w:rPr>
              <w:t>Option to purchase additional shares to be offered by us</w:t>
            </w:r>
          </w:p>
        </w:tc>
        <w:tc>
          <w:tcPr>
            <w:tcW w:w="1840" w:type="dxa"/>
            <w:vAlign w:val="bottom"/>
          </w:tcPr>
          <w:p>
            <w:pPr>
              <w:ind w:left="860"/>
              <w:spacing w:after="0"/>
              <w:rPr>
                <w:sz w:val="20"/>
                <w:szCs w:val="20"/>
                <w:color w:val="auto"/>
              </w:rPr>
            </w:pPr>
            <w:r>
              <w:rPr>
                <w:rFonts w:ascii="Arial" w:cs="Arial" w:eastAsia="Arial" w:hAnsi="Arial"/>
                <w:sz w:val="18"/>
                <w:szCs w:val="18"/>
                <w:color w:val="auto"/>
              </w:rPr>
              <w:t>shares.</w:t>
            </w: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8"/>
        </w:trPr>
        <w:tc>
          <w:tcPr>
            <w:tcW w:w="4100" w:type="dxa"/>
            <w:vAlign w:val="bottom"/>
          </w:tcPr>
          <w:p>
            <w:pPr>
              <w:spacing w:after="0"/>
              <w:rPr>
                <w:sz w:val="20"/>
                <w:szCs w:val="20"/>
                <w:color w:val="auto"/>
              </w:rPr>
            </w:pPr>
            <w:r>
              <w:rPr>
                <w:rFonts w:ascii="Arial" w:cs="Arial" w:eastAsia="Arial" w:hAnsi="Arial"/>
                <w:sz w:val="18"/>
                <w:szCs w:val="18"/>
                <w:color w:val="auto"/>
                <w:w w:val="92"/>
              </w:rPr>
              <w:t>Shares of common stock to be outstanding immediately</w:t>
            </w:r>
          </w:p>
        </w:tc>
        <w:tc>
          <w:tcPr>
            <w:tcW w:w="1840" w:type="dxa"/>
            <w:vAlign w:val="bottom"/>
          </w:tcPr>
          <w:p>
            <w:pPr>
              <w:ind w:left="860"/>
              <w:spacing w:after="0"/>
              <w:rPr>
                <w:sz w:val="20"/>
                <w:szCs w:val="20"/>
                <w:color w:val="auto"/>
              </w:rPr>
            </w:pPr>
            <w:r>
              <w:rPr>
                <w:rFonts w:ascii="Arial" w:cs="Arial" w:eastAsia="Arial" w:hAnsi="Arial"/>
                <w:sz w:val="18"/>
                <w:szCs w:val="18"/>
                <w:color w:val="auto"/>
              </w:rPr>
              <w:t>shares (</w:t>
            </w:r>
          </w:p>
        </w:tc>
        <w:tc>
          <w:tcPr>
            <w:tcW w:w="5120" w:type="dxa"/>
            <w:vAlign w:val="bottom"/>
            <w:gridSpan w:val="3"/>
          </w:tcPr>
          <w:p>
            <w:pPr>
              <w:jc w:val="right"/>
              <w:ind w:right="470"/>
              <w:spacing w:after="0"/>
              <w:rPr>
                <w:sz w:val="20"/>
                <w:szCs w:val="20"/>
                <w:color w:val="auto"/>
              </w:rPr>
            </w:pPr>
            <w:r>
              <w:rPr>
                <w:rFonts w:ascii="Arial" w:cs="Arial" w:eastAsia="Arial" w:hAnsi="Arial"/>
                <w:sz w:val="18"/>
                <w:szCs w:val="18"/>
                <w:color w:val="auto"/>
                <w:w w:val="97"/>
              </w:rPr>
              <w:t>shares if the underwriters exercise their option to purchase</w:t>
            </w:r>
          </w:p>
        </w:tc>
      </w:tr>
      <w:tr>
        <w:trPr>
          <w:trHeight w:val="230"/>
        </w:trPr>
        <w:tc>
          <w:tcPr>
            <w:tcW w:w="4100" w:type="dxa"/>
            <w:vAlign w:val="bottom"/>
          </w:tcPr>
          <w:p>
            <w:pPr>
              <w:ind w:left="80"/>
              <w:spacing w:after="0"/>
              <w:rPr>
                <w:sz w:val="20"/>
                <w:szCs w:val="20"/>
                <w:color w:val="auto"/>
              </w:rPr>
            </w:pPr>
            <w:r>
              <w:rPr>
                <w:rFonts w:ascii="Arial" w:cs="Arial" w:eastAsia="Arial" w:hAnsi="Arial"/>
                <w:sz w:val="18"/>
                <w:szCs w:val="18"/>
                <w:color w:val="auto"/>
              </w:rPr>
              <w:t>after this offering</w:t>
            </w: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additional shares in full).</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8"/>
        </w:trPr>
        <w:tc>
          <w:tcPr>
            <w:tcW w:w="4100" w:type="dxa"/>
            <w:vAlign w:val="bottom"/>
          </w:tcPr>
          <w:p>
            <w:pPr>
              <w:spacing w:after="0"/>
              <w:rPr>
                <w:sz w:val="20"/>
                <w:szCs w:val="20"/>
                <w:color w:val="auto"/>
              </w:rPr>
            </w:pPr>
            <w:r>
              <w:rPr>
                <w:rFonts w:ascii="Arial" w:cs="Arial" w:eastAsia="Arial" w:hAnsi="Arial"/>
                <w:sz w:val="18"/>
                <w:szCs w:val="18"/>
                <w:color w:val="auto"/>
              </w:rPr>
              <w:t>Voting rights</w:t>
            </w: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5"/>
              </w:rPr>
              <w:t>Upon the closing of this offering, each outstanding share of our convertible preferred stock</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1"/>
              </w:rPr>
              <w:t>will automatically convert into one share of common stock. Each share of our common stock is</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1"/>
              </w:rPr>
              <w:t>entitled to one vote on all matters submitted to a vote of stockholders, including the election of</w:t>
            </w:r>
          </w:p>
        </w:tc>
      </w:tr>
      <w:tr>
        <w:trPr>
          <w:trHeight w:val="230"/>
        </w:trPr>
        <w:tc>
          <w:tcPr>
            <w:tcW w:w="410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directors. See “Description of Capital Stock.”</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5"/>
        </w:trPr>
        <w:tc>
          <w:tcPr>
            <w:tcW w:w="4100" w:type="dxa"/>
            <w:vAlign w:val="bottom"/>
          </w:tcPr>
          <w:p>
            <w:pPr>
              <w:spacing w:after="0"/>
              <w:rPr>
                <w:sz w:val="20"/>
                <w:szCs w:val="20"/>
                <w:color w:val="auto"/>
              </w:rPr>
            </w:pPr>
            <w:r>
              <w:rPr>
                <w:rFonts w:ascii="Arial" w:cs="Arial" w:eastAsia="Arial" w:hAnsi="Arial"/>
                <w:sz w:val="18"/>
                <w:szCs w:val="18"/>
                <w:color w:val="auto"/>
              </w:rPr>
              <w:t>Use of proceeds</w:t>
            </w:r>
          </w:p>
        </w:tc>
        <w:tc>
          <w:tcPr>
            <w:tcW w:w="5880" w:type="dxa"/>
            <w:vAlign w:val="bottom"/>
            <w:gridSpan w:val="3"/>
          </w:tcPr>
          <w:p>
            <w:pPr>
              <w:ind w:left="100"/>
              <w:spacing w:after="0"/>
              <w:rPr>
                <w:sz w:val="20"/>
                <w:szCs w:val="20"/>
                <w:color w:val="auto"/>
              </w:rPr>
            </w:pPr>
            <w:r>
              <w:rPr>
                <w:rFonts w:ascii="Arial" w:cs="Arial" w:eastAsia="Arial" w:hAnsi="Arial"/>
                <w:sz w:val="18"/>
                <w:szCs w:val="18"/>
                <w:color w:val="auto"/>
                <w:w w:val="95"/>
              </w:rPr>
              <w:t>We estimate that the net proceeds from this offering will be approximately $</w:t>
            </w:r>
          </w:p>
        </w:tc>
        <w:tc>
          <w:tcPr>
            <w:tcW w:w="1080" w:type="dxa"/>
            <w:vAlign w:val="bottom"/>
          </w:tcPr>
          <w:p>
            <w:pPr>
              <w:jc w:val="right"/>
              <w:spacing w:after="0"/>
              <w:rPr>
                <w:sz w:val="20"/>
                <w:szCs w:val="20"/>
                <w:color w:val="auto"/>
              </w:rPr>
            </w:pPr>
            <w:r>
              <w:rPr>
                <w:rFonts w:ascii="Arial" w:cs="Arial" w:eastAsia="Arial" w:hAnsi="Arial"/>
                <w:sz w:val="18"/>
                <w:szCs w:val="18"/>
                <w:color w:val="auto"/>
              </w:rPr>
              <w:t>million (or</w:t>
            </w:r>
          </w:p>
        </w:tc>
      </w:tr>
      <w:tr>
        <w:trPr>
          <w:trHeight w:val="216"/>
        </w:trPr>
        <w:tc>
          <w:tcPr>
            <w:tcW w:w="4100" w:type="dxa"/>
            <w:vAlign w:val="bottom"/>
          </w:tcPr>
          <w:p>
            <w:pPr>
              <w:spacing w:after="0"/>
              <w:rPr>
                <w:sz w:val="18"/>
                <w:szCs w:val="18"/>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approximately $</w:t>
            </w:r>
          </w:p>
        </w:tc>
        <w:tc>
          <w:tcPr>
            <w:tcW w:w="5120" w:type="dxa"/>
            <w:vAlign w:val="bottom"/>
            <w:gridSpan w:val="3"/>
          </w:tcPr>
          <w:p>
            <w:pPr>
              <w:jc w:val="right"/>
              <w:spacing w:after="0"/>
              <w:rPr>
                <w:sz w:val="20"/>
                <w:szCs w:val="20"/>
                <w:color w:val="auto"/>
              </w:rPr>
            </w:pPr>
            <w:r>
              <w:rPr>
                <w:rFonts w:ascii="Arial" w:cs="Arial" w:eastAsia="Arial" w:hAnsi="Arial"/>
                <w:sz w:val="18"/>
                <w:szCs w:val="18"/>
                <w:color w:val="auto"/>
                <w:w w:val="92"/>
              </w:rPr>
              <w:t>million if the underwriters exercise their option to purchase additional</w:t>
            </w:r>
          </w:p>
        </w:tc>
      </w:tr>
      <w:tr>
        <w:trPr>
          <w:trHeight w:val="216"/>
        </w:trPr>
        <w:tc>
          <w:tcPr>
            <w:tcW w:w="410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w w:val="96"/>
              </w:rPr>
              <w:t>shares in full), based upon the assumed initial offering price of $</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per share, which is the</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3"/>
              </w:rPr>
              <w:t>midpoint of the estimated offering price range set forth on the cover page of this prospectus,</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5"/>
              </w:rPr>
              <w:t>after deducting estimated underwriting discounts and commissions and estimated offering</w:t>
            </w:r>
          </w:p>
        </w:tc>
      </w:tr>
      <w:tr>
        <w:trPr>
          <w:trHeight w:val="230"/>
        </w:trPr>
        <w:tc>
          <w:tcPr>
            <w:tcW w:w="410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w w:val="86"/>
              </w:rPr>
              <w:t>expenses payable by us.</w:t>
            </w:r>
          </w:p>
        </w:tc>
        <w:tc>
          <w:tcPr>
            <w:tcW w:w="3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5"/>
        </w:trPr>
        <w:tc>
          <w:tcPr>
            <w:tcW w:w="4100" w:type="dxa"/>
            <w:vAlign w:val="bottom"/>
          </w:tcPr>
          <w:p>
            <w:pPr>
              <w:spacing w:after="0"/>
              <w:rPr>
                <w:sz w:val="24"/>
                <w:szCs w:val="24"/>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4"/>
              </w:rPr>
              <w:t>We intend to use the net proceeds that we receive in this offering for product discovery and</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89"/>
              </w:rPr>
              <w:t>development and general corporate purposes. We may use a portion of the proceeds to acquire</w:t>
            </w:r>
          </w:p>
        </w:tc>
      </w:tr>
      <w:tr>
        <w:trPr>
          <w:trHeight w:val="216"/>
        </w:trPr>
        <w:tc>
          <w:tcPr>
            <w:tcW w:w="4100" w:type="dxa"/>
            <w:vAlign w:val="bottom"/>
          </w:tcPr>
          <w:p>
            <w:pPr>
              <w:spacing w:after="0"/>
              <w:rPr>
                <w:sz w:val="18"/>
                <w:szCs w:val="18"/>
                <w:color w:val="auto"/>
              </w:rPr>
            </w:pP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1"/>
              </w:rPr>
              <w:t>other complementary businesses or technologies. See “Use of Proceeds” for a more complete</w:t>
            </w:r>
          </w:p>
        </w:tc>
      </w:tr>
      <w:tr>
        <w:trPr>
          <w:trHeight w:val="230"/>
        </w:trPr>
        <w:tc>
          <w:tcPr>
            <w:tcW w:w="4100" w:type="dxa"/>
            <w:vAlign w:val="bottom"/>
          </w:tcPr>
          <w:p>
            <w:pPr>
              <w:spacing w:after="0"/>
              <w:rPr>
                <w:sz w:val="20"/>
                <w:szCs w:val="20"/>
                <w:color w:val="auto"/>
              </w:rPr>
            </w:pPr>
          </w:p>
        </w:tc>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description of the intended use of proceeds from this offering.</w:t>
            </w: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5"/>
        </w:trPr>
        <w:tc>
          <w:tcPr>
            <w:tcW w:w="4100" w:type="dxa"/>
            <w:vAlign w:val="bottom"/>
          </w:tcPr>
          <w:p>
            <w:pPr>
              <w:spacing w:after="0"/>
              <w:rPr>
                <w:sz w:val="20"/>
                <w:szCs w:val="20"/>
                <w:color w:val="auto"/>
              </w:rPr>
            </w:pPr>
            <w:r>
              <w:rPr>
                <w:rFonts w:ascii="Arial" w:cs="Arial" w:eastAsia="Arial" w:hAnsi="Arial"/>
                <w:sz w:val="18"/>
                <w:szCs w:val="18"/>
                <w:color w:val="auto"/>
              </w:rPr>
              <w:t>Risk factors</w:t>
            </w:r>
          </w:p>
        </w:tc>
        <w:tc>
          <w:tcPr>
            <w:tcW w:w="6960" w:type="dxa"/>
            <w:vAlign w:val="bottom"/>
            <w:gridSpan w:val="4"/>
          </w:tcPr>
          <w:p>
            <w:pPr>
              <w:ind w:left="100"/>
              <w:spacing w:after="0"/>
              <w:rPr>
                <w:sz w:val="20"/>
                <w:szCs w:val="20"/>
                <w:color w:val="auto"/>
              </w:rPr>
            </w:pPr>
            <w:r>
              <w:rPr>
                <w:rFonts w:ascii="Arial" w:cs="Arial" w:eastAsia="Arial" w:hAnsi="Arial"/>
                <w:sz w:val="18"/>
                <w:szCs w:val="18"/>
                <w:color w:val="auto"/>
                <w:w w:val="95"/>
              </w:rPr>
              <w:t>You should read the “Risk Factors” section of this prospectus for a discussion of factors to</w:t>
            </w:r>
          </w:p>
        </w:tc>
      </w:tr>
      <w:tr>
        <w:trPr>
          <w:trHeight w:val="230"/>
        </w:trPr>
        <w:tc>
          <w:tcPr>
            <w:tcW w:w="4100" w:type="dxa"/>
            <w:vAlign w:val="bottom"/>
          </w:tcPr>
          <w:p>
            <w:pPr>
              <w:spacing w:after="0"/>
              <w:rPr>
                <w:sz w:val="20"/>
                <w:szCs w:val="20"/>
                <w:color w:val="auto"/>
              </w:rPr>
            </w:pPr>
          </w:p>
        </w:tc>
        <w:tc>
          <w:tcPr>
            <w:tcW w:w="5880" w:type="dxa"/>
            <w:vAlign w:val="bottom"/>
            <w:gridSpan w:val="3"/>
          </w:tcPr>
          <w:p>
            <w:pPr>
              <w:ind w:left="100"/>
              <w:spacing w:after="0"/>
              <w:rPr>
                <w:sz w:val="20"/>
                <w:szCs w:val="20"/>
                <w:color w:val="auto"/>
              </w:rPr>
            </w:pPr>
            <w:r>
              <w:rPr>
                <w:rFonts w:ascii="Arial" w:cs="Arial" w:eastAsia="Arial" w:hAnsi="Arial"/>
                <w:sz w:val="18"/>
                <w:szCs w:val="18"/>
                <w:color w:val="auto"/>
                <w:w w:val="96"/>
              </w:rPr>
              <w:t>consider carefully before deciding to invest in shares of our common stock.</w:t>
            </w:r>
          </w:p>
        </w:tc>
        <w:tc>
          <w:tcPr>
            <w:tcW w:w="1080" w:type="dxa"/>
            <w:vAlign w:val="bottom"/>
          </w:tcPr>
          <w:p>
            <w:pPr>
              <w:spacing w:after="0"/>
              <w:rPr>
                <w:sz w:val="20"/>
                <w:szCs w:val="20"/>
                <w:color w:val="auto"/>
              </w:rPr>
            </w:pPr>
          </w:p>
        </w:tc>
      </w:tr>
      <w:tr>
        <w:trPr>
          <w:trHeight w:val="459"/>
        </w:trPr>
        <w:tc>
          <w:tcPr>
            <w:tcW w:w="4100" w:type="dxa"/>
            <w:vAlign w:val="bottom"/>
          </w:tcPr>
          <w:p>
            <w:pPr>
              <w:spacing w:after="0"/>
              <w:rPr>
                <w:sz w:val="20"/>
                <w:szCs w:val="20"/>
                <w:color w:val="auto"/>
              </w:rPr>
            </w:pPr>
            <w:r>
              <w:rPr>
                <w:rFonts w:ascii="Arial" w:cs="Arial" w:eastAsia="Arial" w:hAnsi="Arial"/>
                <w:sz w:val="18"/>
                <w:szCs w:val="18"/>
                <w:color w:val="auto"/>
              </w:rPr>
              <w:t>NASDAQ Global Select Market symbol</w:t>
            </w:r>
          </w:p>
        </w:tc>
        <w:tc>
          <w:tcPr>
            <w:tcW w:w="1840" w:type="dxa"/>
            <w:vAlign w:val="bottom"/>
          </w:tcPr>
          <w:p>
            <w:pPr>
              <w:ind w:left="100"/>
              <w:spacing w:after="0"/>
              <w:rPr>
                <w:sz w:val="20"/>
                <w:szCs w:val="20"/>
                <w:color w:val="auto"/>
              </w:rPr>
            </w:pPr>
            <w:r>
              <w:rPr>
                <w:rFonts w:ascii="Arial" w:cs="Arial" w:eastAsia="Arial" w:hAnsi="Arial"/>
                <w:sz w:val="18"/>
                <w:szCs w:val="18"/>
                <w:color w:val="auto"/>
              </w:rPr>
              <w:t>“ANAB.”</w:t>
            </w:r>
          </w:p>
        </w:tc>
        <w:tc>
          <w:tcPr>
            <w:tcW w:w="3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1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99,052,105 shares of our common stock outstanding as of December 31, 2015, and excludes:</w:t>
      </w:r>
    </w:p>
    <w:p>
      <w:pPr>
        <w:spacing w:after="0" w:line="76" w:lineRule="exact"/>
        <w:rPr>
          <w:sz w:val="20"/>
          <w:szCs w:val="20"/>
          <w:color w:val="auto"/>
        </w:rPr>
      </w:pPr>
    </w:p>
    <w:p>
      <w:pPr>
        <w:ind w:left="1060" w:right="300" w:hanging="323"/>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14,351,840 shares of common stock issuable upon the exercise of options outstanding as of December 31, 2015, with a weighted-average exercise price of $0.57 per share;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490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39490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820" w:hanging="1083"/>
        <w:spacing w:after="0"/>
        <w:tabs>
          <w:tab w:leader="none" w:pos="1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2,302,739 shares</w:t>
      </w:r>
    </w:p>
    <w:p>
      <w:pPr>
        <w:spacing w:after="0" w:line="46" w:lineRule="exact"/>
        <w:rPr>
          <w:sz w:val="20"/>
          <w:szCs w:val="20"/>
          <w:color w:val="auto"/>
        </w:rPr>
      </w:pPr>
    </w:p>
    <w:p>
      <w:pPr>
        <w:ind w:left="1060" w:right="40"/>
        <w:spacing w:after="0" w:line="265" w:lineRule="auto"/>
        <w:rPr>
          <w:sz w:val="20"/>
          <w:szCs w:val="20"/>
          <w:color w:val="auto"/>
        </w:rPr>
      </w:pPr>
      <w:r>
        <w:rPr>
          <w:rFonts w:ascii="Arial" w:cs="Arial" w:eastAsia="Arial" w:hAnsi="Arial"/>
          <w:sz w:val="17"/>
          <w:szCs w:val="17"/>
          <w:color w:val="auto"/>
        </w:rPr>
        <w:t>of common stock reserved for future issuance under our 2006 Equity Incentive Plan as of December 31, 2015, (b) shares of common stock reserved for future issuance under our 2016 Equity Incentive Plan, which will become effective on the date immediately prior</w:t>
      </w:r>
    </w:p>
    <w:p>
      <w:pPr>
        <w:ind w:left="1060" w:right="140"/>
        <w:spacing w:after="0" w:line="252" w:lineRule="auto"/>
        <w:rPr>
          <w:sz w:val="20"/>
          <w:szCs w:val="20"/>
          <w:color w:val="auto"/>
        </w:rPr>
      </w:pPr>
      <w:r>
        <w:rPr>
          <w:rFonts w:ascii="Arial" w:cs="Arial" w:eastAsia="Arial" w:hAnsi="Arial"/>
          <w:sz w:val="18"/>
          <w:szCs w:val="18"/>
          <w:color w:val="auto"/>
        </w:rPr>
        <w:t>to the date of this prospectus and (c) shares of common stock reserved for future issuance under our 2016 Employee Stock Purchase Plan, which will become effective on the date of this prospectus. Upon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1060" w:right="420" w:hanging="323"/>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1060" w:right="80" w:hanging="323"/>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our Series C convertible preferred stock that were outstanding as of December 31, 2015, with an exercise price of $0.65 per share, that do not expire upon the closing of this offering.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Except as otherwise indicated, all information in this prospectus assumes:</w:t>
      </w:r>
    </w:p>
    <w:p>
      <w:pPr>
        <w:spacing w:after="0" w:line="131" w:lineRule="exact"/>
        <w:rPr>
          <w:sz w:val="20"/>
          <w:szCs w:val="20"/>
          <w:color w:val="auto"/>
        </w:rPr>
      </w:pPr>
    </w:p>
    <w:p>
      <w:pPr>
        <w:ind w:left="1060" w:right="780" w:hanging="323"/>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December 31, 2015 into an aggregate of 80,645,051 shares of common stock immediately prior to the closing of this offering;</w:t>
      </w:r>
    </w:p>
    <w:p>
      <w:pPr>
        <w:spacing w:after="0" w:line="76" w:lineRule="exact"/>
        <w:rPr>
          <w:sz w:val="20"/>
          <w:szCs w:val="20"/>
          <w:color w:val="auto"/>
        </w:rPr>
      </w:pPr>
    </w:p>
    <w:p>
      <w:pPr>
        <w:ind w:left="1060" w:right="820" w:hanging="319"/>
        <w:spacing w:after="0" w:line="277" w:lineRule="auto"/>
        <w:tabs>
          <w:tab w:leader="none" w:pos="1040" w:val="left"/>
        </w:tabs>
        <w:rPr>
          <w:sz w:val="20"/>
          <w:szCs w:val="20"/>
          <w:color w:val="auto"/>
        </w:rPr>
      </w:pPr>
      <w:r>
        <w:rPr>
          <w:rFonts w:ascii="Arial" w:cs="Arial" w:eastAsia="Arial" w:hAnsi="Arial"/>
          <w:sz w:val="18"/>
          <w:szCs w:val="18"/>
          <w:color w:val="auto"/>
        </w:rPr>
        <w:t>•</w:t>
        <w:tab/>
        <w:t>a -for- reverse stock split of our common stock and convertible preferred stock, which will become effective prior to the completion of this offering;</w:t>
      </w:r>
    </w:p>
    <w:p>
      <w:pPr>
        <w:spacing w:after="0" w:line="76" w:lineRule="exact"/>
        <w:rPr>
          <w:sz w:val="20"/>
          <w:szCs w:val="20"/>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of our restated certificate of incorporation in connection with the closing of this offering;</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outstanding stock options or warrants subsequent to December 31, 2015;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73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6465" cy="62731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200" w:right="40" w:firstLine="443"/>
        <w:spacing w:after="0" w:line="291" w:lineRule="auto"/>
        <w:rPr>
          <w:sz w:val="20"/>
          <w:szCs w:val="20"/>
          <w:color w:val="auto"/>
        </w:rPr>
      </w:pPr>
      <w:r>
        <w:rPr>
          <w:rFonts w:ascii="Arial" w:cs="Arial" w:eastAsia="Arial" w:hAnsi="Arial"/>
          <w:sz w:val="16"/>
          <w:szCs w:val="16"/>
          <w:color w:val="auto"/>
        </w:rPr>
        <w:t>The summary statements of operations data presented below for the years ended December 31, 2014 and 2015 and our summary consolidated balance sheet data as of December 31, 2015 are derived from our audited financial statements included elsewhere in this prospectus. The summary statements of operations data presented below for the year ended December 31, 2013 are derived from our audited financial statements not included in this prospectus. The following summary consolidated financial data should be read with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included elsewhere in this prospectus.</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c>
          <w:tcPr>
            <w:tcW w:w="244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520" w:type="dxa"/>
            <w:vAlign w:val="bottom"/>
            <w:gridSpan w:val="3"/>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20" w:type="dxa"/>
            <w:vAlign w:val="bottom"/>
            <w:gridSpan w:val="3"/>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5,483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15,838</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17,571</w:t>
            </w:r>
          </w:p>
        </w:tc>
        <w:tc>
          <w:tcPr>
            <w:tcW w:w="0" w:type="dxa"/>
            <w:vAlign w:val="bottom"/>
          </w:tcPr>
          <w:p>
            <w:pPr>
              <w:spacing w:after="0"/>
              <w:rPr>
                <w:sz w:val="1"/>
                <w:szCs w:val="1"/>
                <w:color w:val="auto"/>
              </w:rPr>
            </w:pPr>
          </w:p>
        </w:tc>
      </w:tr>
      <w:tr>
        <w:trPr>
          <w:trHeight w:val="216"/>
        </w:trPr>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3"/>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8,820</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17,304</w:t>
            </w:r>
          </w:p>
        </w:tc>
        <w:tc>
          <w:tcPr>
            <w:tcW w:w="0" w:type="dxa"/>
            <w:vAlign w:val="bottom"/>
          </w:tcPr>
          <w:p>
            <w:pPr>
              <w:spacing w:after="0"/>
              <w:rPr>
                <w:sz w:val="1"/>
                <w:szCs w:val="1"/>
                <w:color w:val="auto"/>
              </w:rPr>
            </w:pPr>
          </w:p>
        </w:tc>
      </w:tr>
      <w:tr>
        <w:trPr>
          <w:trHeight w:val="216"/>
        </w:trPr>
        <w:tc>
          <w:tcPr>
            <w:tcW w:w="8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18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10,770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20,893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(5,287)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(3,322)</w:t>
            </w:r>
          </w:p>
        </w:tc>
        <w:tc>
          <w:tcPr>
            <w:tcW w:w="0" w:type="dxa"/>
            <w:vAlign w:val="bottom"/>
          </w:tcPr>
          <w:p>
            <w:pPr>
              <w:spacing w:after="0"/>
              <w:rPr>
                <w:sz w:val="1"/>
                <w:szCs w:val="1"/>
                <w:color w:val="auto"/>
              </w:rPr>
            </w:pPr>
          </w:p>
        </w:tc>
      </w:tr>
      <w:tr>
        <w:trPr>
          <w:trHeight w:val="223"/>
        </w:trPr>
        <w:tc>
          <w:tcPr>
            <w:tcW w:w="852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(1,281)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8520" w:type="dxa"/>
            <w:vAlign w:val="bottom"/>
            <w:gridSpan w:val="3"/>
          </w:tcPr>
          <w:p>
            <w:pPr>
              <w:ind w:left="18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(1,277)</w:t>
            </w:r>
          </w:p>
        </w:tc>
        <w:tc>
          <w:tcPr>
            <w:tcW w:w="0" w:type="dxa"/>
            <w:vAlign w:val="bottom"/>
          </w:tcPr>
          <w:p>
            <w:pPr>
              <w:spacing w:after="0"/>
              <w:rPr>
                <w:sz w:val="1"/>
                <w:szCs w:val="1"/>
                <w:color w:val="auto"/>
              </w:rPr>
            </w:pPr>
          </w:p>
        </w:tc>
      </w:tr>
      <w:tr>
        <w:trPr>
          <w:trHeight w:val="216"/>
        </w:trPr>
        <w:tc>
          <w:tcPr>
            <w:tcW w:w="8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8180" w:type="dxa"/>
            <w:vAlign w:val="bottom"/>
            <w:gridSpan w:val="2"/>
          </w:tcPr>
          <w:p>
            <w:pPr>
              <w:ind w:left="56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(1,944)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1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180" w:type="dxa"/>
            <w:vAlign w:val="bottom"/>
            <w:gridSpan w:val="2"/>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(3,300)</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spacing w:after="0"/>
              <w:rPr>
                <w:sz w:val="20"/>
                <w:szCs w:val="20"/>
                <w:color w:val="auto"/>
              </w:rPr>
            </w:pPr>
            <w:r>
              <w:rPr>
                <w:rFonts w:ascii="Arial" w:cs="Arial" w:eastAsia="Arial" w:hAnsi="Arial"/>
                <w:sz w:val="18"/>
                <w:szCs w:val="18"/>
                <w:color w:val="auto"/>
              </w:rPr>
              <w:t>Net income (loss) per common share:</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spacing w:after="0"/>
              <w:rPr>
                <w:sz w:val="20"/>
                <w:szCs w:val="20"/>
                <w:color w:val="auto"/>
              </w:rPr>
            </w:pPr>
            <w:r>
              <w:rPr>
                <w:rFonts w:ascii="Arial" w:cs="Arial" w:eastAsia="Arial" w:hAnsi="Arial"/>
                <w:sz w:val="18"/>
                <w:szCs w:val="18"/>
                <w:color w:val="auto"/>
              </w:rPr>
              <w:t>Weighted-average number of shares outstanding:</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7,787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17,368</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17,857</w:t>
            </w: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spacing w:after="0"/>
              <w:rPr>
                <w:sz w:val="20"/>
                <w:szCs w:val="20"/>
                <w:color w:val="auto"/>
              </w:rPr>
            </w:pPr>
            <w:r>
              <w:rPr>
                <w:rFonts w:ascii="Arial" w:cs="Arial" w:eastAsia="Arial" w:hAnsi="Arial"/>
                <w:sz w:val="18"/>
                <w:szCs w:val="18"/>
                <w:color w:val="auto"/>
              </w:rPr>
              <w:t>Pro forma net income (loss) per common share (unaudited):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spacing w:after="0"/>
              <w:rPr>
                <w:sz w:val="20"/>
                <w:szCs w:val="20"/>
                <w:color w:val="auto"/>
              </w:rPr>
            </w:pPr>
            <w:r>
              <w:rPr>
                <w:rFonts w:ascii="Arial" w:cs="Arial" w:eastAsia="Arial" w:hAnsi="Arial"/>
                <w:sz w:val="18"/>
                <w:szCs w:val="18"/>
                <w:color w:val="auto"/>
              </w:rPr>
              <w:t>Pro forma weighted-average number of shares outstanding (unaudited):</w:t>
            </w:r>
            <w:r>
              <w:rPr>
                <w:rFonts w:ascii="Arial" w:cs="Arial" w:eastAsia="Arial" w:hAnsi="Arial"/>
                <w:sz w:val="15"/>
                <w:szCs w:val="15"/>
                <w:color w:val="auto"/>
              </w:rPr>
              <w:t>(1)</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77,926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7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1060" w:right="240" w:hanging="431"/>
        <w:spacing w:after="0" w:line="264"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Note 2 to our annual consolidated financial statements for an explanation of the method used to calculate basic and diluted net income (loss) per common share, unaudited pro forma basic and diluted net income (loss) per common share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3905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6465" cy="390588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December 31, 2015</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Actual</w:t>
            </w:r>
          </w:p>
        </w:tc>
        <w:tc>
          <w:tcPr>
            <w:tcW w:w="180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120" w:type="dxa"/>
            <w:vAlign w:val="bottom"/>
          </w:tcPr>
          <w:p>
            <w:pPr>
              <w:ind w:left="280"/>
              <w:spacing w:after="0" w:line="119" w:lineRule="exact"/>
              <w:rPr>
                <w:sz w:val="20"/>
                <w:szCs w:val="20"/>
                <w:color w:val="auto"/>
              </w:rPr>
            </w:pPr>
            <w:r>
              <w:rPr>
                <w:rFonts w:ascii="Arial" w:cs="Arial" w:eastAsia="Arial" w:hAnsi="Arial"/>
                <w:sz w:val="13"/>
                <w:szCs w:val="13"/>
                <w:b w:val="1"/>
                <w:bCs w:val="1"/>
                <w:color w:val="auto"/>
                <w:w w:val="98"/>
              </w:rPr>
              <w:t>Pro Forma as</w:t>
            </w:r>
          </w:p>
        </w:tc>
        <w:tc>
          <w:tcPr>
            <w:tcW w:w="0" w:type="dxa"/>
            <w:vAlign w:val="bottom"/>
          </w:tcPr>
          <w:p>
            <w:pPr>
              <w:spacing w:after="0"/>
              <w:rPr>
                <w:sz w:val="1"/>
                <w:szCs w:val="1"/>
                <w:color w:val="auto"/>
              </w:rPr>
            </w:pPr>
          </w:p>
        </w:tc>
      </w:tr>
      <w:tr>
        <w:trPr>
          <w:trHeight w:val="171"/>
        </w:trPr>
        <w:tc>
          <w:tcPr>
            <w:tcW w:w="6220" w:type="dxa"/>
            <w:vAlign w:val="bottom"/>
            <w:tcBorders>
              <w:bottom w:val="single" w:sz="8" w:color="CCEEFF"/>
            </w:tcBorders>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800" w:type="dxa"/>
            <w:vAlign w:val="bottom"/>
            <w:tcBorders>
              <w:bottom w:val="single" w:sz="8" w:color="auto"/>
            </w:tcBorders>
            <w:vMerge w:val="continue"/>
          </w:tcPr>
          <w:p>
            <w:pPr>
              <w:spacing w:after="0"/>
              <w:rPr>
                <w:sz w:val="14"/>
                <w:szCs w:val="14"/>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1"/>
              </w:rPr>
              <w:t>Adjusted</w:t>
            </w:r>
            <w:r>
              <w:rPr>
                <w:rFonts w:ascii="Arial" w:cs="Arial" w:eastAsia="Arial" w:hAnsi="Arial"/>
                <w:sz w:val="12"/>
                <w:szCs w:val="12"/>
                <w:b w:val="1"/>
                <w:bCs w:val="1"/>
                <w:color w:val="auto"/>
                <w:w w:val="91"/>
              </w:rPr>
              <w:t>(2)(3)</w:t>
            </w:r>
          </w:p>
        </w:tc>
        <w:tc>
          <w:tcPr>
            <w:tcW w:w="0" w:type="dxa"/>
            <w:vAlign w:val="bottom"/>
          </w:tcPr>
          <w:p>
            <w:pPr>
              <w:spacing w:after="0"/>
              <w:rPr>
                <w:sz w:val="1"/>
                <w:szCs w:val="1"/>
                <w:color w:val="auto"/>
              </w:rPr>
            </w:pPr>
          </w:p>
        </w:tc>
      </w:tr>
      <w:tr>
        <w:trPr>
          <w:trHeight w:val="196"/>
        </w:trPr>
        <w:tc>
          <w:tcPr>
            <w:tcW w:w="6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Data:</w:t>
            </w:r>
          </w:p>
        </w:tc>
        <w:tc>
          <w:tcPr>
            <w:tcW w:w="104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tcPr>
          <w:p>
            <w:pPr>
              <w:jc w:val="right"/>
              <w:ind w:right="333"/>
              <w:spacing w:after="0"/>
              <w:rPr>
                <w:sz w:val="20"/>
                <w:szCs w:val="20"/>
                <w:color w:val="auto"/>
              </w:rPr>
            </w:pPr>
            <w:r>
              <w:rPr>
                <w:rFonts w:ascii="Arial" w:cs="Arial" w:eastAsia="Arial" w:hAnsi="Arial"/>
                <w:sz w:val="18"/>
                <w:szCs w:val="18"/>
                <w:color w:val="auto"/>
              </w:rPr>
              <w:t>51,684</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56,280</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1040" w:type="dxa"/>
            <w:vAlign w:val="bottom"/>
          </w:tcPr>
          <w:p>
            <w:pPr>
              <w:jc w:val="right"/>
              <w:ind w:right="333"/>
              <w:spacing w:after="0"/>
              <w:rPr>
                <w:sz w:val="20"/>
                <w:szCs w:val="20"/>
                <w:color w:val="auto"/>
              </w:rPr>
            </w:pPr>
            <w:r>
              <w:rPr>
                <w:rFonts w:ascii="Arial" w:cs="Arial" w:eastAsia="Arial" w:hAnsi="Arial"/>
                <w:sz w:val="18"/>
                <w:szCs w:val="18"/>
                <w:color w:val="auto"/>
              </w:rPr>
              <w:t>4,903</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0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1,549</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1040" w:type="dxa"/>
            <w:vAlign w:val="bottom"/>
          </w:tcPr>
          <w:p>
            <w:pPr>
              <w:jc w:val="right"/>
              <w:ind w:right="333"/>
              <w:spacing w:after="0"/>
              <w:rPr>
                <w:sz w:val="20"/>
                <w:szCs w:val="20"/>
                <w:color w:val="auto"/>
              </w:rPr>
            </w:pPr>
            <w:r>
              <w:rPr>
                <w:rFonts w:ascii="Arial" w:cs="Arial" w:eastAsia="Arial" w:hAnsi="Arial"/>
                <w:sz w:val="18"/>
                <w:szCs w:val="18"/>
                <w:color w:val="auto"/>
              </w:rPr>
              <w:t>77,516</w:t>
            </w:r>
          </w:p>
        </w:tc>
        <w:tc>
          <w:tcPr>
            <w:tcW w:w="1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104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98"/>
              </w:rPr>
              <w:t>(35,179)</w:t>
            </w:r>
          </w:p>
        </w:tc>
        <w:tc>
          <w:tcPr>
            <w:tcW w:w="1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060" w:hanging="431"/>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 forma consolidated balance sheet data give effect to: (i) the automatic conversion of all outstanding shares of our convertible</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preferred stock as of December 31, 2015 into 80,645,051 shares of common stock immediately prior to the closing of this offering and</w:t>
      </w:r>
    </w:p>
    <w:p>
      <w:pPr>
        <w:spacing w:after="0" w:line="21" w:lineRule="exact"/>
        <w:rPr>
          <w:sz w:val="20"/>
          <w:szCs w:val="20"/>
          <w:color w:val="auto"/>
        </w:rPr>
      </w:pPr>
    </w:p>
    <w:p>
      <w:pPr>
        <w:ind w:left="1060" w:right="40" w:firstLine="1"/>
        <w:spacing w:after="0" w:line="250" w:lineRule="auto"/>
        <w:tabs>
          <w:tab w:leader="none" w:pos="13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conversion of the preferred stock warrants into common stock warrants and the related reclassification of the preferred stock warrant liability to additional paid-in capital.</w:t>
      </w:r>
    </w:p>
    <w:tbl>
      <w:tblPr>
        <w:tblLayout w:type="fixed"/>
        <w:tblInd w:w="620" w:type="dxa"/>
        <w:tblCellMar>
          <w:top w:w="0" w:type="dxa"/>
          <w:left w:w="0" w:type="dxa"/>
          <w:bottom w:w="0" w:type="dxa"/>
          <w:right w:w="0" w:type="dxa"/>
        </w:tblCellMar>
      </w:tblPr>
      <w:tr>
        <w:trPr>
          <w:trHeight w:val="203"/>
        </w:trPr>
        <w:tc>
          <w:tcPr>
            <w:tcW w:w="340" w:type="dxa"/>
            <w:vAlign w:val="bottom"/>
          </w:tcPr>
          <w:p>
            <w:pPr>
              <w:jc w:val="right"/>
              <w:ind w:right="30"/>
              <w:spacing w:after="0" w:line="203" w:lineRule="exact"/>
              <w:rPr>
                <w:sz w:val="20"/>
                <w:szCs w:val="20"/>
                <w:color w:val="auto"/>
              </w:rPr>
            </w:pPr>
            <w:r>
              <w:rPr>
                <w:rFonts w:ascii="Arial" w:cs="Arial" w:eastAsia="Arial" w:hAnsi="Arial"/>
                <w:sz w:val="18"/>
                <w:szCs w:val="18"/>
                <w:color w:val="auto"/>
                <w:w w:val="90"/>
              </w:rPr>
              <w:t>(2)</w:t>
            </w:r>
          </w:p>
        </w:tc>
        <w:tc>
          <w:tcPr>
            <w:tcW w:w="7760" w:type="dxa"/>
            <w:vAlign w:val="bottom"/>
            <w:gridSpan w:val="3"/>
          </w:tcPr>
          <w:p>
            <w:pPr>
              <w:ind w:left="100"/>
              <w:spacing w:after="0" w:line="203" w:lineRule="exact"/>
              <w:rPr>
                <w:sz w:val="20"/>
                <w:szCs w:val="20"/>
                <w:color w:val="auto"/>
              </w:rPr>
            </w:pPr>
            <w:r>
              <w:rPr>
                <w:rFonts w:ascii="Arial" w:cs="Arial" w:eastAsia="Arial" w:hAnsi="Arial"/>
                <w:sz w:val="18"/>
                <w:szCs w:val="18"/>
                <w:color w:val="auto"/>
                <w:w w:val="94"/>
              </w:rPr>
              <w:t>The pro forma as adjusted balance sheet data give effect to the pro forma adjustments and the sale of</w:t>
            </w:r>
          </w:p>
        </w:tc>
        <w:tc>
          <w:tcPr>
            <w:tcW w:w="2460" w:type="dxa"/>
            <w:vAlign w:val="bottom"/>
          </w:tcPr>
          <w:p>
            <w:pPr>
              <w:ind w:left="400"/>
              <w:spacing w:after="0" w:line="203" w:lineRule="exact"/>
              <w:rPr>
                <w:sz w:val="20"/>
                <w:szCs w:val="20"/>
                <w:color w:val="auto"/>
              </w:rPr>
            </w:pPr>
            <w:r>
              <w:rPr>
                <w:rFonts w:ascii="Arial" w:cs="Arial" w:eastAsia="Arial" w:hAnsi="Arial"/>
                <w:sz w:val="18"/>
                <w:szCs w:val="18"/>
                <w:color w:val="auto"/>
                <w:w w:val="93"/>
              </w:rPr>
              <w:t>shares of common stock by</w:t>
            </w:r>
          </w:p>
        </w:tc>
      </w:tr>
      <w:tr>
        <w:trPr>
          <w:trHeight w:val="216"/>
        </w:trPr>
        <w:tc>
          <w:tcPr>
            <w:tcW w:w="340" w:type="dxa"/>
            <w:vAlign w:val="bottom"/>
          </w:tcPr>
          <w:p>
            <w:pPr>
              <w:spacing w:after="0"/>
              <w:rPr>
                <w:sz w:val="18"/>
                <w:szCs w:val="18"/>
                <w:color w:val="auto"/>
              </w:rPr>
            </w:pP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rPr>
              <w:t>us in this offering, based on an assumed initial public offering price of $</w:t>
            </w:r>
          </w:p>
        </w:tc>
        <w:tc>
          <w:tcPr>
            <w:tcW w:w="4400" w:type="dxa"/>
            <w:vAlign w:val="bottom"/>
            <w:gridSpan w:val="2"/>
          </w:tcPr>
          <w:p>
            <w:pPr>
              <w:ind w:left="60"/>
              <w:spacing w:after="0"/>
              <w:rPr>
                <w:sz w:val="20"/>
                <w:szCs w:val="20"/>
                <w:color w:val="auto"/>
              </w:rPr>
            </w:pPr>
            <w:r>
              <w:rPr>
                <w:rFonts w:ascii="Arial" w:cs="Arial" w:eastAsia="Arial" w:hAnsi="Arial"/>
                <w:sz w:val="18"/>
                <w:szCs w:val="18"/>
                <w:color w:val="auto"/>
                <w:w w:val="89"/>
              </w:rPr>
              <w:t>per share, the midpoint of the estimated price range set forth</w:t>
            </w:r>
          </w:p>
        </w:tc>
      </w:tr>
      <w:tr>
        <w:trPr>
          <w:trHeight w:val="216"/>
        </w:trPr>
        <w:tc>
          <w:tcPr>
            <w:tcW w:w="340" w:type="dxa"/>
            <w:vAlign w:val="bottom"/>
          </w:tcPr>
          <w:p>
            <w:pPr>
              <w:spacing w:after="0"/>
              <w:rPr>
                <w:sz w:val="18"/>
                <w:szCs w:val="18"/>
                <w:color w:val="auto"/>
              </w:rPr>
            </w:pPr>
          </w:p>
        </w:tc>
        <w:tc>
          <w:tcPr>
            <w:tcW w:w="10220" w:type="dxa"/>
            <w:vAlign w:val="bottom"/>
            <w:gridSpan w:val="4"/>
          </w:tcPr>
          <w:p>
            <w:pPr>
              <w:ind w:left="100"/>
              <w:spacing w:after="0"/>
              <w:rPr>
                <w:sz w:val="20"/>
                <w:szCs w:val="20"/>
                <w:color w:val="auto"/>
              </w:rPr>
            </w:pPr>
            <w:r>
              <w:rPr>
                <w:rFonts w:ascii="Arial" w:cs="Arial" w:eastAsia="Arial" w:hAnsi="Arial"/>
                <w:sz w:val="18"/>
                <w:szCs w:val="18"/>
                <w:color w:val="auto"/>
                <w:w w:val="92"/>
              </w:rPr>
              <w:t>on the cover page of this prospectus, after deducting estimated underwriting discounts and commissions and estimated offering expenses</w:t>
            </w:r>
          </w:p>
        </w:tc>
      </w:tr>
      <w:tr>
        <w:trPr>
          <w:trHeight w:val="216"/>
        </w:trPr>
        <w:tc>
          <w:tcPr>
            <w:tcW w:w="34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payable by us.</w:t>
            </w:r>
          </w:p>
        </w:tc>
        <w:tc>
          <w:tcPr>
            <w:tcW w:w="1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40" w:type="dxa"/>
            <w:vAlign w:val="bottom"/>
          </w:tcPr>
          <w:p>
            <w:pPr>
              <w:jc w:val="right"/>
              <w:ind w:right="30"/>
              <w:spacing w:after="0"/>
              <w:rPr>
                <w:sz w:val="20"/>
                <w:szCs w:val="20"/>
                <w:color w:val="auto"/>
              </w:rPr>
            </w:pPr>
            <w:r>
              <w:rPr>
                <w:rFonts w:ascii="Arial" w:cs="Arial" w:eastAsia="Arial" w:hAnsi="Arial"/>
                <w:sz w:val="18"/>
                <w:szCs w:val="18"/>
                <w:color w:val="auto"/>
                <w:w w:val="90"/>
              </w:rPr>
              <w:t>(3)</w:t>
            </w:r>
          </w:p>
        </w:tc>
        <w:tc>
          <w:tcPr>
            <w:tcW w:w="5820" w:type="dxa"/>
            <w:vAlign w:val="bottom"/>
            <w:gridSpan w:val="2"/>
          </w:tcPr>
          <w:p>
            <w:pPr>
              <w:ind w:left="100"/>
              <w:spacing w:after="0"/>
              <w:rPr>
                <w:sz w:val="20"/>
                <w:szCs w:val="20"/>
                <w:color w:val="auto"/>
              </w:rPr>
            </w:pPr>
            <w:r>
              <w:rPr>
                <w:rFonts w:ascii="Arial" w:cs="Arial" w:eastAsia="Arial" w:hAnsi="Arial"/>
                <w:sz w:val="18"/>
                <w:szCs w:val="18"/>
                <w:color w:val="auto"/>
                <w:w w:val="91"/>
              </w:rPr>
              <w:t>Each $1.00 increase (decrease) in the assumed initial public offering price of $</w:t>
            </w:r>
          </w:p>
        </w:tc>
        <w:tc>
          <w:tcPr>
            <w:tcW w:w="4400" w:type="dxa"/>
            <w:vAlign w:val="bottom"/>
            <w:gridSpan w:val="2"/>
          </w:tcPr>
          <w:p>
            <w:pPr>
              <w:ind w:left="520"/>
              <w:spacing w:after="0"/>
              <w:rPr>
                <w:sz w:val="20"/>
                <w:szCs w:val="20"/>
                <w:color w:val="auto"/>
              </w:rPr>
            </w:pPr>
            <w:r>
              <w:rPr>
                <w:rFonts w:ascii="Arial" w:cs="Arial" w:eastAsia="Arial" w:hAnsi="Arial"/>
                <w:sz w:val="18"/>
                <w:szCs w:val="18"/>
                <w:color w:val="auto"/>
                <w:w w:val="90"/>
              </w:rPr>
              <w:t>per share, the midpoint of the price range set forth on</w:t>
            </w:r>
          </w:p>
        </w:tc>
      </w:tr>
      <w:tr>
        <w:trPr>
          <w:trHeight w:val="216"/>
        </w:trPr>
        <w:tc>
          <w:tcPr>
            <w:tcW w:w="340" w:type="dxa"/>
            <w:vAlign w:val="bottom"/>
          </w:tcPr>
          <w:p>
            <w:pPr>
              <w:spacing w:after="0"/>
              <w:rPr>
                <w:sz w:val="18"/>
                <w:szCs w:val="18"/>
                <w:color w:val="auto"/>
              </w:rPr>
            </w:pPr>
          </w:p>
        </w:tc>
        <w:tc>
          <w:tcPr>
            <w:tcW w:w="10220" w:type="dxa"/>
            <w:vAlign w:val="bottom"/>
            <w:gridSpan w:val="4"/>
          </w:tcPr>
          <w:p>
            <w:pPr>
              <w:ind w:left="100"/>
              <w:spacing w:after="0"/>
              <w:rPr>
                <w:sz w:val="20"/>
                <w:szCs w:val="20"/>
                <w:color w:val="auto"/>
              </w:rPr>
            </w:pPr>
            <w:r>
              <w:rPr>
                <w:rFonts w:ascii="Arial" w:cs="Arial" w:eastAsia="Arial" w:hAnsi="Arial"/>
                <w:sz w:val="18"/>
                <w:szCs w:val="18"/>
                <w:color w:val="auto"/>
                <w:w w:val="90"/>
              </w:rPr>
              <w:t>the cover page of this prospectus, would increase (decrease) each of our pro forma as adjusted cash and cash equivalents, total assets and</w:t>
            </w:r>
          </w:p>
        </w:tc>
      </w:tr>
      <w:tr>
        <w:trPr>
          <w:trHeight w:val="216"/>
        </w:trPr>
        <w:tc>
          <w:tcPr>
            <w:tcW w:w="340" w:type="dxa"/>
            <w:vAlign w:val="bottom"/>
          </w:tcPr>
          <w:p>
            <w:pPr>
              <w:spacing w:after="0"/>
              <w:rPr>
                <w:sz w:val="18"/>
                <w:szCs w:val="18"/>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w w:val="95"/>
              </w:rPr>
              <w:t>total stockholders’ equity (deficit) by approximately $</w:t>
            </w:r>
          </w:p>
        </w:tc>
        <w:tc>
          <w:tcPr>
            <w:tcW w:w="6100" w:type="dxa"/>
            <w:vAlign w:val="bottom"/>
            <w:gridSpan w:val="3"/>
          </w:tcPr>
          <w:p>
            <w:pPr>
              <w:ind w:left="460"/>
              <w:spacing w:after="0"/>
              <w:rPr>
                <w:sz w:val="20"/>
                <w:szCs w:val="20"/>
                <w:color w:val="auto"/>
              </w:rPr>
            </w:pPr>
            <w:r>
              <w:rPr>
                <w:rFonts w:ascii="Arial" w:cs="Arial" w:eastAsia="Arial" w:hAnsi="Arial"/>
                <w:sz w:val="18"/>
                <w:szCs w:val="18"/>
                <w:color w:val="auto"/>
                <w:w w:val="92"/>
              </w:rPr>
              <w:t>million, assuming that the number of shares offered by us, remains the same</w:t>
            </w:r>
          </w:p>
        </w:tc>
      </w:tr>
      <w:tr>
        <w:trPr>
          <w:trHeight w:val="216"/>
        </w:trPr>
        <w:tc>
          <w:tcPr>
            <w:tcW w:w="340" w:type="dxa"/>
            <w:vAlign w:val="bottom"/>
          </w:tcPr>
          <w:p>
            <w:pPr>
              <w:spacing w:after="0"/>
              <w:rPr>
                <w:sz w:val="18"/>
                <w:szCs w:val="18"/>
                <w:color w:val="auto"/>
              </w:rPr>
            </w:pPr>
          </w:p>
        </w:tc>
        <w:tc>
          <w:tcPr>
            <w:tcW w:w="10220" w:type="dxa"/>
            <w:vAlign w:val="bottom"/>
            <w:gridSpan w:val="4"/>
          </w:tcPr>
          <w:p>
            <w:pPr>
              <w:ind w:left="100"/>
              <w:spacing w:after="0"/>
              <w:rPr>
                <w:sz w:val="20"/>
                <w:szCs w:val="20"/>
                <w:color w:val="auto"/>
              </w:rPr>
            </w:pPr>
            <w:r>
              <w:rPr>
                <w:rFonts w:ascii="Arial" w:cs="Arial" w:eastAsia="Arial" w:hAnsi="Arial"/>
                <w:sz w:val="18"/>
                <w:szCs w:val="18"/>
                <w:color w:val="auto"/>
                <w:w w:val="93"/>
              </w:rPr>
              <w:t>and after deducting estimated underwriting discounts and commissions. Similarly, each increase (decrease) of one million shares in the</w:t>
            </w:r>
          </w:p>
        </w:tc>
      </w:tr>
      <w:tr>
        <w:trPr>
          <w:trHeight w:val="216"/>
        </w:trPr>
        <w:tc>
          <w:tcPr>
            <w:tcW w:w="340" w:type="dxa"/>
            <w:vAlign w:val="bottom"/>
          </w:tcPr>
          <w:p>
            <w:pPr>
              <w:spacing w:after="0"/>
              <w:rPr>
                <w:sz w:val="18"/>
                <w:szCs w:val="18"/>
                <w:color w:val="auto"/>
              </w:rPr>
            </w:pPr>
          </w:p>
        </w:tc>
        <w:tc>
          <w:tcPr>
            <w:tcW w:w="10220" w:type="dxa"/>
            <w:vAlign w:val="bottom"/>
            <w:gridSpan w:val="4"/>
          </w:tcPr>
          <w:p>
            <w:pPr>
              <w:ind w:left="100"/>
              <w:spacing w:after="0"/>
              <w:rPr>
                <w:sz w:val="20"/>
                <w:szCs w:val="20"/>
                <w:color w:val="auto"/>
              </w:rPr>
            </w:pPr>
            <w:r>
              <w:rPr>
                <w:rFonts w:ascii="Arial" w:cs="Arial" w:eastAsia="Arial" w:hAnsi="Arial"/>
                <w:sz w:val="18"/>
                <w:szCs w:val="18"/>
                <w:color w:val="auto"/>
                <w:w w:val="89"/>
              </w:rPr>
              <w:t>number of shares offered by us would increase (decrease) each of our pro forma as adjusted cash and cash equivalents, total assets and total</w:t>
            </w:r>
          </w:p>
        </w:tc>
      </w:tr>
      <w:tr>
        <w:trPr>
          <w:trHeight w:val="230"/>
        </w:trPr>
        <w:tc>
          <w:tcPr>
            <w:tcW w:w="340" w:type="dxa"/>
            <w:vAlign w:val="bottom"/>
          </w:tcPr>
          <w:p>
            <w:pPr>
              <w:spacing w:after="0"/>
              <w:rPr>
                <w:sz w:val="20"/>
                <w:szCs w:val="20"/>
                <w:color w:val="auto"/>
              </w:rPr>
            </w:pPr>
          </w:p>
        </w:tc>
        <w:tc>
          <w:tcPr>
            <w:tcW w:w="4120" w:type="dxa"/>
            <w:vAlign w:val="bottom"/>
          </w:tcPr>
          <w:p>
            <w:pPr>
              <w:ind w:left="100"/>
              <w:spacing w:after="0"/>
              <w:rPr>
                <w:sz w:val="20"/>
                <w:szCs w:val="20"/>
                <w:color w:val="auto"/>
              </w:rPr>
            </w:pPr>
            <w:r>
              <w:rPr>
                <w:rFonts w:ascii="Arial" w:cs="Arial" w:eastAsia="Arial" w:hAnsi="Arial"/>
                <w:sz w:val="18"/>
                <w:szCs w:val="18"/>
                <w:color w:val="auto"/>
              </w:rPr>
              <w:t>stockholders’ equity (deficit) by approximately $</w:t>
            </w:r>
          </w:p>
        </w:tc>
        <w:tc>
          <w:tcPr>
            <w:tcW w:w="6100" w:type="dxa"/>
            <w:vAlign w:val="bottom"/>
            <w:gridSpan w:val="3"/>
          </w:tcPr>
          <w:p>
            <w:pPr>
              <w:ind w:left="100"/>
              <w:spacing w:after="0"/>
              <w:rPr>
                <w:sz w:val="20"/>
                <w:szCs w:val="20"/>
                <w:color w:val="auto"/>
              </w:rPr>
            </w:pPr>
            <w:r>
              <w:rPr>
                <w:rFonts w:ascii="Arial" w:cs="Arial" w:eastAsia="Arial" w:hAnsi="Arial"/>
                <w:sz w:val="18"/>
                <w:szCs w:val="18"/>
                <w:color w:val="auto"/>
                <w:w w:val="93"/>
              </w:rPr>
              <w:t>million, assuming the assumed initial public offering price remains the same and</w:t>
            </w:r>
          </w:p>
        </w:tc>
      </w:tr>
    </w:tbl>
    <w:p>
      <w:pPr>
        <w:ind w:left="1060"/>
        <w:spacing w:after="0"/>
        <w:rPr>
          <w:sz w:val="20"/>
          <w:szCs w:val="20"/>
          <w:color w:val="auto"/>
        </w:rPr>
      </w:pPr>
      <w:r>
        <w:rPr>
          <w:rFonts w:ascii="Arial" w:cs="Arial" w:eastAsia="Arial" w:hAnsi="Arial"/>
          <w:sz w:val="18"/>
          <w:szCs w:val="18"/>
          <w:color w:val="auto"/>
        </w:rPr>
        <w:t>after deducting estimated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below, together with the other information contained in this prospectus, including our financial statements and the related notes appearing at the end of this prospectus. We cannot assure you that any of the events discussed below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Discovery and Development of Our Product Candidates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b w:val="1"/>
          <w:bCs w:val="1"/>
          <w:i w:val="1"/>
          <w:iCs w:val="1"/>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using our proprietary technology platform to develop therapeutic antibodies, including our two lead wholly-owned product candidates, ANB019 and ANB020, as well as other programs that are being developed by our collaborators. However, all of our wholly-owned and partnered product candidates are in the early stages of development, and, for a wide variety of reasons discussed below, may fail in development or suffer delays that adversely affect their commercial viability.</w:t>
      </w:r>
    </w:p>
    <w:p>
      <w:pPr>
        <w:spacing w:after="0" w:line="18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success of our current product candidates, and any other product candidates we may develop in the future, will depend on many factors, including the following:</w:t>
      </w:r>
    </w:p>
    <w:p>
      <w:pPr>
        <w:spacing w:after="0" w:line="7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our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receiving marketing approvals from applicable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non-patent exclusivity for our product candidates and their components;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achieving desirable therapeutic properties for our product candidates’ intended indications;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our product candidates, if and when approved, by patients, the medical community and third-party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maintaining an acceptable safety profile of our product candidates through clinical trials and following regulatory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harm our business.</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U.S. Food and Drug Administration, or FDA, or foreign regulatory authorities. More specifically, some of our product candidates, including ANB019, initially target indications that are very rare, which can prolong the clinical trial timeline for the regulatory process if sufficient patients cannot be enrolled in a timely manner.</w:t>
      </w:r>
    </w:p>
    <w:p>
      <w:pPr>
        <w:spacing w:after="0" w:line="30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have never dosed any of our product candidates in humans. Our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73"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8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have not yet initiated any clinical trials or dosed any of our product candidates, including ANB019 and ANB020, in humans. We have conducted various preclinical studies of our product candidates, but we do not know the predictive value of these studies for humans, and we cannot guarantee that any positive results in preclinical studies will successfully translate to human patients. It is not uncommon to observe results in human clinical trials that are unexpected based on preclinical testing, and many product candidates fail in clinical trials</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despite promising preclinical results.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 Subjects in our planned clinical trials may suffer significant adverse events or other side effects not observed in our preclinical studies, including, but not limited to, immunogenic responses, organ toxicities such as liver, heart or kidney or other tolerability issues.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Further, if clinical trials of our product candidates fail to demonstrate efficacy to the satisfaction of regulatory authorities or do not otherwise produce positive results, we may incur additional costs or experience delays in completing, or ultimately be unable to complete, the development and commercialization of our product candidates.</w:t>
      </w:r>
    </w:p>
    <w:p>
      <w:pPr>
        <w:spacing w:after="0" w:line="18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If significant adverse events or other side effects are observed in any of our future clinical trials, we may have difficulty recruiting patients to the clinical trial, patients may drop out of our trial, or we may be required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abandon the trial or our development efforts of that product candidate altogether. We, the FDA, or other applicable regulatory authorities, or an Institutional Review Board, or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the drug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65"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Further, if any of our product candidates obtains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testing.</w:t>
      </w:r>
    </w:p>
    <w:p>
      <w:pPr>
        <w:spacing w:after="0" w:line="28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3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ability to continue to develop our product candidates, and to have the potential to achieve and sustain profitability, depends on the FDA and foreign regulatory authorities permitting us to conduct human clinical trials and, if our products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the TGA in Australia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16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Even if we or our collaborators initiate and complete clinical trials for our product candidates, we will not be permitted to market our product candidates in the United States until we receive approval of a Biologics License Application, or BLA, from the FDA, and will not be permitted to market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preliminary comments from the FDA for a pre-IND meeting for ANB020 that focused on preclinical data necessary to initiate studies in humans and potential design for Phase 1 study in healthy volunteers, we have not yet discussed with the FDA or foreign regulatory authorities the development plans for any of our product candidates or the designs of any of our later-stage clinical studies. We thus do not have the benefit of the FDA’s or foreign regulatory authorities’ current thinking on trial designs or product development for our target indications. For example, although we believe a small pivotal trial, potentially with fewer than 100 patients, may be sufficient to demonstrate substantial evidence of efficacy of ANB019 in generalized pustular psoriasis, or GPP, patients who have IL-36RA genetic mutations, we have not yet discussed clinical trial design for this indication with the FDA, and the FDA may disagree with our proposed trial design, including the number of patients necessary to demonstrate efficacy and/or may require us to conduct more than one pivotal study in order to obtain approval of a BLA.</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Preclinical studies and clinical trials are expensive, difficult to design and implement, can take many years to complete and are uncertain as to outcome.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Products, on average, take ten to 15 years to be developed from the time they are discovered to the time they are approved and available for treating patients.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start or end of a clinical trial is often delayed or halted for many reasons, including:</w:t>
      </w:r>
    </w:p>
    <w:p>
      <w:pPr>
        <w:spacing w:after="0" w:line="116" w:lineRule="exact"/>
        <w:rPr>
          <w:sz w:val="20"/>
          <w:szCs w:val="20"/>
          <w:color w:val="auto"/>
        </w:rPr>
      </w:pPr>
    </w:p>
    <w:p>
      <w:pPr>
        <w:ind w:left="900" w:right="2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site by the FDA or other regulatory authorities;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manufacturing challenges;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insufficient supply or quality of product candidates or other materials necessary to conduct clinical trials;</w:t>
      </w:r>
    </w:p>
    <w:p>
      <w:pPr>
        <w:spacing w:after="0" w:line="130"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clinical trial contracts or clinical trial protocols with prospective trial sites and contract research organizations, or CROs, or failure by such CROs or trials sites to carry out the clinical trial in accordance with our agreed-upon terms;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or unwillingness of patients or medical investigators to follow our clinical trial protocols;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required clinical trial administrative 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slower than anticipated patient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changing standards of care;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safety concerns;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or prevalence of use of a comparative drug or required prior therapy;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clinical outcomes or financial constraints.</w:t>
      </w:r>
    </w:p>
    <w:p>
      <w:pPr>
        <w:spacing w:after="0" w:line="22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experience any of the issues described above, or other similar or related issues, we may:</w:t>
      </w:r>
    </w:p>
    <w:p>
      <w:pPr>
        <w:spacing w:after="0" w:line="13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 obtain approval for indications or patient populations that are not as broad as intended or desired;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 including boxed warnings;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use and expand our technology platform to build a pipeline of product candidates and develop marketable products.</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have in preclinical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validate our technology platform by successfully developing and commercializing product candidates based upon our technological approach, we may not be able to obtain product or partnership revenue in future periods, which would adversely affect our business, prospects, financial condition and results of operations.</w:t>
      </w:r>
    </w:p>
    <w:p>
      <w:pPr>
        <w:spacing w:after="0" w:line="17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3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have no history of conducting clinical trials or commercializing biotechnology products, which may make it difficult to evaluate the prospects for our future viability.</w:t>
      </w:r>
    </w:p>
    <w:p>
      <w:pPr>
        <w:spacing w:after="0" w:line="6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operations to date have been limited to financing and staffing our company, developing our technology and developing our two lead product candidates, ANB019 and ANB020, and other product candidates with and without our collaborators. Although we have recruited a team that has experience with clinical trials in the United States, none of our employees have experience with clinical trials in Australia and, as a company, we have no experience conducting clinical trials in any jurisdiction and have not had previous experience commercializing product candidates, including submitting an IND or a BLA to the FDA. We have only recently received approval of our CTN for ANB020, which will allow us to initiate clinical trials in Australia, and have not obtained marketing authorization from foreign regulatory authorities.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wholly-owned product candidates will require significant additional financial and management resources, and reliance on third-party clinical investigators, CROs, consultants or collaborators. Relying on third-party clinical investigators, CROs or collaborators may result in delays that are outside of our control.</w:t>
      </w:r>
    </w:p>
    <w:p>
      <w:pPr>
        <w:spacing w:after="0" w:line="169" w:lineRule="exact"/>
        <w:rPr>
          <w:sz w:val="20"/>
          <w:szCs w:val="20"/>
          <w:color w:val="auto"/>
        </w:rPr>
      </w:pPr>
    </w:p>
    <w:p>
      <w:pPr>
        <w:jc w:val="both"/>
        <w:ind w:right="640" w:firstLine="456"/>
        <w:spacing w:after="0" w:line="264" w:lineRule="auto"/>
        <w:rPr>
          <w:sz w:val="20"/>
          <w:szCs w:val="20"/>
          <w:color w:val="auto"/>
        </w:rPr>
      </w:pPr>
      <w:r>
        <w:rPr>
          <w:rFonts w:ascii="Arial" w:cs="Arial" w:eastAsia="Arial" w:hAnsi="Arial"/>
          <w:sz w:val="18"/>
          <w:szCs w:val="18"/>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87" w:lineRule="exact"/>
        <w:rPr>
          <w:sz w:val="20"/>
          <w:szCs w:val="20"/>
          <w:color w:val="auto"/>
        </w:rPr>
      </w:pPr>
    </w:p>
    <w:p>
      <w:pPr>
        <w:ind w:left="900" w:right="1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conditions imposed by the FDA or foreign regulatory authorities regarding the number, scope or design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inadequate supply or quality of clinical trial materials or other supplies necessary for the conduct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poor effectiveness or unacceptable side effects of our product candidates during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our planned clinical trials or by individuals using drugs similar to our product candidates;</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varying interpretations of data by the FDA and foreign regulatory authorities.</w:t>
      </w:r>
    </w:p>
    <w:p>
      <w:pPr>
        <w:spacing w:after="0" w:line="225"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Consequently, any predictions you make about our future success or viability based on our short operating history may not be as accurate as they could be if we had a longer operating history or an established track record in conducting clinical trials or commercializing products.</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Further,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7"/>
          <w:szCs w:val="17"/>
          <w:color w:val="auto"/>
        </w:rPr>
        <w:t>For asthma, our competitors include omalizumab (Xolair; Roche) which has received FDA approval and functions by inhibiting the binding between free IgE and FceRI; antibodies that bind IL-5 and inhibit its interaction with the IL-5 receptor such as mepolizumab (Nucala;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 (AstraZeneca)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and an ST2-binding antibody which Roche has in-licensed from Amgen (previously known as AMG 282) and plans to advance into Phase 2 clinical trials. 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188"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With the enactment of the Biologics Price Competition and Innovation Act of 2009, or BPCIA, an abbreviated pathway for the approval of biosimilar and interchangeable biological products was created. The abbreviated regulatory pathway establishes legal authority for the FDA to review and approve biosimilar biologics, including the possible designation of a biosimilar as interchangeable based on its similarity to an existing reference product. Under the BPCIA, an application for a biosimilar product cannot be approved by the FDA until 12 years after the original branded product is approved under a biologics license application, or BLA. On March 6, 2015, the FDA approved the first biosimilar product under the BPCIA. However,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biological products.</w:t>
      </w:r>
    </w:p>
    <w:p>
      <w:pPr>
        <w:spacing w:after="0" w:line="17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believe that if any of our product candidates are approved as a biological product under a BLA it should qualify for the 12-year period of exclusivity. However, there is a risk that the FDA will not consider any of our product candidates to be reference products for competing products, potentially creating the opportunity for biosimilar competition sooner than anticipated. Additionally, this period of regulatory exclusivity does not apply to companies pursuing regulatory approval via their own traditional BLA, rather than via the abbreviated pathway.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effects, are more convenient, are less expensive or capture significant market share 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Smaller and other early 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as well as in acquiring technologies complementary to, or necessary for, our programs. In addition, the biotechnology industry is characterized by rapid technological change. If we fail to stay at the forefront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of technological change, we may be unable to compete effectively. Technological advances or products developed by our competitors may render our technologies or product candidates obsolete, less competitive or not economical.</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62"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87"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and safety profile as demonstrated in planned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restrictions on the use of our products, if approved, such as boxed warnings or contraindications in labeling, or a risk evaluation and mitigation strategy, or REMS, if any, which may not be required of alternative treatments and competitor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the product candidate as a safe and effective treatment by physicians, clinics and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potential and perceived advantages of product candidates over alternative treatments, including any similar generic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and pricing by third parties and government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frequency and severity of adverse events;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and marketing efforts;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the product candidate.</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If any product candidate is approved but does not achieve an adequate level of acceptance by physicians, hospitals, healthcare payors and patients, we may not generate or derive sufficient revenue from that product candidate and may not become or remain profitable.</w:t>
      </w:r>
    </w:p>
    <w:p>
      <w:pPr>
        <w:spacing w:after="0" w:line="27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If companion diagnostics for our product candidates for which such diagnostics are required, are not successfully, and in a timely manner, validated, developed or approved, we may not achieve marketing approval or realize the full commercial potential of our product candidates.</w:t>
      </w:r>
    </w:p>
    <w:p>
      <w:pPr>
        <w:spacing w:after="0" w:line="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If companion diagnostics are developed in conjunction with clinical programs, the FDA may require regulatory approval of a companion diagnostic as a condition to approval of the product candidate. For example, if, as is currently planned, we use a genetic test to determine which patients are most likely to benefit from ANB019 for the treatment of GPP by designing our pivotal trial or trials of ANB019 in that indication to require that subjects test positive for specific genetic mutations as a criterion for enrollment, then we will likely be required to obtain FDA approval or clearance of a companion diagnostic, concurrent with approval of ANB019, to test for those genetic mutations; we may also be required to demonstrate to the FDA the predictive utility of the companion diagnostic—namely, that the diagnostic selects for patients in whom the biologic therapy will be effective or more effective compared to patients not selected for by the diagnostic. We do not have experience or capabilities in developing or commercializing diagnostics and plan to rely in large part on third parties to perform these functions. We do not currently have any agreement in place with any third party to develop or commercialize companion diagnostics for any of our product candidates. Companion diagnostics are subject to regulation by the FDA and foreign regulatory authorities as medical devices and require separate regulatory approval prior to commercialization.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we or our partners, or any third party, are unable to successfully develop companion diagnostics for our product candidates, or experience delays in doing so:</w:t>
      </w:r>
    </w:p>
    <w:p>
      <w:pPr>
        <w:spacing w:after="0" w:line="76" w:lineRule="exact"/>
        <w:rPr>
          <w:sz w:val="20"/>
          <w:szCs w:val="20"/>
          <w:color w:val="auto"/>
        </w:rPr>
      </w:pPr>
    </w:p>
    <w:p>
      <w:pPr>
        <w:ind w:left="900" w:right="5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of our product candidates may be adversely affected if we are unable to appropriately select patients for enrollment in our planned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product candidates may not receive marketing approval if their safe and effective use depends on a companion diagnostic; and</w:t>
      </w:r>
    </w:p>
    <w:p>
      <w:pPr>
        <w:spacing w:after="0" w:line="130" w:lineRule="exact"/>
        <w:rPr>
          <w:rFonts w:ascii="Arial" w:cs="Arial" w:eastAsia="Arial" w:hAnsi="Arial"/>
          <w:sz w:val="18"/>
          <w:szCs w:val="18"/>
          <w:color w:val="auto"/>
        </w:rPr>
      </w:pPr>
    </w:p>
    <w:p>
      <w:pPr>
        <w:ind w:left="900" w:right="500" w:hanging="325"/>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product candidates that receive marketing approval if, among other reasons, we are unable to appropriately identify patients with the specific genetic alterations targeted by our product candidates.</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In addition, although we believe genetic testing is becoming more prevalent in the diagnosis and treatment of various diseases and conditions, our product candidates may be perceived negatively compared to alternative treatments that do not require the use of companion diagnostics, either due to the additional cost of the companion diagnostic or the need to complete additional procedures to identify genetic markers prior to administering our product candidates.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33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7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process of manufacturing biologics is complex, highly-regulated and subject to multiple risks.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w:t>
      </w:r>
    </w:p>
    <w:p>
      <w:pPr>
        <w:spacing w:after="0" w:line="19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growth prospects.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 we will need to transfer to another manufacturer and complete the manufacturing validation process, which can be lengthy. If we are able to adequately validate and scale-up the manufacturing process for our product candidates with a contract manufacturer, we will still need to negotiate with such contract manufacturer an agreement for commercial supply and it is not certain we will be able to come to agreement on terms acceptable to us.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an early-stage biotechnology company with a limited operating history. We have no approved products and none of our product candidates have progressed to clinical development. To date, our revenue has been primarily derived from our research collaboration and license agreements with third parties, including TESARO, Inc. and TESARO Development, Ltd., or collectively, TESARO, and Celgene Corporation, or Celgene,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Since our inception, we have incurred significant operating losses in every year except fiscal year 2014. Our collaboration revenue was $15.8 million and our net income was $3.5 million for the year ended December 31, 2014 and our collaboration revenue was $17.6 million and our net loss was $5.4 million for the year ended December 31, 2015. As of December 31, 2015, we had an accumulated deficit of $50.7 million.</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financed our operations primarily through private placements of our preferred stock and the issuance of debt. We have devoted substantially all of our efforts to research and development. We have not initiated clinical development of any product candidates and expect that it will be many years, if ever, before we have a product candidate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payments under collaboration and license agreements with our collaborators. Our ability to generate future product revenue from our current or future product candidates depends on a number of additional factors, including our or our collaborators’ ability to:</w:t>
      </w:r>
    </w:p>
    <w:p>
      <w:pPr>
        <w:spacing w:after="0" w:line="95"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 our research and preclinical development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identify additional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existing and enter into new collaboration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conduct additional preclinical studies and initiate clinical trials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approvals for the product candidates we develop or developed under our collaboration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 a sales, marketing and distribution infrastructure to commercialize any product candidates for which we may obtain marketing approval;</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hire additional executive, clinical, quality control and scientific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add operational, financial and management information systems and personnel, including personnel to support our product development;</w:t>
      </w:r>
    </w:p>
    <w:p>
      <w:pPr>
        <w:spacing w:after="0" w:line="142" w:lineRule="exact"/>
        <w:rPr>
          <w:rFonts w:ascii="Arial" w:cs="Arial" w:eastAsia="Arial" w:hAnsi="Arial"/>
          <w:sz w:val="17"/>
          <w:szCs w:val="17"/>
          <w:color w:val="auto"/>
        </w:rPr>
      </w:pPr>
    </w:p>
    <w:p>
      <w:pPr>
        <w:ind w:left="900" w:right="2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third parties, and ensure adequate and legally compliant manufacturing of our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coverage and adequate product reimbursement from third-party payors, including government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market acceptance for our or our collaborators’ products, if 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trials in addition to those that we currently anticipate. Even if ANB019 and ANB020, or any of our other product candidates, are approved for commercial sale, we anticipate incurring significant costs associated with the commercial launch of any product candidate.</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currently only in the preclinical development stages for our most advanced product candidates.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9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research and development company, our operations have consumed substantial amounts of cash since our inception. We expect our research and development expenses to increase substantially in connection with our ongoing activities, particularly as we continue our discovery and preclinical development to identify new clinical candidates, and we and our collaborators initiate clinical trials of, and seek marketing approval for, our product candidates. In addition, if we obtain marketing approval for any of our product candidates, we expect to incur significant commercialization expenses related to product sales, marketing, manufacturing and distribution. Furthermore, upon the closing of this offering, we expect to incur additional costs associated with operating as a public company. We believe that the net proceeds from this offering, together with our existing cash and cash equivalents and funding we expect to receive under existing collaboration agreements, will fund our projected operating requirements through at least the next 24 months. However, circumstances may cause us to consume capital more rapidly than we currently anticipate. For example, as we continue to move our product candidates through preclinical studies, submit INDs or foreign equivalents and commence clinical development we may have adverse results requiring us to find new product candidates, or our collaborators may not elect to pursue the development and commercialization of any of our product candidates that are subject to their respective agreements with us. Any of these events may increase our development costs more than we expect. We may need to raise additional funds or otherwise obtain funding through product collaborations to continue development of our product candidates.</w:t>
      </w:r>
    </w:p>
    <w:p>
      <w:pPr>
        <w:spacing w:after="0" w:line="16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If we need to secure additional financing, such additional fundraising efforts may divert our management from our day-to-day activities, which may adversely affect our ability to develop and commercialize future product candidates. In addition, we cannot guarantee that future financing will be available in sufficient amounts or on terms acceptable to us, if at all. If we do not raise additional capital when required or on acceptable terms, we may need to:</w:t>
      </w:r>
    </w:p>
    <w:p>
      <w:pPr>
        <w:spacing w:after="0" w:line="5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significantly delay, scale back or discontinue the development or commercialization of any product candidates or cease operations altogether;</w:t>
      </w:r>
    </w:p>
    <w:p>
      <w:pPr>
        <w:spacing w:after="0" w:line="153" w:lineRule="exact"/>
        <w:rPr>
          <w:rFonts w:ascii="Arial" w:cs="Arial" w:eastAsia="Arial" w:hAnsi="Arial"/>
          <w:sz w:val="16"/>
          <w:szCs w:val="16"/>
          <w:color w:val="auto"/>
        </w:rPr>
      </w:pPr>
    </w:p>
    <w:p>
      <w:pPr>
        <w:ind w:left="900" w:right="6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strategic alliances for research and development programs at an earlier stage than we would otherwise desire or on terms less favorable than might otherwise be available;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any future product candidates that we otherwise would seek to develop or commercialize ourselves;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eliminate staff to conserve resources.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utilize our available capital resources sooner than we currently expect. Our future funding requirements, both short and long-term, will depend on many factors, including:</w:t>
      </w:r>
    </w:p>
    <w:p>
      <w:pPr>
        <w:spacing w:after="0" w:line="77" w:lineRule="exact"/>
        <w:rPr>
          <w:sz w:val="20"/>
          <w:szCs w:val="20"/>
          <w:color w:val="auto"/>
        </w:rPr>
      </w:pPr>
    </w:p>
    <w:p>
      <w:pPr>
        <w:ind w:left="900" w:right="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number and size of clinical trials needed to show safety, efficacy and an acceptable risk/benefit profile for any of our product candidates;</w:t>
      </w:r>
    </w:p>
    <w:p>
      <w:pPr>
        <w:spacing w:after="0" w:line="153" w:lineRule="exact"/>
        <w:rPr>
          <w:rFonts w:ascii="Arial" w:cs="Arial" w:eastAsia="Arial" w:hAnsi="Arial"/>
          <w:sz w:val="16"/>
          <w:szCs w:val="16"/>
          <w:color w:val="auto"/>
        </w:rPr>
      </w:pPr>
    </w:p>
    <w:p>
      <w:pPr>
        <w:ind w:left="900" w:right="480" w:hanging="325"/>
        <w:spacing w:after="0" w:line="308"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maintain existing and enter into new collaboration agreements;</w:t>
      </w:r>
    </w:p>
    <w:p>
      <w:pPr>
        <w:spacing w:after="0" w:line="130" w:lineRule="exact"/>
        <w:rPr>
          <w:rFonts w:ascii="Arial" w:cs="Arial" w:eastAsia="Arial" w:hAnsi="Arial"/>
          <w:sz w:val="18"/>
          <w:szCs w:val="18"/>
          <w:color w:val="auto"/>
        </w:rPr>
      </w:pPr>
    </w:p>
    <w:p>
      <w:pPr>
        <w:ind w:left="900" w:right="58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recruiting and retaining key employees;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selecting, auditing and potentially validating a manufacturing site for commercial-scale manufacturing; and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17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If a lack of available capital means that we cannot expand our operations or otherwise capitalize on our business opportunities, our business, financial condition and results of operations could be adversely affected.</w:t>
      </w:r>
    </w:p>
    <w:p>
      <w:pPr>
        <w:spacing w:after="0" w:line="2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6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5" w:lineRule="exact"/>
        <w:rPr>
          <w:sz w:val="20"/>
          <w:szCs w:val="20"/>
          <w:color w:val="auto"/>
        </w:rPr>
      </w:pPr>
    </w:p>
    <w:p>
      <w:pPr>
        <w:ind w:right="5260"/>
        <w:spacing w:after="0" w:line="425" w:lineRule="auto"/>
        <w:rPr>
          <w:sz w:val="20"/>
          <w:szCs w:val="20"/>
          <w:color w:val="auto"/>
        </w:rPr>
      </w:pPr>
      <w:r>
        <w:rPr>
          <w:rFonts w:ascii="Arial" w:cs="Arial" w:eastAsia="Arial" w:hAnsi="Arial"/>
          <w:sz w:val="16"/>
          <w:szCs w:val="16"/>
          <w:b w:val="1"/>
          <w:bCs w:val="1"/>
          <w:color w:val="auto"/>
        </w:rPr>
        <w:t xml:space="preserve">Risks Related to Managing Growth, Operations and Macroeconomic Conditions </w:t>
      </w:r>
      <w:r>
        <w:rPr>
          <w:rFonts w:ascii="Arial" w:cs="Arial" w:eastAsia="Arial" w:hAnsi="Arial"/>
          <w:sz w:val="16"/>
          <w:szCs w:val="16"/>
          <w:b w:val="1"/>
          <w:bCs w:val="1"/>
          <w:i w:val="1"/>
          <w:iCs w:val="1"/>
          <w:color w:val="auto"/>
        </w:rPr>
        <w:t>We must attract and retain highly skilled employees in order to succeed.</w:t>
      </w:r>
    </w:p>
    <w:p>
      <w:pPr>
        <w:spacing w:after="0" w:line="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To succeed, we must recruit, retain, manage and motivate qualified clinical, scientific, technical and management personnel, and we face significant competition for experienced personnel. If we do not succeed in attracting and retaining qualified personnel, particularly at the management level, it could adversely affect our ability to execute our business plan, harm our operating results and increase our capabilities to successfully commercialize our product candidates.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development of our business or to recruit suitable replacement personnel.</w:t>
      </w:r>
    </w:p>
    <w:p>
      <w:pPr>
        <w:spacing w:after="0" w:line="165"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6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7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 executive officers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9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as a result, we may encounter difficulties in managing our growth, which could disrupt our operations.</w:t>
      </w:r>
    </w:p>
    <w:p>
      <w:pPr>
        <w:spacing w:after="0" w:line="62"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We expect to experience significant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95" w:lineRule="exact"/>
        <w:rPr>
          <w:sz w:val="20"/>
          <w:szCs w:val="20"/>
          <w:color w:val="auto"/>
        </w:rPr>
      </w:pPr>
    </w:p>
    <w:p>
      <w:pPr>
        <w:ind w:right="180"/>
        <w:spacing w:after="0" w:line="375" w:lineRule="auto"/>
        <w:rPr>
          <w:sz w:val="20"/>
          <w:szCs w:val="20"/>
          <w:color w:val="auto"/>
        </w:rPr>
      </w:pPr>
      <w:r>
        <w:rPr>
          <w:rFonts w:ascii="Arial" w:cs="Arial" w:eastAsia="Arial" w:hAnsi="Arial"/>
          <w:sz w:val="15"/>
          <w:szCs w:val="15"/>
          <w:b w:val="1"/>
          <w:bCs w:val="1"/>
          <w:i w:val="1"/>
          <w:iCs w:val="1"/>
          <w:color w:val="auto"/>
        </w:rPr>
        <w:t>We conduct significant operations through our Australian wholly-owned subsidiary. If we lose our ability to operate in Australia, or if our subsidiary is unable to receive the research and development tax credit allowed by Australian regulations, our business and results of operations will suffer.</w:t>
      </w:r>
    </w:p>
    <w:p>
      <w:pPr>
        <w:spacing w:after="0" w:line="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March 2015, we formed a wholly-owned Australian subsidiary, AnaptysBio Pty Ltd, or AnaptysBio Pty, to develop and commercialize our ANB019 and ANB020 antibody program in Australia. Due to the geographical distance and lack of employees currently in Australia, as well as our lack of experience operating in Australia, we may not be able to efficiently or successfully monitor, develop and commercialize our lead products or antibody program in Australia, including conducting clinical trials. Furthermore, we have no assurance that the results of any clinical trials that we conduct for our product candidates in Australia will be accepted by the FDA or foreign regulatory authorities for development and commercialization approvals.</w:t>
      </w:r>
    </w:p>
    <w:p>
      <w:pPr>
        <w:spacing w:after="0" w:line="173"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addition, current Australian tax regulations provide for a refundable research and development tax credit equal to 43.5% of qualified expenditures. If we lose our ability to operate AnaptysBio Pty in Australia, or if we are ineligible or unable to receive the research and development tax credit, or the Australian government significantly reduces or eliminates the tax credit, our business and results of operation would be adversely affected.</w:t>
      </w:r>
    </w:p>
    <w:p>
      <w:pPr>
        <w:spacing w:after="0" w:line="255"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The manufacture of biotechnology products is complex and manufacturers often encounter difficulties in production. If we or any of our third-party manufacturers encounter any loss of our master cell banks or if any of our third-party manufacturers encounter other difficulties, or otherwise fail to comply with their contractual obligations, our ability to provide product candidates for clinical trials or our products to patients, once approved, the development or commercialization of our product candidates could be delayed or stopped.</w:t>
      </w:r>
    </w:p>
    <w:p>
      <w:pPr>
        <w:spacing w:after="0" w:line="63"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The manufacture of biotechnology products is complex and requires significant expertise and capital investment, including the development of advanced manufacturing techniques and process controls. We and our contract manufacturers must comply with current good manufacturing practices, or cGMP, regulations and guidelines for the manufacturing of biologics used in clinical trials and, if approved, marketed products. To date, neither we nor our contract manufacturers has manufactured or attempted to manufacture cGMP batches of our products. Manufacturers of biotechnology products often encounter difficulties in production, particularly in scaling up and validating initial production. Furthermore,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w:t>
      </w:r>
    </w:p>
    <w:p>
      <w:pPr>
        <w:spacing w:after="0" w:line="19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All of our therapeutic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prospects,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vulnerable to disruption, damage and financial obligation as a result of system failures.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30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operations are vulnerable to interruption by fire, earthquake, power loss, telecommunications failure, terrorist activity and other events beyond our control, which could harm our business.</w:t>
      </w:r>
    </w:p>
    <w:p>
      <w:pPr>
        <w:spacing w:after="0" w:line="6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facility is located in a seismically active region, which has also historically been subject to electrical blackouts as a result of a shortage of available electrical power. We have not undertaken a systematic analysis of the potential consequences to our business and financial results from a major earthquake, fire, power loss, terrorist activity or other disasters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facility was impacted by a seismic event, we could lose all our antibody sequences, which would have an adverse effect on our ability to perform our obligations under our collaborations and discover new targets.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1"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have entered into collaborations with other biotechnology companies to develop several of our product candidates, and such collaborations currently represent a significant portion of our product pipeline. In addition, we have entered into other collaborations pursuant to which we have provided access to our technology platform to our collaborators to enable the optimization of their own product candidates. We have entered into antibody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generation and/or development collaborations with various collaborators, including TESARO and Celgene, under which we have generated therapeutic quality antibodies using our technology platform and conducted certain preclinical studies in collaboration. These collaborations have provided us with $52.9 million in non-dilutive funding through January 31, 2016. We are currently aware that TESARO and Celgene are advancing multiple antibodies generated through our collaboration to clinical trials. If our collaborators terminate any of our collaborations, we may not receive all or any of this funding, which would adversely affect our business or financial condition. Other than TESARO, our operational obligations under each of our collaborations has ended.</w:t>
      </w:r>
    </w:p>
    <w:p>
      <w:pPr>
        <w:spacing w:after="0" w:line="19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 In addition, any dispute or litigation proceedings we may have with our collaborators in the future could delay development programs, create uncertainty as to ownership of intellectual property rights, distract management from other business activities and generate substantial expense.</w:t>
      </w:r>
    </w:p>
    <w:p>
      <w:pPr>
        <w:spacing w:after="0" w:line="2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may not succeed in establishing and maintaining additional development collaborations, which could adversely affect our ability to develop and commercialize product candidates.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our current licensing arrangements with TESARO and Celgene, a part of our strategy is to enter into additional strategic product development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a development collaboration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Even if we are successful in our efforts to establish new development collaborations, the terms that we agree upon may not be favorable to us and we may not be able to maintain such development collaborations if, for example, development or approval of a product candidate is delayed or sales of an approved product candidate are disappointing. Any delay in entering into new development collaboration agreements related to our product candidates could delay the development and commercialization of our product candidates and reduce their competitiveness if they reach the market.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Moreover, if we fail to establish and maintain additional development collaborations related to our product candidates:</w:t>
      </w:r>
    </w:p>
    <w:p>
      <w:pPr>
        <w:spacing w:after="0" w:line="13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current or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sales and marketing expertise, for which we have not budgeted;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If third parties on which we depend to conduct our planned preclinical studies, or any future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ind w:right="40" w:firstLine="456"/>
        <w:spacing w:after="0" w:line="252" w:lineRule="auto"/>
        <w:rPr>
          <w:sz w:val="20"/>
          <w:szCs w:val="20"/>
          <w:color w:val="auto"/>
        </w:rPr>
      </w:pPr>
      <w:r>
        <w:rPr>
          <w:rFonts w:ascii="Arial" w:cs="Arial" w:eastAsia="Arial" w:hAnsi="Arial"/>
          <w:sz w:val="18"/>
          <w:szCs w:val="18"/>
          <w:color w:val="auto"/>
        </w:rPr>
        <w:t>We rely on third party clinical investigators, contract research organizations, or CROs, clinical data management organizations, or CMOs, and consultants to design, conduct, supervise and monitor preclinical studies of our product candidates and will do the same for any clinical trials. Because we rely on third parties and do not have the ability to conduct preclinical studies or clinical trials independently, we have less control over the timing, quality and other aspects of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preclinical studies or clinical trials, resulting in the preclinical studies or clinical trials being delayed or unsuccessful.</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w:t>
      </w:r>
    </w:p>
    <w:p>
      <w:pPr>
        <w:spacing w:after="0" w:line="12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regulatory approvals that we may receive for our product candidates will require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cGMPs and good clinical practices, or GCPs, for any clinical trials that we conduct post-approval. 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foreign regulatory requirements may, either before or after product approval, if any, subject our company to administrative or judicially imposed sanctions, including:</w:t>
      </w:r>
    </w:p>
    <w:p>
      <w:pPr>
        <w:spacing w:after="0" w:line="77" w:lineRule="exact"/>
        <w:rPr>
          <w:sz w:val="20"/>
          <w:szCs w:val="20"/>
          <w:color w:val="auto"/>
        </w:rPr>
      </w:pPr>
    </w:p>
    <w:p>
      <w:pPr>
        <w:ind w:left="5620" w:right="2020" w:hanging="5045"/>
        <w:spacing w:after="0" w:line="449" w:lineRule="auto"/>
        <w:tabs>
          <w:tab w:leader="none" w:pos="8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 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to approve pending BLAs or supplements to approved BLAs.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occurrence of any event or penalty described above may inhibit our ability to commercialize our product candidates and generate revenue.</w:t>
      </w:r>
    </w:p>
    <w:p>
      <w:pPr>
        <w:spacing w:after="0" w:line="23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Since 2004, these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healthcare programs. 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2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62"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In order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7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spacing w:after="0" w:line="26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plan to conduct our initial clinical trials for ANB020 and ANB019 outside of the United States. However, the FDA and other foreign equivalents may not accept data from such trials, in which case our development plans will be delayed, which could materially harm our business.</w:t>
      </w:r>
    </w:p>
    <w:p>
      <w:pPr>
        <w:spacing w:after="0" w:line="16"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plan to conduct our initial clinical trials for ANB020 and ANB019 in Australia. We believe that clinical data generated in Australia will subsequently be accepted by the FDA and its foreign equivalents outside of Australia, and therefore may enable us to commence Phase 2 and possibly registration clinical trials in the United States following submission of an IND, without the need for us to repeat our Phase 1 trials in the United States. However, there can be no assurance the FDA or other foreign equivalents will accept data from the clinical trials we plan to conduct in Australia. If the FDA or other foreign equivalents do not accept any such data, we would likely be required to conduct additional Phase 1 clinical trials, which would be costly and time consuming, and delay aspects of our development plan, which could harm our business.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the FDA and other foreign equivalents may accept data from clinical trials conducted outside the United States, acceptance of such study data is generally subject to certain conditions. For example, the FDA requires the clinical trial to have been conducted in accordance with GCPs and the FDA must be able to validate the data from the clinical trial through an onsite inspection if it deems such inspection necessary. In addition, when studies are conducted outside of the United States, the FDA generally does not provide advance comment on the clinical protocols for the studies, and therefore there is an additional potential risk that the FDA could determine that the study design or protocol for a non-U.S. clinical trial was inadequate, which would likely require us to conduct additional clinical trials.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Conducting clinical trials outside the United States also exposes us to additional risks, including risks associated with the following:</w:t>
      </w:r>
    </w:p>
    <w:p>
      <w:pPr>
        <w:spacing w:after="0" w:line="131"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plan to seek Orphan Drug Designation for ANB019 or certain of our other product candidates and we may not be able to obtain or maintain orphan designation or obtain the benefits associated with Orphan Drug status, including market exclusivity.</w:t>
      </w:r>
    </w:p>
    <w:p>
      <w:pPr>
        <w:spacing w:after="0" w:line="62"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We plan to seek Orphan Drug Designation for ANB019 or certain of our other product candidates. Regulatory authorities in some jurisdictions, including the United States and the European Union, or EU, may designate biologics for relatively small patient populations as Orphan Drugs. Under the Orphan Drug Act, the FDA may designate a biologic as an Orphan Drug if it is intended to treat a rare disease or condition, which is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generally defined as a patient population of fewer than 200,000 individuals in the United States. Generally, if a biologic with an Orphan Drug Designation subsequently receives the first marketing approval for the indication for which it has such designation, the biologic is entitled to a period of marketing exclusivity, which precludes the FDA, in the United States, or the European Medicines Agency, or EMA, in the EU, from approving another marketing application for a drug containing the same active moiety for the same indication for that time period. The applicable period is seven years in the United States and ten years in the European Union. The EU exclusivity period can be reduced to six years if a biologic no longer meets the criteria for Orphan Drug Designation or if the biologic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 In addition, the Orphan Drug Designation does not convey any advantage in, or shorten the duration of, the regulatory review or approval process. Also, regulatory approval for any product candidate may be withdrawn and other candidates may obtain approval before us.</w:t>
      </w:r>
    </w:p>
    <w:p>
      <w:pPr>
        <w:spacing w:after="0" w:line="195"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color w:val="auto"/>
        </w:rPr>
        <w:t>We have not applied for Orphan Drug Designation for ANB019 for any indication, and may not be able to obtain designation or any of the potential benefits associated with it. For example, we plan to seek FDA Orphan Drug Designation for ANB019 for the treatment of GPP and PPP, which will likely require that we demonstrate to FDA that GPP and PPP are distinct diseases from psoriasis generally (a non-rare disease) or that use of ANB019 may be appropriate for the treatment of GPP and PPP but not appropriate for use in the general psoriasis population.</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Even if we obtain Orphan Drug Designation, we may not receive Orphan Drug exclusivity, and such exclusivity, if obtained, may not effectively protect the candidate from competition because different drugs or biologics can be approved for the same condition and only the first biologic with an Orphan Drug Designation to receive regulatory approval for a particular indication will receive marketing exclusivity. Even after a drug or biological with Orphan Drug Designation is approved, the FDA can subsequently approve another biologic containing the same active moiety (which in the case of an antibody is the principal molecular structure) for the same condition if the FDA concludes that the later biologic is clinically superior in that it is shown to be safer, more effective or makes a major contribution to patient care.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drugs we develop may become subject to unfavorable third-party reimbursement practices and pricing regulations.</w:t>
      </w:r>
    </w:p>
    <w:p>
      <w:pPr>
        <w:spacing w:after="0" w:line="11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6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or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that other payors will also provide coverage for the drug product.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1"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drug products. There may be especially significant delays in obtaining coverage and reimbursement for newly approved drugs. Third-party payors may limit coverage to specific drug products on an approved list, known as a formulary, which might not include all FDA 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addition to CMS and private payors, professional organizations such as the American Medical Association, or AMA,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Furthermore, some of our target indications, including for GPP, are rare diseases with small patient populations. In order for therapeutics that are designed to treat smaller patient populations to be commercially viable, the reimbursement for such therapeutics must be higher, on a relative basis to account for the low volume of sales. Accordingly, we will need to implement a coverage and reimbursement strategy for any approved product candidate that accounts for the smaller potential market size.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Recently enacted legislation may increase the difficulty and cost for us to obtain marketing approval of and commercialize our product candidates and affect the prices we may obtain.</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and/or affect our ability to profitably sell any product candidates for which we obtain marketing approval.</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For example, in March 2010, President Obama signed into law the Patient Protection and Affordable Care Act, as amended by the Health Care and Education Affordability Reconciliation Act, or collectively the ACA, a sweeping law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3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a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 and</w:t>
      </w:r>
    </w:p>
    <w:p>
      <w:pPr>
        <w:spacing w:after="0" w:line="142" w:lineRule="exact"/>
        <w:rPr>
          <w:rFonts w:ascii="Arial" w:cs="Arial" w:eastAsia="Arial" w:hAnsi="Arial"/>
          <w:sz w:val="17"/>
          <w:szCs w:val="17"/>
          <w:color w:val="auto"/>
        </w:rPr>
      </w:pPr>
    </w:p>
    <w:p>
      <w:pPr>
        <w:ind w:left="900" w:right="26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In addition, other legislative changes have been proposed and adopted since the ACA was enacted. These changes included aggregate reductions to Medicare payments to providers of up to 2% per fiscal year, effective April 1, 2013, which, due to subsequent legislative amendments, will stay in effect through 2025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6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Likewise, the annual Medicare Physician Fee Schedule update, which, until recently, was based on a target-setting formula system called the Sustainable Growth Rate (“SGR”), was adjusted to reflect the comparison of actual expenditures to target expenditures. Because one of the factors for calculating the SGR was linked to the growth in the U.S. gross domestic product (“GDP”), the SGR formula often resulted in a negative payment update when growth in Medicare beneficiaries’ use of services exceeded GDP growth. Congress repeatedly intervened to delay the implementation of negative SGR payment updates. For example, on April 1, 2014, with the enactment of the Protecting Access to Medicare Act of 2014, Congress prevented the 24 percent cut that was to occur by continuing the previously implemented 0.5 percent payment increase through December 31, 2014 and maintaining a zero percent payment update from January 1, 2015 through March 31, 2015. However, on April 14, 2015, Congress passed the Medicare Access and CHIP Reauthorization Act of 2015, which was signed into law by President Obama on April 16, 2015. This law repeals the SGR methodology from the physician payment formula, institutes a 0% update to the Medicare Physician Fee Schedule for the January 1 to July 1, 2015 period, a 0.5% payment update for July 2015 through the end of 2019, and a 0% payment update for 2020 through 2025, along with a merit-based incentive payment system beginning January 1, 2019, that will replace current incentive programs. For 2026 and subsequent years, the payment update will be either 0.75% or 0.25%, depending on which Alternate Payment Model the physician participates.</w:t>
      </w:r>
    </w:p>
    <w:p>
      <w:pPr>
        <w:spacing w:after="0" w:line="180"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17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investigation of the safety and effectiveness of our products,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transparency and other healthcare laws and regulations, which could expose us to, among other things, criminal sanctions, civil penalties, contractual damages, reputational harm, administrative burdens and diminished profits and future earnings.</w:t>
      </w:r>
    </w:p>
    <w:p>
      <w:pPr>
        <w:spacing w:after="0" w:line="73"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Healthcare providers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60" w:lineRule="exact"/>
        <w:rPr>
          <w:sz w:val="20"/>
          <w:szCs w:val="20"/>
          <w:color w:val="auto"/>
        </w:rPr>
      </w:pPr>
    </w:p>
    <w:p>
      <w:pPr>
        <w:ind w:left="900" w:right="8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9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false claims and civil monetary penalties laws, including the civil False Claims Act, impose criminal and civil penalties, including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00" w:hanging="325"/>
        <w:spacing w:after="0" w:line="34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imposes criminal and civil liability for, among other things, executing or attempting to execute a scheme to defraud any healthcare benefit program or making false statements relating to healthcare matters;</w:t>
      </w:r>
    </w:p>
    <w:p>
      <w:pPr>
        <w:spacing w:after="0" w:line="29" w:lineRule="exact"/>
        <w:rPr>
          <w:rFonts w:ascii="Arial" w:cs="Arial" w:eastAsia="Arial" w:hAnsi="Arial"/>
          <w:sz w:val="16"/>
          <w:szCs w:val="16"/>
          <w:color w:val="auto"/>
        </w:rPr>
      </w:pPr>
    </w:p>
    <w:p>
      <w:pPr>
        <w:ind w:left="900" w:right="4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86"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information regarding payments and other transfers of value to physicians and teaching hospitals as well as information regarding ownership and investment interests help by physicians and their immediate family members. The information was made publicly available on a searchable website in September 2014 and will be disclosed on an annual basis; and</w:t>
      </w:r>
    </w:p>
    <w:p>
      <w:pPr>
        <w:spacing w:after="0" w:line="87" w:lineRule="exact"/>
        <w:rPr>
          <w:sz w:val="20"/>
          <w:szCs w:val="20"/>
          <w:color w:val="auto"/>
        </w:rPr>
      </w:pPr>
    </w:p>
    <w:p>
      <w:pPr>
        <w:ind w:left="900" w:right="20" w:hanging="325"/>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24" w:lineRule="exact"/>
        <w:rPr>
          <w:sz w:val="20"/>
          <w:szCs w:val="20"/>
          <w:color w:val="auto"/>
        </w:rPr>
      </w:pPr>
    </w:p>
    <w:p>
      <w:pPr>
        <w:ind w:right="480" w:firstLine="456"/>
        <w:spacing w:after="0" w:line="257" w:lineRule="auto"/>
        <w:rPr>
          <w:sz w:val="20"/>
          <w:szCs w:val="20"/>
          <w:color w:val="auto"/>
        </w:rPr>
      </w:pPr>
      <w:r>
        <w:rPr>
          <w:rFonts w:ascii="Arial" w:cs="Arial" w:eastAsia="Arial" w:hAnsi="Arial"/>
          <w:sz w:val="18"/>
          <w:szCs w:val="18"/>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28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and insider trading.</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intend to adopt a code of conduct prior to the closing of this offering,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8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In addition, some patent applications that we or our licensors have filed have not resulted in issued patents because we or our licensors have abandoned those patent applications as changes in business and/or legal strategies dictated.</w:t>
      </w:r>
    </w:p>
    <w:p>
      <w:pPr>
        <w:spacing w:after="0" w:line="16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an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Because patent applications in the United States and most other countries are confidential for a period of time after filing, and some remain so until issued, we cannot be certain that we or our licensors were the first to</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8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or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our or our licensors’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or collaborators may not be able to prevent third parties from practicing our and our licensors’ or collaborators’ inventions in all countries outside the United States, or from selling or importing products made using our and our licensors’ or collaborators’ inventions in and into the United States or other jurisdictions. Competitors may use our and our licensors’ or collaborators’ technologies in jurisdictions where we have not obtained patent protection to develop their own products and, further, may export otherwise infringing products to territories where we and our licensors or collaborators have patent protection, but enforcement is not as strong as that in the United States. These products may compete with our product candidates, and our and our licensors’ or collaborators’ patents or other intellectual property rights may not be effective or sufficient to prevent them from competing.</w:t>
      </w:r>
    </w:p>
    <w:p>
      <w:pPr>
        <w:spacing w:after="0" w:line="17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or collaborators to stop the infringement of our and our licensors’ or collaborators’ patents or marketing of competing products in violation of our and our licensors’ or collaborators’ proprietary rights generally. Proceedings to enforce our and our licensors’ or collaborators’ patent rights in foreign jurisdictions could result in substantial costs and divert our and our licensors’ or collaborators’ efforts and attention from other aspects of our business, could put our and our licensors’ or collaborators’ patents at risk of being invalidated or interpreted narrowly and our and our licensors’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or collaborators’ patent applications at risk of not issuing and could provoke third parties to assert claims against us or our licensors or collaborators. We or our licensors or collaborators may not prevail in any lawsuits that we or our licensors or collaborators initiate, and the damages or other remedies awarded, if any, may not be commercially meaningful.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w:t>
      </w:r>
    </w:p>
    <w:p>
      <w:pPr>
        <w:spacing w:after="0" w:line="17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73"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Leahy-Smith Act and its implementation could increase the uncertainties and costs surrounding the prosecution of our patent applications and the enforcement or defense of our issued patents.</w:t>
      </w:r>
    </w:p>
    <w:p>
      <w:pPr>
        <w:spacing w:after="0" w:line="179"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USPTO recently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or our licensors’ or collaborators’ patent applications and the enforcement or defense of our or our licensors’ or collaborators’ issued patents, all of which could have an adverse effect on our business and financial condition.</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Moreover, in recent years, the Supreme Court and the U.S. Court of Appeals for the Federal Circuit have rendered decisions in several patent cases such as Association for Molecular Pathology v. Myriad Genetics, Inc. (Myriad I), BRCA1- &amp; BRCA2-Based Hereditary Cancer Test Patent Litig., (Myriad II), Mayo Collaborative Services v. Prometheus Laboratories, Inc., and Alice Corporation Pty. Ltd. v. CLS Bank International, either narrowing the scope of patent protection available in certain circumstances or weakening the rights of patent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and our licensors’ or collaborators’ ability to obtain new patents or to enforce existing patents and patents that we and our licensors or collaborators may obtain in the future.</w:t>
      </w:r>
    </w:p>
    <w:p>
      <w:pPr>
        <w:spacing w:after="0" w:line="262"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collaborators fail to maintain the patents and patent applications covering our product candidates, our competitors might be able to enter the market, which would have an adverse effect on our business.</w:t>
      </w:r>
    </w:p>
    <w:p>
      <w:pPr>
        <w:spacing w:after="0" w:line="27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wholly-owned technology in part by entering into confidentiality agreements and, if applicable, material transfer agreements, consulting agreements or other similar agreements with our advisors, employees, third-party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82"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intellectual property, which could be expensive, time-consuming and unsuccessful and have an adverse effect on the success of our business.</w:t>
      </w:r>
    </w:p>
    <w:p>
      <w:pPr>
        <w:spacing w:after="0" w:line="62"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Third parties may infringe our or our licensors’ or collaborators’ patents or misappropriate or otherwise violate our or our licensors’ or collaborators’ intellectual property rights. In the future, we or our licensors or collaborators may initiate legal proceedings to enforce or defend our or our licensors’ or collaborators’ intellectual property rights, to protect our or our licensors’ or collaborators’ trade secrets or to determine the validity or scope of intellectual property rights we own or control. Also, third parties may initiate legal proceedings against us or our licensors or collaborators to challenge the validity or scope of intellectual property rights we own or control. These proceedings can be expensive and time-consuming, and many of our or our licensors’ or collaborators’ adversaries in these proceedings may have the ability to dedicate substantially greater resources to prosecuting these legal actions than we or our licensors or collaborators. In addition, in an infringement proceeding, a court may decide that a patent owned by or licensed to us is invalid or unenforceable, or may refuse to stop the other party from using the technology at issue on the grounds that our or our licensors’ or collaborators’ patents do not cover the technology in question. Furthermore, an adverse result in any litigation or administrative proceeding could put one or more of our or our licensors’ or collaborators’ patents at risk of being invalidated, held unenforceable or interpreted narrowly.</w:t>
      </w:r>
    </w:p>
    <w:p>
      <w:pPr>
        <w:spacing w:after="0" w:line="16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Accordingly, despite our or our licensors’ or collaborators’ efforts, we or our licensors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in the United States or other jurisdictions. Such proceedings may be provoked by third parties or by us or our licensors or collaborators to protect or enforce our or our licensors’ or collaborators’ patents or patent applications. Additionally, third-party preissuance submission of prior art to the USPTO or other foreign jurisdictions may jeopardize the issuance or scope of our or our licensors’ or collaborators’ patent applications. An unfavorable outcome in any such proceedings could require us or our licensors or collaborators to cease using the related technology, or to attempt to license rights to it from the prevailing party. Our business could be harmed if the prevailing party does not offer us or our licensors or collaborators a license on commercially reasonable terms or at all, and we could be forced to stop commercializing our product candidates. Even if we or our licensors or collaborators obtain a license, it may be non-exclusive, thereby giving our competitors access to the same technologies licensed to us or our licensors or collaborators.</w:t>
      </w:r>
    </w:p>
    <w:p>
      <w:pPr>
        <w:spacing w:after="0" w:line="195"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addition, if the breadth or strength of protection provided by our or our licensors’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breach the license agreements related to our product candidates, we could lose the ability to continue the development and commercialization of our product candidates.</w:t>
      </w:r>
    </w:p>
    <w:p>
      <w:pPr>
        <w:spacing w:after="0" w:line="6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Our commercial success depends upon our ability, and the ability of our licensors and collaborators, to develop, manufacture, market and sell our product candidates and use our and our licensors’ or collaborators’ wholly-owned technologies without infringing the proprietary rights of third parties. A third party may hold intellectual property, including patent rights that are important or necessary to the development of our products. As a result, we are a party to a number of technology licenses that are important to our business and expect to enter into additional licenses in the future. For example, we have in-licensed the rights to certain intellectual property relating to SHM under our in-license agreement with the Medical Research Council, which is the subject of issued patents and pending patent applications in certain countries. If we fail to comply with the obligations under these agreements,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Disputes may arise regarding intellectual property subject to a licensing agreement, including:</w:t>
      </w:r>
    </w:p>
    <w:p>
      <w:pPr>
        <w:spacing w:after="0" w:line="131"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any collaboration relationships we might enter into in the future;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inter partes reviews or derivation proceedings in the United States or other jurisdictions. These proceedings can be expensive and time-consuming, and many of our or our licensors’ or collaborators’ adversaries in these proceedings may have the ability to dedicate substantially greater resources to prosecuting these legal actions than we or our licensors or collaborators.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62"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protect our confidential information and trade secrets would harm our business and competitive position.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obtain protection under the Hatch-Waxman Amendments and similar foreign legislation for extending the term of patents covering each of our product candidates, our business may be harmed.</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Prior to this offering, no market for shares of our common stock existed and an active trading market for our shares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117"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trading price of our common stock following this offering is likely to be highly volatile and subject to wide fluctuations in response to various factors, some of which we cannot control. In addition to the factors discussed in this “Risk Factors” section and elsewhere in this prospectus, these factors include:</w:t>
      </w:r>
    </w:p>
    <w:p>
      <w:pPr>
        <w:spacing w:after="0" w:line="87"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30" w:lineRule="exact"/>
        <w:rPr>
          <w:rFonts w:ascii="Arial" w:cs="Arial" w:eastAsia="Arial" w:hAnsi="Arial"/>
          <w:sz w:val="18"/>
          <w:szCs w:val="18"/>
          <w:color w:val="auto"/>
        </w:rPr>
      </w:pPr>
    </w:p>
    <w:p>
      <w:pPr>
        <w:ind w:left="900" w:right="10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preclinical studies and clinical trials of our product candidates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with respect to our existing collaboration agreements and announcements of new collaboration agreements;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biotechnology sector;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not use them effectively.</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and you will be relying on the judgment of our management regarding the application of these proceeds. You will not have the opportunity, as part of your investment decision, to assess whether we are using the proceeds appropriately. Our management might not apply our net proceeds in ways that ultimately increase the value of your investment. If we do not invest or apply the net proceeds from this offering in ways that enhance stockholder value, we may fail to achieve expected financial results, which could cause our stock price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approximately 84.0% of our voting stock and, upon the closing of this offering, that same group will hold approximately % of our outstanding voting stock (assuming no exercise of the underwriters’ over-allotment option, no exercise of outstanding options or warrants and no purchases of shares in this offering by any of this group), in each case assuming the conversion of all outstanding shares of our convertible preferred stock into shares of our common stock immediately prior to the closing of this offering. After this offering, this group of stockholders will have the ability to control us through this ownership position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you purchase our common stock in this offering, you will incur immediate and substantial dilution in the book value of your shares.</w:t>
      </w:r>
    </w:p>
    <w:p>
      <w:pPr>
        <w:spacing w:after="0" w:line="129"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initial public offering price is substantially higher than the net tangible book value per share of our common stock. Investors purchasing common stock in this offering will pay a price per share that substantially exceeds the book value of our tangible assets after subtracting our liabilities. As a result,</w:t>
      </w:r>
    </w:p>
    <w:p>
      <w:pPr>
        <w:spacing w:after="0"/>
        <w:tabs>
          <w:tab w:leader="none" w:pos="6740" w:val="left"/>
        </w:tabs>
        <w:rPr>
          <w:sz w:val="20"/>
          <w:szCs w:val="20"/>
          <w:color w:val="auto"/>
        </w:rPr>
      </w:pPr>
      <w:r>
        <w:rPr>
          <w:rFonts w:ascii="Arial" w:cs="Arial" w:eastAsia="Arial" w:hAnsi="Arial"/>
          <w:sz w:val="18"/>
          <w:szCs w:val="18"/>
          <w:color w:val="auto"/>
        </w:rPr>
        <w:t>investors purchasing common stock in this offering will incur immediate dilution of $</w:t>
      </w:r>
      <w:r>
        <w:rPr>
          <w:sz w:val="20"/>
          <w:szCs w:val="20"/>
          <w:color w:val="auto"/>
        </w:rPr>
        <w:tab/>
      </w:r>
      <w:r>
        <w:rPr>
          <w:rFonts w:ascii="Arial" w:cs="Arial" w:eastAsia="Arial" w:hAnsi="Arial"/>
          <w:sz w:val="16"/>
          <w:szCs w:val="16"/>
          <w:color w:val="auto"/>
        </w:rPr>
        <w:t>per share, based upon an assumed initial public offering price of</w:t>
      </w:r>
    </w:p>
    <w:p>
      <w:pPr>
        <w:ind w:left="680" w:hanging="672"/>
        <w:spacing w:after="0"/>
        <w:tabs>
          <w:tab w:leader="none" w:pos="680" w:val="left"/>
        </w:tabs>
        <w:numPr>
          <w:ilvl w:val="0"/>
          <w:numId w:val="40"/>
        </w:numPr>
        <w:rPr>
          <w:rFonts w:ascii="Arial" w:cs="Arial" w:eastAsia="Arial" w:hAnsi="Arial"/>
          <w:sz w:val="1"/>
          <w:szCs w:val="1"/>
          <w:color w:val="auto"/>
        </w:rPr>
      </w:pPr>
      <w:r>
        <w:rPr>
          <w:rFonts w:ascii="Arial" w:cs="Arial" w:eastAsia="Arial" w:hAnsi="Arial"/>
          <w:sz w:val="1"/>
          <w:szCs w:val="1"/>
          <w:color w:val="auto"/>
        </w:rPr>
        <w:t>per share (the midpoint of the price range set forth on the cover page of this prospectus). Further, investors purchasing common stock in this offering</w:t>
      </w:r>
    </w:p>
    <w:p>
      <w:pPr>
        <w:spacing w:after="0" w:line="19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will contribute approximately % of the total amount invested by stockholders since our inception, but will own only approximately % of the shares of common stock outstanding after giving effect to this offering.</w:t>
      </w:r>
    </w:p>
    <w:p>
      <w:pPr>
        <w:spacing w:after="0" w:line="17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dilution is due to our investors who purchased shares prior to this offering having paid substantially less when they purchased their shares than the price offered to the public in this offering and the exercise of stock options granted to our employees. In addition, as of December 31, 2015, options to purchase 14,351,840 shares of our common stock at a weighted-average exercise price of $0.57 per share, warrants exercisable for 822,386 shares of our common stock at an exercise price of $0.65 per share and warrants exercisable for Series C convertible preferred stock convertible into 2,063,484 shares of our common stock at an exercise price of $0.65 per share were outstanding. The exercise of any of these options or warrants would result in additional dilution.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“Dilution.”</w:t>
      </w:r>
    </w:p>
    <w:p>
      <w:pPr>
        <w:spacing w:after="0" w:line="30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the Sarbanes-Oxley Act, reduced disclosure obligations regarding executive compensation in this prospectus and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initial public offering, (b) in which we have total annual gross revenue of at least $1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2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devote substantial time to new compliance initiatives.</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Protection Act, as well as rules adopted, and to be adopted, by the SEC and the NASDAQ Global Select Market.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For example, we expect these rules and regulations to make it more difficult and more expensive for us to obtain director and officer liability insurance and we may be required to incur substantial costs to maintain the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6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addition, as a public company we will be required to incur additional costs and obligations in order to comply with SEC rules that implement Section 404 of the Sarbanes-Oxley Act. Under these rules, beginning with our annual report for the year ending December 31, 2017,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8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connection with the preparation of our 2015 consolidated financial statements, we and our independent registered public accounting firm identified a material weakness in our internal control over financial reporting with respect to the design of our controls over the calculation of our accrued research and contract manufacturing expenses, including the verification of the level and timing of completion of our CRO and CMO activities. Under standards established by the Public Company Accounting Oversight Board, a deficiency in internal control over financial reporting exists when the design or operation of a control does not allow management or personnel, in the normal course of performing their assigned functions, to prevent or detect misstatements on a timely basis.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While we are taking steps to remediate the material weakness, including by implementing additional controls to verify the level and timing of completion of our CRO and CMO activities, we are still in the process of implementing these measures and cannot assure you that we will be successful in doing so or that these measures will significantly improve or remediate the material weakness described above. We, and our independent registered public accounting firm, were not required to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perform an evaluation of our internal control over financial reporting as of December 31, 2015 in accordance with the provisions of the Sarbanes-Oxley Act. Accordingly, we cannot assure you that we have identified all material weaknesses or that there will not be additional material weaknesses or deficiencies that our independent registered public accounting firm or we will identify. If we are unable to successfully remediate the existing material weakness in our internal control over financial reporting, or if we identify any additional issues, we may be unable to produce accurate and timely financial statements, our stock price may be adversely affected and we may be unable to maintain compliance with the NASDAQ Stock Market listing requirements.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w:t>
      </w:r>
    </w:p>
    <w:p>
      <w:pPr>
        <w:spacing w:after="0" w:line="281" w:lineRule="auto"/>
        <w:rPr>
          <w:sz w:val="20"/>
          <w:szCs w:val="20"/>
          <w:color w:val="auto"/>
        </w:rPr>
      </w:pPr>
      <w:r>
        <w:rPr>
          <w:rFonts w:ascii="Arial" w:cs="Arial" w:eastAsia="Arial" w:hAnsi="Arial"/>
          <w:sz w:val="16"/>
          <w:szCs w:val="16"/>
          <w:color w:val="auto"/>
        </w:rPr>
        <w:t>outstanding shares of common stock based on the number of shares outstanding as of December 31, 2015, assuming: (i) no exercise of the underwriters’ option to purchase additional shares and (ii) the conversion of all outstanding shares of our convertible preferred stock into 80,645,051 shares of common stock immediately prior to the closing of this offering. This includes the shares that we sell in this offering, which may be resold in the public market</w:t>
      </w:r>
    </w:p>
    <w:p>
      <w:pPr>
        <w:spacing w:after="0" w:line="2"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immediately without restriction, unless purchased by our affiliates. Of the remaining shares, shares of our common stock are currently restricted as a result of securities laws or lock-up agreements but will be able to be sold after this offering as described in the “Shares Eligible for Future Sale” section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this prospectus.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29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by subsequent sales. Such sales may also result in material dilution to our existing stockholders, and new investors could gain rights, preferences and privileges senior to the holders of our common stock, including shares of common stock sold in this offering.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Delaware law might discourage, delay or prevent a change in control of our company or changes in our management and, therefore, depress the market price of our common stock.</w:t>
      </w:r>
    </w:p>
    <w:p>
      <w:pPr>
        <w:spacing w:after="0" w:line="62"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Our restated certificate of incorporation and restated bylaws, as we expect they will be in effect upon closing of the offering, will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7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addition, Section 203 of the Delaware General Corporation Law may discourage, delay or prevent a change in control of our company. Section 203 imposes certain restrictions on mergers, business combinations and other transactions between us and holders of 15% or more of our common stock.</w:t>
      </w:r>
    </w:p>
    <w:p>
      <w:pPr>
        <w:spacing w:after="0" w:line="2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6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 an adverse or misleading opinion regarding us, our business model, our intellectual property or our stock performance, or if our target animal studies and operating</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5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NOL carryforwards could be limited as a result of issuance of equity securities.</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plan to use our current year operating losses to offset taxable income from any revenue generated from operations or corporate collaborations. To the extent that our taxable income exceeds any current year operating losses, we plan to use our NOL carryforwards to offset income that would otherwise be taxable. However, under the Tax Reform Act of 1986, the amount of benefits from our NOL carryforwards may be impaired or limited if we incur a cumulative ownership change of more than 50%, as interpreted by the U.S. Internal Revenue Service,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including as a result of this offering.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prospectus include, among other things, statements about:</w:t>
      </w:r>
    </w:p>
    <w:p>
      <w:pPr>
        <w:spacing w:after="0" w:line="131"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planned clinical trials;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likelihood that the clinical data generated in Australia will be subsequently accepted by the FDA and its foreign equivalents outside of Australia;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900" w:right="320" w:hanging="325"/>
        <w:spacing w:after="0" w:line="308" w:lineRule="auto"/>
        <w:tabs>
          <w:tab w:leader="none" w:pos="9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900" w:right="42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in the United States, Australia and other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and elsewhere in this prospectus. Moreover, we operate in a competitive and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4680" w:val="left"/>
        </w:tabs>
        <w:rPr>
          <w:sz w:val="20"/>
          <w:szCs w:val="20"/>
          <w:color w:val="auto"/>
        </w:rPr>
      </w:pPr>
      <w:r>
        <w:rPr>
          <w:rFonts w:ascii="Arial" w:cs="Arial" w:eastAsia="Arial" w:hAnsi="Arial"/>
          <w:sz w:val="18"/>
          <w:szCs w:val="18"/>
          <w:color w:val="auto"/>
        </w:rPr>
        <w:t>We estimate that the net proceeds from our sale of</w:t>
      </w:r>
      <w:r>
        <w:rPr>
          <w:sz w:val="20"/>
          <w:szCs w:val="20"/>
          <w:color w:val="auto"/>
        </w:rPr>
        <w:tab/>
      </w:r>
      <w:r>
        <w:rPr>
          <w:rFonts w:ascii="Arial" w:cs="Arial" w:eastAsia="Arial" w:hAnsi="Arial"/>
          <w:sz w:val="16"/>
          <w:szCs w:val="16"/>
          <w:color w:val="auto"/>
        </w:rPr>
        <w:t>shares of common stock in this offering at an assumed initial public offering price of</w:t>
      </w:r>
    </w:p>
    <w:p>
      <w:pPr>
        <w:spacing w:after="0" w:line="2" w:lineRule="exact"/>
        <w:rPr>
          <w:sz w:val="20"/>
          <w:szCs w:val="20"/>
          <w:color w:val="auto"/>
        </w:rPr>
      </w:pPr>
    </w:p>
    <w:p>
      <w:pPr>
        <w:ind w:left="680" w:hanging="672"/>
        <w:spacing w:after="0"/>
        <w:tabs>
          <w:tab w:leader="none" w:pos="680" w:val="left"/>
        </w:tabs>
        <w:numPr>
          <w:ilvl w:val="0"/>
          <w:numId w:val="43"/>
        </w:numPr>
        <w:rPr>
          <w:rFonts w:ascii="Arial" w:cs="Arial" w:eastAsia="Arial" w:hAnsi="Arial"/>
          <w:sz w:val="2"/>
          <w:szCs w:val="2"/>
          <w:color w:val="auto"/>
        </w:rPr>
      </w:pPr>
      <w:r>
        <w:rPr>
          <w:rFonts w:ascii="Arial" w:cs="Arial" w:eastAsia="Arial" w:hAnsi="Arial"/>
          <w:sz w:val="2"/>
          <w:szCs w:val="2"/>
          <w:color w:val="auto"/>
        </w:rPr>
        <w:t>per share, the midpoint of the price range set forth on the cover page of this prospectus, after deducting estimated underwriting discounts and</w:t>
      </w:r>
    </w:p>
    <w:p>
      <w:pPr>
        <w:spacing w:after="0" w:line="2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commissions and estimated offering expenses payable by us, will be approximately $ million, or $ million if the underwriters exercise their option to purchase additional shares in full.</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$1.00 increase (decrease) in the assumed initial public offering price would increase (decrease) the net proceeds to us from this offering by</w:t>
      </w:r>
    </w:p>
    <w:p>
      <w:pPr>
        <w:spacing w:after="0" w:line="35" w:lineRule="exact"/>
        <w:rPr>
          <w:sz w:val="20"/>
          <w:szCs w:val="20"/>
          <w:color w:val="auto"/>
        </w:rPr>
      </w:pPr>
    </w:p>
    <w:p>
      <w:pPr>
        <w:ind w:right="200" w:firstLine="8"/>
        <w:spacing w:after="0" w:line="281" w:lineRule="auto"/>
        <w:tabs>
          <w:tab w:leader="none" w:pos="675" w:val="left"/>
        </w:tabs>
        <w:numPr>
          <w:ilvl w:val="0"/>
          <w:numId w:val="44"/>
        </w:numPr>
        <w:rPr>
          <w:rFonts w:ascii="Arial" w:cs="Arial" w:eastAsia="Arial" w:hAnsi="Arial"/>
          <w:sz w:val="16"/>
          <w:szCs w:val="16"/>
          <w:color w:val="auto"/>
        </w:rPr>
      </w:pPr>
      <w:r>
        <w:rPr>
          <w:rFonts w:ascii="Arial" w:cs="Arial" w:eastAsia="Arial" w:hAnsi="Arial"/>
          <w:sz w:val="16"/>
          <w:szCs w:val="16"/>
          <w:color w:val="auto"/>
        </w:rPr>
        <w:t>million, assuming the number of shares offered by us, remains the same, and after deducting estimated underwriting discounts and commissions. Similarly, each increase or decrease of one million in the number of shares of common stock offered by us would increase or decrease the net proceeds that</w:t>
      </w:r>
    </w:p>
    <w:p>
      <w:pPr>
        <w:spacing w:after="0" w:line="1"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we receive from this offering by $ million, assuming that the assumed initial public offering price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pacing w:after="0" w:line="142" w:lineRule="exact"/>
        <w:rPr>
          <w:sz w:val="20"/>
          <w:szCs w:val="20"/>
          <w:color w:val="auto"/>
        </w:rPr>
      </w:pPr>
    </w:p>
    <w:p>
      <w:pPr>
        <w:ind w:left="900" w:right="1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 million to fund development of ANB019 and ANB020 through initial clinical trials intended to demonstrate efficacy in multiple indications;</w:t>
      </w:r>
    </w:p>
    <w:p>
      <w:pPr>
        <w:spacing w:after="0" w:line="75" w:lineRule="exact"/>
        <w:rPr>
          <w:rFonts w:ascii="Arial" w:cs="Arial" w:eastAsia="Arial" w:hAnsi="Arial"/>
          <w:sz w:val="18"/>
          <w:szCs w:val="18"/>
          <w:color w:val="auto"/>
        </w:rPr>
      </w:pPr>
    </w:p>
    <w:p>
      <w:pPr>
        <w:ind w:left="900" w:right="64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 million to fund continued development of other wholly-owned product candidates and discovery of new product candidates to further expand our proprietary pipeline;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remaining amounts to fund working capital, including general corporate purposes.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Based on our planned use of the net proceeds, we estimate such funds, together with our existing cash and cash equivalents, will be sufficient for us to fund our operating expenses and capital expenditure requirements through at least the next 24 months.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preclinical studies and clinical trials we may commence in the future,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Pending their use as described above, we intend to invest the net proceeds from this offering in short term, investment-grade interest-bearing securities such as money market accounts, certificates of deposit, commercial paper and guaranteed obligations of the U.S. government.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60"/>
          </w:cols>
          <w:pgMar w:left="240" w:top="459" w:right="3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31, 2015 on:</w:t>
      </w:r>
    </w:p>
    <w:p>
      <w:pPr>
        <w:spacing w:after="0" w:line="13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actual basis;</w:t>
      </w:r>
    </w:p>
    <w:p>
      <w:pPr>
        <w:spacing w:after="0" w:line="130" w:lineRule="exact"/>
        <w:rPr>
          <w:rFonts w:ascii="Arial" w:cs="Arial" w:eastAsia="Arial" w:hAnsi="Arial"/>
          <w:sz w:val="18"/>
          <w:szCs w:val="18"/>
          <w:color w:val="auto"/>
        </w:rPr>
      </w:pPr>
    </w:p>
    <w:p>
      <w:pPr>
        <w:ind w:left="900" w:right="60" w:hanging="325"/>
        <w:spacing w:after="0" w:line="279"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pro forma basis, giving effect to (i) the automatic conversion of all outstanding shares of our convertible preferred stock as of December 31, 2015 into 80,645,051 shares of common stock immediately prior to the closing of this offering, (ii) the conversion of the preferred stock warrants into common stock warrants and the related reclassification of the preferred stock warrant liability to additional paid-in capital and (iii) the effectiveness of our restated certificate of incorporation in connection with the closing of this offering; and</w:t>
      </w:r>
    </w:p>
    <w:p>
      <w:pPr>
        <w:sectPr>
          <w:pgSz w:w="11900" w:h="16838" w:orient="portrait"/>
          <w:cols w:equalWidth="0" w:num="1">
            <w:col w:w="11420"/>
          </w:cols>
          <w:pgMar w:left="240" w:top="459" w:right="239" w:bottom="1440" w:gutter="0" w:footer="0" w:header="0"/>
        </w:sectPr>
      </w:pPr>
    </w:p>
    <w:p>
      <w:pPr>
        <w:spacing w:after="0" w:line="7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 pro forma as adjusted basis, giving effect to the pro forma adjustments and the sale of shares of common stock by us in this offering, based on an assumed initial public offering price of $ per share, the midpoint of the price range set forth on the cover page of this prospectus, after deducting estimated underwriting discounts and commissions and estimated offering expenses payable by us.</w:t>
      </w:r>
    </w:p>
    <w:p>
      <w:pPr>
        <w:spacing w:after="0" w:line="166" w:lineRule="exact"/>
        <w:rPr>
          <w:sz w:val="20"/>
          <w:szCs w:val="20"/>
          <w:color w:val="auto"/>
        </w:rPr>
      </w:pPr>
    </w:p>
    <w:p>
      <w:pPr>
        <w:sectPr>
          <w:pgSz w:w="11900" w:h="16838" w:orient="portrait"/>
          <w:cols w:equalWidth="0" w:num="2">
            <w:col w:w="640" w:space="260"/>
            <w:col w:w="10520"/>
          </w:cols>
          <w:pgMar w:left="240" w:top="459" w:right="239" w:bottom="1440" w:gutter="0" w:footer="0" w:header="0"/>
          <w:type w:val="continuous"/>
        </w:sectPr>
      </w:pPr>
    </w:p>
    <w:p>
      <w:pPr>
        <w:ind w:right="120"/>
        <w:spacing w:after="0" w:line="277" w:lineRule="auto"/>
        <w:rPr>
          <w:sz w:val="20"/>
          <w:szCs w:val="20"/>
          <w:color w:val="auto"/>
        </w:rPr>
      </w:pPr>
      <w:r>
        <w:rPr>
          <w:rFonts w:ascii="Arial" w:cs="Arial" w:eastAsia="Arial" w:hAnsi="Arial"/>
          <w:sz w:val="18"/>
          <w:szCs w:val="18"/>
          <w:color w:val="auto"/>
        </w:rPr>
        <w:t>The pro forma as adjusted information set forth in the table below is illustrative only and will be adjusted based on the actual initial public offering price and other terms of this offering determined at pricing.</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included elsewhere in this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2"/>
              </w:rPr>
              <w:t>As of December 31, 2015</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w w:val="90"/>
              </w:rPr>
              <w:t>(in thousands, except share and par value data)</w:t>
            </w:r>
          </w:p>
        </w:tc>
        <w:tc>
          <w:tcPr>
            <w:tcW w:w="5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400" w:type="dxa"/>
            <w:vAlign w:val="bottom"/>
          </w:tcPr>
          <w:p>
            <w:pPr>
              <w:spacing w:after="0"/>
              <w:rPr>
                <w:sz w:val="10"/>
                <w:szCs w:val="10"/>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w:t>
            </w:r>
          </w:p>
        </w:tc>
        <w:tc>
          <w:tcPr>
            <w:tcW w:w="90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00" w:type="dxa"/>
            <w:vAlign w:val="bottom"/>
            <w:vMerge w:val="continue"/>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9"/>
              </w:rPr>
              <w:t>As Adjusted</w:t>
            </w:r>
            <w:r>
              <w:rPr>
                <w:rFonts w:ascii="Arial" w:cs="Arial" w:eastAsia="Arial" w:hAnsi="Arial"/>
                <w:sz w:val="12"/>
                <w:szCs w:val="12"/>
                <w:b w:val="1"/>
                <w:bCs w:val="1"/>
                <w:color w:val="auto"/>
                <w:w w:val="99"/>
              </w:rPr>
              <w:t>(1)</w:t>
            </w:r>
          </w:p>
        </w:tc>
        <w:tc>
          <w:tcPr>
            <w:tcW w:w="0" w:type="dxa"/>
            <w:vAlign w:val="bottom"/>
          </w:tcPr>
          <w:p>
            <w:pPr>
              <w:spacing w:after="0"/>
              <w:rPr>
                <w:sz w:val="1"/>
                <w:szCs w:val="1"/>
                <w:color w:val="auto"/>
              </w:rPr>
            </w:pPr>
          </w:p>
        </w:tc>
      </w:tr>
      <w:tr>
        <w:trPr>
          <w:trHeight w:val="156"/>
        </w:trPr>
        <w:tc>
          <w:tcPr>
            <w:tcW w:w="29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w:t>
            </w:r>
          </w:p>
        </w:tc>
        <w:tc>
          <w:tcPr>
            <w:tcW w:w="50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51,684</w:t>
            </w:r>
          </w:p>
        </w:tc>
        <w:tc>
          <w:tcPr>
            <w:tcW w:w="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spacing w:after="0"/>
              <w:rPr>
                <w:sz w:val="20"/>
                <w:szCs w:val="20"/>
                <w:color w:val="auto"/>
              </w:rPr>
            </w:pPr>
            <w:r>
              <w:rPr>
                <w:rFonts w:ascii="Arial" w:cs="Arial" w:eastAsia="Arial" w:hAnsi="Arial"/>
                <w:sz w:val="15"/>
                <w:szCs w:val="15"/>
                <w:color w:val="auto"/>
              </w:rPr>
              <w:t>Notes payable</w:t>
            </w: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00" w:type="dxa"/>
            <w:vAlign w:val="bottom"/>
            <w:vMerge w:val="continue"/>
          </w:tcPr>
          <w:p>
            <w:pPr>
              <w:spacing w:after="0"/>
              <w:rPr>
                <w:sz w:val="13"/>
                <w:szCs w:val="13"/>
                <w:color w:val="auto"/>
              </w:rPr>
            </w:pPr>
          </w:p>
        </w:tc>
        <w:tc>
          <w:tcPr>
            <w:tcW w:w="5080" w:type="dxa"/>
            <w:vAlign w:val="bottom"/>
          </w:tcPr>
          <w:p>
            <w:pPr>
              <w:spacing w:after="0"/>
              <w:rPr>
                <w:sz w:val="13"/>
                <w:szCs w:val="13"/>
                <w:color w:val="auto"/>
              </w:rPr>
            </w:pPr>
          </w:p>
        </w:tc>
        <w:tc>
          <w:tcPr>
            <w:tcW w:w="80" w:type="dxa"/>
            <w:vAlign w:val="bottom"/>
            <w:gridSpan w:val="2"/>
          </w:tcPr>
          <w:p>
            <w:pPr>
              <w:jc w:val="right"/>
              <w:spacing w:after="0" w:line="156" w:lineRule="exact"/>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line="156" w:lineRule="exact"/>
              <w:rPr>
                <w:sz w:val="20"/>
                <w:szCs w:val="20"/>
                <w:color w:val="auto"/>
              </w:rPr>
            </w:pPr>
            <w:r>
              <w:rPr>
                <w:rFonts w:ascii="Arial" w:cs="Arial" w:eastAsia="Arial" w:hAnsi="Arial"/>
                <w:sz w:val="15"/>
                <w:szCs w:val="15"/>
                <w:color w:val="auto"/>
              </w:rPr>
              <w:t>4,903</w:t>
            </w:r>
          </w:p>
        </w:tc>
        <w:tc>
          <w:tcPr>
            <w:tcW w:w="200" w:type="dxa"/>
            <w:vAlign w:val="bottom"/>
          </w:tcPr>
          <w:p>
            <w:pPr>
              <w:spacing w:after="0"/>
              <w:rPr>
                <w:sz w:val="13"/>
                <w:szCs w:val="13"/>
                <w:color w:val="auto"/>
              </w:rPr>
            </w:pPr>
          </w:p>
        </w:tc>
        <w:tc>
          <w:tcPr>
            <w:tcW w:w="1080" w:type="dxa"/>
            <w:vAlign w:val="bottom"/>
            <w:gridSpan w:val="2"/>
          </w:tcPr>
          <w:p>
            <w:pPr>
              <w:ind w:left="400"/>
              <w:spacing w:after="0" w:line="156" w:lineRule="exact"/>
              <w:rPr>
                <w:sz w:val="20"/>
                <w:szCs w:val="20"/>
                <w:color w:val="auto"/>
              </w:rPr>
            </w:pPr>
            <w:r>
              <w:rPr>
                <w:rFonts w:ascii="Arial" w:cs="Arial" w:eastAsia="Arial" w:hAnsi="Arial"/>
                <w:sz w:val="15"/>
                <w:szCs w:val="15"/>
                <w:color w:val="auto"/>
              </w:rPr>
              <w:t>$</w:t>
            </w:r>
          </w:p>
        </w:tc>
        <w:tc>
          <w:tcPr>
            <w:tcW w:w="600" w:type="dxa"/>
            <w:vAlign w:val="bottom"/>
          </w:tcPr>
          <w:p>
            <w:pPr>
              <w:spacing w:after="0"/>
              <w:rPr>
                <w:sz w:val="13"/>
                <w:szCs w:val="13"/>
                <w:color w:val="auto"/>
              </w:rPr>
            </w:pPr>
          </w:p>
        </w:tc>
        <w:tc>
          <w:tcPr>
            <w:tcW w:w="900" w:type="dxa"/>
            <w:vAlign w:val="bottom"/>
          </w:tcPr>
          <w:p>
            <w:pPr>
              <w:spacing w:after="0" w:line="156"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Preferred stock warrant liabilities</w:t>
            </w:r>
          </w:p>
        </w:tc>
        <w:tc>
          <w:tcPr>
            <w:tcW w:w="5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1,549</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80" w:type="dxa"/>
            <w:vAlign w:val="bottom"/>
            <w:gridSpan w:val="2"/>
          </w:tcPr>
          <w:p>
            <w:pPr>
              <w:spacing w:after="0" w:line="149" w:lineRule="exact"/>
              <w:rPr>
                <w:sz w:val="20"/>
                <w:szCs w:val="20"/>
                <w:color w:val="auto"/>
              </w:rPr>
            </w:pPr>
            <w:r>
              <w:rPr>
                <w:rFonts w:ascii="Arial" w:cs="Arial" w:eastAsia="Arial" w:hAnsi="Arial"/>
                <w:sz w:val="15"/>
                <w:szCs w:val="15"/>
                <w:color w:val="auto"/>
              </w:rPr>
              <w:t>Series B convertible preferred stock, $0.001 par value; 27,742,877 shares authorized, 27,742,877 shares issued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980" w:type="dxa"/>
            <w:vAlign w:val="bottom"/>
            <w:gridSpan w:val="2"/>
          </w:tcPr>
          <w:p>
            <w:pPr>
              <w:ind w:left="160"/>
              <w:spacing w:after="0"/>
              <w:rPr>
                <w:sz w:val="20"/>
                <w:szCs w:val="20"/>
                <w:color w:val="auto"/>
              </w:rPr>
            </w:pPr>
            <w:r>
              <w:rPr>
                <w:rFonts w:ascii="Arial" w:cs="Arial" w:eastAsia="Arial" w:hAnsi="Arial"/>
                <w:sz w:val="15"/>
                <w:szCs w:val="15"/>
                <w:color w:val="auto"/>
              </w:rPr>
              <w:t>outstanding, actual; no shares designated, issued or outstanding pro forma and pro forma as adjusted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28,220</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Series C convertible preferred stock, $0.001 par value; 13,210,753 shares authorized, 11,147,269 shares issued and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9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outstanding, actual; no shares designated, issued or outstanding pro forma and pro forma as adjusted</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6,452</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980" w:type="dxa"/>
            <w:vAlign w:val="bottom"/>
            <w:gridSpan w:val="2"/>
          </w:tcPr>
          <w:p>
            <w:pPr>
              <w:spacing w:after="0" w:line="149" w:lineRule="exact"/>
              <w:rPr>
                <w:sz w:val="20"/>
                <w:szCs w:val="20"/>
                <w:color w:val="auto"/>
              </w:rPr>
            </w:pPr>
            <w:r>
              <w:rPr>
                <w:rFonts w:ascii="Arial" w:cs="Arial" w:eastAsia="Arial" w:hAnsi="Arial"/>
                <w:sz w:val="15"/>
                <w:szCs w:val="15"/>
                <w:color w:val="auto"/>
              </w:rPr>
              <w:t>Series C-1 convertible preferred stock, $0.001 par value; 3,318,054 shares authorized, 3,318,054 shares issued and</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980" w:type="dxa"/>
            <w:vAlign w:val="bottom"/>
            <w:gridSpan w:val="2"/>
          </w:tcPr>
          <w:p>
            <w:pPr>
              <w:ind w:left="160"/>
              <w:spacing w:after="0"/>
              <w:rPr>
                <w:sz w:val="20"/>
                <w:szCs w:val="20"/>
                <w:color w:val="auto"/>
              </w:rPr>
            </w:pPr>
            <w:r>
              <w:rPr>
                <w:rFonts w:ascii="Arial" w:cs="Arial" w:eastAsia="Arial" w:hAnsi="Arial"/>
                <w:sz w:val="15"/>
                <w:szCs w:val="15"/>
                <w:color w:val="auto"/>
              </w:rPr>
              <w:t>outstanding, actual; no shares designated, issued or outstanding pro forma and pro forma as adjusted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2,156</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9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Series D convertible preferred stock, $0.001 par value; 38,436,851 shares authorized, 38,436,851 shares issued and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98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outstanding, actual; no shares designated, issued or outstanding pro forma and pro forma as adjusted</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40,688</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line="162" w:lineRule="exact"/>
              <w:rPr>
                <w:sz w:val="20"/>
                <w:szCs w:val="20"/>
                <w:color w:val="auto"/>
              </w:rPr>
            </w:pPr>
            <w:r>
              <w:rPr>
                <w:rFonts w:ascii="Arial" w:cs="Arial" w:eastAsia="Arial" w:hAnsi="Arial"/>
                <w:sz w:val="15"/>
                <w:szCs w:val="15"/>
                <w:color w:val="auto"/>
              </w:rPr>
              <w:t>Stockholders’ equity (deficit):</w:t>
            </w: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98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5"/>
                <w:szCs w:val="15"/>
                <w:color w:val="auto"/>
                <w:w w:val="97"/>
              </w:rPr>
              <w:t>Preferred Stock, $0.001 par value; no shares authorized, issued or outstanding, actual; 10,000,000 shares authorized,</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98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rPr>
              <w:t>no shares issued or outstanding, pro forma and pro forma as adjusted</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7980" w:type="dxa"/>
            <w:vAlign w:val="bottom"/>
            <w:gridSpan w:val="2"/>
          </w:tcPr>
          <w:p>
            <w:pPr>
              <w:ind w:left="320"/>
              <w:spacing w:after="0" w:line="149" w:lineRule="exact"/>
              <w:rPr>
                <w:sz w:val="20"/>
                <w:szCs w:val="20"/>
                <w:color w:val="auto"/>
              </w:rPr>
            </w:pPr>
            <w:r>
              <w:rPr>
                <w:rFonts w:ascii="Arial" w:cs="Arial" w:eastAsia="Arial" w:hAnsi="Arial"/>
                <w:sz w:val="15"/>
                <w:szCs w:val="15"/>
                <w:color w:val="auto"/>
                <w:w w:val="98"/>
              </w:rPr>
              <w:t>Common stock, $0.001 par value; 120,500,000 shares authorized, 18,407,054 shares issued and outstanding, actual;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460"/>
              <w:spacing w:after="0" w:line="162" w:lineRule="exact"/>
              <w:rPr>
                <w:sz w:val="20"/>
                <w:szCs w:val="20"/>
                <w:color w:val="auto"/>
              </w:rPr>
            </w:pPr>
            <w:r>
              <w:rPr>
                <w:rFonts w:ascii="Arial" w:cs="Arial" w:eastAsia="Arial" w:hAnsi="Arial"/>
                <w:sz w:val="15"/>
                <w:szCs w:val="15"/>
                <w:color w:val="auto"/>
              </w:rPr>
              <w:t>500,000,000 shares authorized,</w:t>
            </w:r>
          </w:p>
        </w:tc>
        <w:tc>
          <w:tcPr>
            <w:tcW w:w="5080" w:type="dxa"/>
            <w:vAlign w:val="bottom"/>
          </w:tcPr>
          <w:p>
            <w:pPr>
              <w:ind w:left="20"/>
              <w:spacing w:after="0" w:line="162" w:lineRule="exact"/>
              <w:rPr>
                <w:sz w:val="20"/>
                <w:szCs w:val="20"/>
                <w:color w:val="auto"/>
              </w:rPr>
            </w:pPr>
            <w:r>
              <w:rPr>
                <w:rFonts w:ascii="Arial" w:cs="Arial" w:eastAsia="Arial" w:hAnsi="Arial"/>
                <w:sz w:val="15"/>
                <w:szCs w:val="15"/>
                <w:color w:val="auto"/>
              </w:rPr>
              <w:t>shares issued and outstanding, pro forma; 500,000,000 shares authorized,</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980" w:type="dxa"/>
            <w:vAlign w:val="bottom"/>
            <w:gridSpan w:val="2"/>
          </w:tcPr>
          <w:p>
            <w:pPr>
              <w:ind w:left="960"/>
              <w:spacing w:after="0"/>
              <w:rPr>
                <w:sz w:val="20"/>
                <w:szCs w:val="20"/>
                <w:color w:val="auto"/>
              </w:rPr>
            </w:pPr>
            <w:r>
              <w:rPr>
                <w:rFonts w:ascii="Arial" w:cs="Arial" w:eastAsia="Arial" w:hAnsi="Arial"/>
                <w:sz w:val="15"/>
                <w:szCs w:val="15"/>
                <w:color w:val="auto"/>
              </w:rPr>
              <w:t>shares issued and outstanding, pro forma as adjusted</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5"/>
                <w:szCs w:val="15"/>
                <w:color w:val="auto"/>
              </w:rPr>
              <w:t>18</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shd w:val="clear" w:color="auto" w:fill="CCEEFF"/>
          </w:tcPr>
          <w:p>
            <w:pPr>
              <w:ind w:left="320"/>
              <w:spacing w:after="0" w:line="162" w:lineRule="exact"/>
              <w:rPr>
                <w:sz w:val="20"/>
                <w:szCs w:val="20"/>
                <w:color w:val="auto"/>
              </w:rPr>
            </w:pPr>
            <w:r>
              <w:rPr>
                <w:rFonts w:ascii="Arial" w:cs="Arial" w:eastAsia="Arial" w:hAnsi="Arial"/>
                <w:sz w:val="15"/>
                <w:szCs w:val="15"/>
                <w:color w:val="auto"/>
              </w:rPr>
              <w:t>Additional paid in capital</w:t>
            </w:r>
          </w:p>
        </w:tc>
        <w:tc>
          <w:tcPr>
            <w:tcW w:w="5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15,467</w:t>
            </w: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320"/>
              <w:spacing w:after="0" w:line="162" w:lineRule="exact"/>
              <w:rPr>
                <w:sz w:val="20"/>
                <w:szCs w:val="20"/>
                <w:color w:val="auto"/>
              </w:rPr>
            </w:pPr>
            <w:r>
              <w:rPr>
                <w:rFonts w:ascii="Arial" w:cs="Arial" w:eastAsia="Arial" w:hAnsi="Arial"/>
                <w:sz w:val="15"/>
                <w:szCs w:val="15"/>
                <w:color w:val="auto"/>
              </w:rPr>
              <w:t>Accumulated deficit</w:t>
            </w: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60"/>
              <w:spacing w:after="0" w:line="162" w:lineRule="exact"/>
              <w:rPr>
                <w:sz w:val="20"/>
                <w:szCs w:val="20"/>
                <w:color w:val="auto"/>
              </w:rPr>
            </w:pPr>
            <w:r>
              <w:rPr>
                <w:rFonts w:ascii="Arial" w:cs="Arial" w:eastAsia="Arial" w:hAnsi="Arial"/>
                <w:sz w:val="15"/>
                <w:szCs w:val="15"/>
                <w:color w:val="auto"/>
                <w:w w:val="93"/>
              </w:rPr>
              <w:t>(50,664)</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50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900" w:type="dxa"/>
            <w:vAlign w:val="bottom"/>
            <w:shd w:val="clear" w:color="auto" w:fill="CCEEFF"/>
          </w:tcPr>
          <w:p>
            <w:pPr>
              <w:ind w:left="620"/>
              <w:spacing w:after="0" w:line="162" w:lineRule="exact"/>
              <w:rPr>
                <w:sz w:val="20"/>
                <w:szCs w:val="20"/>
                <w:color w:val="auto"/>
              </w:rPr>
            </w:pPr>
            <w:r>
              <w:rPr>
                <w:rFonts w:ascii="Arial" w:cs="Arial" w:eastAsia="Arial" w:hAnsi="Arial"/>
                <w:sz w:val="15"/>
                <w:szCs w:val="15"/>
                <w:color w:val="auto"/>
              </w:rPr>
              <w:t>Total stockholders’ equity (deficit)</w:t>
            </w:r>
          </w:p>
        </w:tc>
        <w:tc>
          <w:tcPr>
            <w:tcW w:w="5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w w:val="93"/>
              </w:rPr>
              <w:t>(35,179)</w:t>
            </w: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vMerge w:val="restart"/>
          </w:tcPr>
          <w:p>
            <w:pPr>
              <w:ind w:left="920"/>
              <w:spacing w:after="0"/>
              <w:rPr>
                <w:sz w:val="20"/>
                <w:szCs w:val="20"/>
                <w:color w:val="auto"/>
              </w:rPr>
            </w:pPr>
            <w:r>
              <w:rPr>
                <w:rFonts w:ascii="Arial" w:cs="Arial" w:eastAsia="Arial" w:hAnsi="Arial"/>
                <w:sz w:val="15"/>
                <w:szCs w:val="15"/>
                <w:color w:val="auto"/>
              </w:rPr>
              <w:t>Total capitalization</w:t>
            </w: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00" w:type="dxa"/>
            <w:vAlign w:val="bottom"/>
            <w:vMerge w:val="continue"/>
          </w:tcPr>
          <w:p>
            <w:pPr>
              <w:spacing w:after="0"/>
              <w:rPr>
                <w:sz w:val="14"/>
                <w:szCs w:val="14"/>
                <w:color w:val="auto"/>
              </w:rPr>
            </w:pPr>
          </w:p>
        </w:tc>
        <w:tc>
          <w:tcPr>
            <w:tcW w:w="5080" w:type="dxa"/>
            <w:vAlign w:val="bottom"/>
          </w:tcPr>
          <w:p>
            <w:pPr>
              <w:spacing w:after="0"/>
              <w:rPr>
                <w:sz w:val="14"/>
                <w:szCs w:val="14"/>
                <w:color w:val="auto"/>
              </w:rPr>
            </w:pPr>
          </w:p>
        </w:tc>
        <w:tc>
          <w:tcPr>
            <w:tcW w:w="80" w:type="dxa"/>
            <w:vAlign w:val="bottom"/>
            <w:gridSpan w:val="2"/>
          </w:tcPr>
          <w:p>
            <w:pPr>
              <w:jc w:val="right"/>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line="169" w:lineRule="exact"/>
              <w:rPr>
                <w:sz w:val="20"/>
                <w:szCs w:val="20"/>
                <w:color w:val="auto"/>
              </w:rPr>
            </w:pPr>
            <w:r>
              <w:rPr>
                <w:rFonts w:ascii="Arial" w:cs="Arial" w:eastAsia="Arial" w:hAnsi="Arial"/>
                <w:sz w:val="15"/>
                <w:szCs w:val="15"/>
                <w:color w:val="auto"/>
              </w:rPr>
              <w:t>48,789</w:t>
            </w:r>
          </w:p>
        </w:tc>
        <w:tc>
          <w:tcPr>
            <w:tcW w:w="200" w:type="dxa"/>
            <w:vAlign w:val="bottom"/>
          </w:tcPr>
          <w:p>
            <w:pPr>
              <w:spacing w:after="0"/>
              <w:rPr>
                <w:sz w:val="14"/>
                <w:szCs w:val="14"/>
                <w:color w:val="auto"/>
              </w:rPr>
            </w:pPr>
          </w:p>
        </w:tc>
        <w:tc>
          <w:tcPr>
            <w:tcW w:w="1080" w:type="dxa"/>
            <w:vAlign w:val="bottom"/>
            <w:gridSpan w:val="2"/>
          </w:tcPr>
          <w:p>
            <w:pPr>
              <w:ind w:left="400"/>
              <w:spacing w:after="0" w:line="169" w:lineRule="exact"/>
              <w:rPr>
                <w:sz w:val="20"/>
                <w:szCs w:val="20"/>
                <w:color w:val="auto"/>
              </w:rPr>
            </w:pPr>
            <w:r>
              <w:rPr>
                <w:rFonts w:ascii="Arial" w:cs="Arial" w:eastAsia="Arial" w:hAnsi="Arial"/>
                <w:sz w:val="15"/>
                <w:szCs w:val="15"/>
                <w:color w:val="auto"/>
              </w:rPr>
              <w:t>$</w:t>
            </w:r>
          </w:p>
        </w:tc>
        <w:tc>
          <w:tcPr>
            <w:tcW w:w="600" w:type="dxa"/>
            <w:vAlign w:val="bottom"/>
          </w:tcPr>
          <w:p>
            <w:pPr>
              <w:spacing w:after="0"/>
              <w:rPr>
                <w:sz w:val="14"/>
                <w:szCs w:val="14"/>
                <w:color w:val="auto"/>
              </w:rPr>
            </w:pPr>
          </w:p>
        </w:tc>
        <w:tc>
          <w:tcPr>
            <w:tcW w:w="90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40" w:hanging="339"/>
        <w:spacing w:after="0" w:line="232" w:lineRule="auto"/>
        <w:tabs>
          <w:tab w:leader="none" w:pos="320" w:val="left"/>
        </w:tabs>
        <w:rPr>
          <w:sz w:val="20"/>
          <w:szCs w:val="20"/>
          <w:color w:val="auto"/>
        </w:rPr>
      </w:pPr>
      <w:r>
        <w:rPr>
          <w:rFonts w:ascii="Arial" w:cs="Arial" w:eastAsia="Arial" w:hAnsi="Arial"/>
          <w:sz w:val="15"/>
          <w:szCs w:val="15"/>
          <w:color w:val="auto"/>
        </w:rPr>
        <w:t>(1)</w:t>
        <w:tab/>
        <w:t>Each $1.00 increase (decrease) in the assumed initial public offering price of $ per share, the midpoint of the price range set forth on the cover page of this prospectus, would increase (decrease) each of our pro forma as adjusted cash and cash equivalents, additional paid-in capital, total stockholders’ equity (deficit) and total capitalization by approximately $ million, assuming that the number of shares offered by us remains the same and after deducting estimated underwriting discounts and commissions. Similarly, each increase (decrease) of one million shares in the number of shares offered by us would increase (decrease) each of our pro forma as adjusted cash and cash equivalents, additional paid-in capital, total stockholders’ equity (deficit) and total capitalization by approximately $ million, assuming the assumed initial public offering price remains the same and after deducting estimated underwriting discounts and commissions.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99,052,105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excludes:</w:t>
      </w:r>
    </w:p>
    <w:p>
      <w:pPr>
        <w:spacing w:after="0" w:line="116" w:lineRule="exact"/>
        <w:rPr>
          <w:sz w:val="20"/>
          <w:szCs w:val="20"/>
          <w:color w:val="auto"/>
        </w:rPr>
      </w:pPr>
    </w:p>
    <w:p>
      <w:pPr>
        <w:ind w:left="900" w:right="6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14,351,840 shares of common stock issuable upon the exercise of options outstanding as of December 31, 2015, with a weighted-average exercise price of $0.57 per share;</w:t>
      </w:r>
    </w:p>
    <w:p>
      <w:pPr>
        <w:spacing w:after="0" w:line="75" w:lineRule="exact"/>
        <w:rPr>
          <w:rFonts w:ascii="Arial" w:cs="Arial" w:eastAsia="Arial" w:hAnsi="Arial"/>
          <w:sz w:val="18"/>
          <w:szCs w:val="18"/>
          <w:color w:val="auto"/>
        </w:rPr>
      </w:pPr>
    </w:p>
    <w:p>
      <w:pPr>
        <w:ind w:left="1480" w:hanging="905"/>
        <w:spacing w:after="0"/>
        <w:tabs>
          <w:tab w:leader="none" w:pos="14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2,302,739 shares of</w:t>
      </w:r>
    </w:p>
    <w:p>
      <w:pPr>
        <w:spacing w:after="0" w:line="46" w:lineRule="exact"/>
        <w:rPr>
          <w:sz w:val="20"/>
          <w:szCs w:val="20"/>
          <w:color w:val="auto"/>
        </w:rPr>
      </w:pPr>
    </w:p>
    <w:p>
      <w:pPr>
        <w:ind w:left="900" w:right="16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December 31, 2015, (b) shares of common stock reserved for future issuance under our 2016 Equity Incentive Plan, which will become effective on the date immediately prior to the date of this</w:t>
      </w:r>
    </w:p>
    <w:p>
      <w:pPr>
        <w:spacing w:after="0" w:line="1" w:lineRule="exact"/>
        <w:rPr>
          <w:sz w:val="20"/>
          <w:szCs w:val="20"/>
          <w:color w:val="auto"/>
        </w:rPr>
      </w:pPr>
    </w:p>
    <w:p>
      <w:pPr>
        <w:ind w:left="900"/>
        <w:spacing w:after="0" w:line="252" w:lineRule="auto"/>
        <w:rPr>
          <w:sz w:val="20"/>
          <w:szCs w:val="20"/>
          <w:color w:val="auto"/>
        </w:rPr>
      </w:pPr>
      <w:r>
        <w:rPr>
          <w:rFonts w:ascii="Arial" w:cs="Arial" w:eastAsia="Arial" w:hAnsi="Arial"/>
          <w:sz w:val="18"/>
          <w:szCs w:val="18"/>
          <w:color w:val="auto"/>
        </w:rPr>
        <w:t>prospectus and (c) 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900" w:right="28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December 31, 2015, with an exercise price of $0.65 per share, that do not expire upon the closing of this offering.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If you invest in our common stock, your interest will be diluted to the extent of the difference between the amount per share paid by purchasers of shares of common stock in this initial public offering and the pro forma as adjusted net tangible book value per share of common stock immediately after this offering.</w:t>
      </w:r>
    </w:p>
    <w:p>
      <w:pPr>
        <w:spacing w:after="0" w:line="18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of December 31, 2015, our pro forma net tangible book value was approximately $41.7 million, or $0.42 per share of common stock. Our pro forma net tangible book value per share represents the amount of our total tangible assets reduced by the amount of our total liabilities and divided by the total number of shares of our common stock outstanding as of December 31, 2015, assuming (i) the automatic conversion of all outstanding shares of our convertible preferred stock as of December 31, 2015 into 80,645,051 shares of common stock as of immediately prior to the closing of this offering and</w:t>
      </w:r>
    </w:p>
    <w:p>
      <w:pPr>
        <w:spacing w:after="0" w:line="2" w:lineRule="exact"/>
        <w:rPr>
          <w:sz w:val="20"/>
          <w:szCs w:val="20"/>
          <w:color w:val="auto"/>
        </w:rPr>
      </w:pPr>
    </w:p>
    <w:p>
      <w:pPr>
        <w:ind w:right="540" w:firstLine="8"/>
        <w:spacing w:after="0" w:line="261"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conversion of the preferred stock warrants into common stock warrants and the related reclassification of the preferred stock warrant liability to additional paid-in capital.</w:t>
      </w:r>
    </w:p>
    <w:p>
      <w:pPr>
        <w:spacing w:after="0" w:line="184"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After giving effect to our sale in this offering of shares of our common stock at an assumed initial public offering price of $ per share, the midpoint of the price range set forth on the cover page of this prospectus, and after deducting estimated underwriting discounts and commissions and</w:t>
      </w:r>
    </w:p>
    <w:tbl>
      <w:tblPr>
        <w:tblLayout w:type="fixed"/>
        <w:tblInd w:w="0" w:type="dxa"/>
        <w:tblCellMar>
          <w:top w:w="0" w:type="dxa"/>
          <w:left w:w="0" w:type="dxa"/>
          <w:bottom w:w="0" w:type="dxa"/>
          <w:right w:w="0" w:type="dxa"/>
        </w:tblCellMar>
      </w:tblPr>
      <w:tr>
        <w:trPr>
          <w:trHeight w:val="202"/>
        </w:trPr>
        <w:tc>
          <w:tcPr>
            <w:tcW w:w="10700" w:type="dxa"/>
            <w:vAlign w:val="bottom"/>
            <w:gridSpan w:val="9"/>
          </w:tcPr>
          <w:p>
            <w:pPr>
              <w:spacing w:after="0" w:line="202" w:lineRule="exact"/>
              <w:rPr>
                <w:sz w:val="20"/>
                <w:szCs w:val="20"/>
                <w:color w:val="auto"/>
              </w:rPr>
            </w:pPr>
            <w:r>
              <w:rPr>
                <w:rFonts w:ascii="Arial" w:cs="Arial" w:eastAsia="Arial" w:hAnsi="Arial"/>
                <w:sz w:val="18"/>
                <w:szCs w:val="18"/>
                <w:color w:val="auto"/>
                <w:w w:val="94"/>
              </w:rPr>
              <w:t>estimated offering expenses payable by us, our pro forma net tangible book value as of December 31, 2015 would have been approximately $</w:t>
            </w:r>
          </w:p>
        </w:tc>
        <w:tc>
          <w:tcPr>
            <w:tcW w:w="20" w:type="dxa"/>
            <w:vAlign w:val="bottom"/>
          </w:tcPr>
          <w:p>
            <w:pPr>
              <w:spacing w:after="0"/>
              <w:rPr>
                <w:sz w:val="17"/>
                <w:szCs w:val="17"/>
                <w:color w:val="auto"/>
              </w:rPr>
            </w:pPr>
          </w:p>
        </w:tc>
        <w:tc>
          <w:tcPr>
            <w:tcW w:w="70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million,</w:t>
            </w:r>
          </w:p>
        </w:tc>
        <w:tc>
          <w:tcPr>
            <w:tcW w:w="0" w:type="dxa"/>
            <w:vAlign w:val="bottom"/>
          </w:tcPr>
          <w:p>
            <w:pPr>
              <w:spacing w:after="0"/>
              <w:rPr>
                <w:sz w:val="1"/>
                <w:szCs w:val="1"/>
                <w:color w:val="auto"/>
              </w:rPr>
            </w:pPr>
          </w:p>
        </w:tc>
      </w:tr>
      <w:tr>
        <w:trPr>
          <w:trHeight w:val="216"/>
        </w:trPr>
        <w:tc>
          <w:tcPr>
            <w:tcW w:w="340" w:type="dxa"/>
            <w:vAlign w:val="bottom"/>
            <w:gridSpan w:val="2"/>
          </w:tcPr>
          <w:p>
            <w:pPr>
              <w:spacing w:after="0"/>
              <w:rPr>
                <w:sz w:val="20"/>
                <w:szCs w:val="20"/>
                <w:color w:val="auto"/>
              </w:rPr>
            </w:pPr>
            <w:r>
              <w:rPr>
                <w:rFonts w:ascii="Arial" w:cs="Arial" w:eastAsia="Arial" w:hAnsi="Arial"/>
                <w:sz w:val="18"/>
                <w:szCs w:val="18"/>
                <w:color w:val="auto"/>
              </w:rPr>
              <w:t>or $</w:t>
            </w:r>
          </w:p>
        </w:tc>
        <w:tc>
          <w:tcPr>
            <w:tcW w:w="9140" w:type="dxa"/>
            <w:vAlign w:val="bottom"/>
            <w:gridSpan w:val="4"/>
          </w:tcPr>
          <w:p>
            <w:pPr>
              <w:ind w:left="540"/>
              <w:spacing w:after="0"/>
              <w:rPr>
                <w:sz w:val="20"/>
                <w:szCs w:val="20"/>
                <w:color w:val="auto"/>
              </w:rPr>
            </w:pPr>
            <w:r>
              <w:rPr>
                <w:rFonts w:ascii="Arial" w:cs="Arial" w:eastAsia="Arial" w:hAnsi="Arial"/>
                <w:sz w:val="18"/>
                <w:szCs w:val="18"/>
                <w:color w:val="auto"/>
                <w:w w:val="95"/>
              </w:rPr>
              <w:t>per share of our common stock. This represents an immediate increase in pro forma net tangible book value of $</w:t>
            </w:r>
          </w:p>
        </w:tc>
        <w:tc>
          <w:tcPr>
            <w:tcW w:w="1940" w:type="dxa"/>
            <w:vAlign w:val="bottom"/>
            <w:gridSpan w:val="6"/>
          </w:tcPr>
          <w:p>
            <w:pPr>
              <w:ind w:left="60"/>
              <w:spacing w:after="0"/>
              <w:rPr>
                <w:sz w:val="20"/>
                <w:szCs w:val="20"/>
                <w:color w:val="auto"/>
              </w:rPr>
            </w:pPr>
            <w:r>
              <w:rPr>
                <w:rFonts w:ascii="Arial" w:cs="Arial" w:eastAsia="Arial" w:hAnsi="Arial"/>
                <w:sz w:val="18"/>
                <w:szCs w:val="18"/>
                <w:color w:val="auto"/>
                <w:w w:val="96"/>
              </w:rPr>
              <w:t>per share to our existing</w:t>
            </w:r>
          </w:p>
        </w:tc>
        <w:tc>
          <w:tcPr>
            <w:tcW w:w="0" w:type="dxa"/>
            <w:vAlign w:val="bottom"/>
          </w:tcPr>
          <w:p>
            <w:pPr>
              <w:spacing w:after="0"/>
              <w:rPr>
                <w:sz w:val="1"/>
                <w:szCs w:val="1"/>
                <w:color w:val="auto"/>
              </w:rPr>
            </w:pPr>
          </w:p>
        </w:tc>
      </w:tr>
      <w:tr>
        <w:trPr>
          <w:trHeight w:val="230"/>
        </w:trPr>
        <w:tc>
          <w:tcPr>
            <w:tcW w:w="3740" w:type="dxa"/>
            <w:vAlign w:val="bottom"/>
            <w:gridSpan w:val="4"/>
          </w:tcPr>
          <w:p>
            <w:pPr>
              <w:spacing w:after="0"/>
              <w:rPr>
                <w:sz w:val="20"/>
                <w:szCs w:val="20"/>
                <w:color w:val="auto"/>
              </w:rPr>
            </w:pPr>
            <w:r>
              <w:rPr>
                <w:rFonts w:ascii="Arial" w:cs="Arial" w:eastAsia="Arial" w:hAnsi="Arial"/>
                <w:sz w:val="18"/>
                <w:szCs w:val="18"/>
                <w:color w:val="auto"/>
              </w:rPr>
              <w:t>stockholders and an immediate dilution of $</w:t>
            </w:r>
          </w:p>
        </w:tc>
        <w:tc>
          <w:tcPr>
            <w:tcW w:w="5740" w:type="dxa"/>
            <w:vAlign w:val="bottom"/>
            <w:gridSpan w:val="2"/>
          </w:tcPr>
          <w:p>
            <w:pPr>
              <w:ind w:left="20"/>
              <w:spacing w:after="0"/>
              <w:rPr>
                <w:sz w:val="20"/>
                <w:szCs w:val="20"/>
                <w:color w:val="auto"/>
              </w:rPr>
            </w:pPr>
            <w:r>
              <w:rPr>
                <w:rFonts w:ascii="Arial" w:cs="Arial" w:eastAsia="Arial" w:hAnsi="Arial"/>
                <w:sz w:val="18"/>
                <w:szCs w:val="18"/>
                <w:color w:val="auto"/>
              </w:rPr>
              <w:t>per share to investors purchasing shares in this offering, as follows:</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720" w:type="dxa"/>
            <w:vAlign w:val="bottom"/>
            <w:gridSpan w:val="3"/>
          </w:tcPr>
          <w:p>
            <w:pPr>
              <w:spacing w:after="0"/>
              <w:rPr>
                <w:sz w:val="21"/>
                <w:szCs w:val="21"/>
                <w:color w:val="auto"/>
              </w:rPr>
            </w:pPr>
          </w:p>
        </w:tc>
        <w:tc>
          <w:tcPr>
            <w:tcW w:w="272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72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70"/>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120" w:type="dxa"/>
            <w:vAlign w:val="bottom"/>
            <w:gridSpan w:val="3"/>
          </w:tcPr>
          <w:p>
            <w:pPr>
              <w:ind w:left="20"/>
              <w:spacing w:after="0"/>
              <w:rPr>
                <w:sz w:val="20"/>
                <w:szCs w:val="20"/>
                <w:color w:val="auto"/>
              </w:rPr>
            </w:pPr>
            <w:r>
              <w:rPr>
                <w:rFonts w:ascii="Arial" w:cs="Arial" w:eastAsia="Arial" w:hAnsi="Arial"/>
                <w:sz w:val="18"/>
                <w:szCs w:val="18"/>
                <w:color w:val="auto"/>
              </w:rPr>
              <w:t>Pro forma net tangible book value per share as of December 31, 2015</w:t>
            </w:r>
          </w:p>
        </w:tc>
        <w:tc>
          <w:tcPr>
            <w:tcW w:w="302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120" w:type="dxa"/>
            <w:vAlign w:val="bottom"/>
            <w:gridSpan w:val="3"/>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120" w:type="dxa"/>
            <w:vAlign w:val="bottom"/>
            <w:gridSpan w:val="3"/>
          </w:tcPr>
          <w:p>
            <w:pPr>
              <w:ind w:left="20"/>
              <w:spacing w:after="0"/>
              <w:rPr>
                <w:sz w:val="20"/>
                <w:szCs w:val="20"/>
                <w:color w:val="auto"/>
              </w:rPr>
            </w:pPr>
            <w:r>
              <w:rPr>
                <w:rFonts w:ascii="Arial" w:cs="Arial" w:eastAsia="Arial" w:hAnsi="Arial"/>
                <w:sz w:val="18"/>
                <w:szCs w:val="18"/>
                <w:color w:val="auto"/>
                <w:w w:val="90"/>
              </w:rPr>
              <w:t>Increase in pro forma net tangible book value per share attributable to new investors</w:t>
            </w:r>
          </w:p>
        </w:tc>
        <w:tc>
          <w:tcPr>
            <w:tcW w:w="3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3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4"/>
          </w:tcPr>
          <w:p>
            <w:pPr>
              <w:spacing w:after="0"/>
              <w:rPr>
                <w:sz w:val="20"/>
                <w:szCs w:val="20"/>
                <w:color w:val="auto"/>
              </w:rPr>
            </w:pPr>
            <w:r>
              <w:rPr>
                <w:rFonts w:ascii="Arial" w:cs="Arial" w:eastAsia="Arial" w:hAnsi="Arial"/>
                <w:sz w:val="18"/>
                <w:szCs w:val="18"/>
                <w:color w:val="auto"/>
              </w:rPr>
              <w:t>Dilution per share to investors in this offering</w:t>
            </w:r>
          </w:p>
        </w:tc>
        <w:tc>
          <w:tcPr>
            <w:tcW w:w="272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7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4260" w:type="dxa"/>
            <w:vAlign w:val="bottom"/>
            <w:gridSpan w:val="5"/>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20" w:type="dxa"/>
            <w:vAlign w:val="bottom"/>
            <w:gridSpan w:val="3"/>
          </w:tcPr>
          <w:p>
            <w:pPr>
              <w:ind w:left="120"/>
              <w:spacing w:after="0"/>
              <w:rPr>
                <w:sz w:val="20"/>
                <w:szCs w:val="20"/>
                <w:color w:val="auto"/>
              </w:rPr>
            </w:pPr>
            <w:r>
              <w:rPr>
                <w:rFonts w:ascii="Arial" w:cs="Arial" w:eastAsia="Arial" w:hAnsi="Arial"/>
                <w:sz w:val="18"/>
                <w:szCs w:val="18"/>
                <w:color w:val="auto"/>
              </w:rPr>
              <w:t>A $1.00 increase (decrease) in the assumed initial public offering price of $</w:t>
            </w:r>
          </w:p>
        </w:tc>
        <w:tc>
          <w:tcPr>
            <w:tcW w:w="4960" w:type="dxa"/>
            <w:vAlign w:val="bottom"/>
            <w:gridSpan w:val="7"/>
          </w:tcPr>
          <w:p>
            <w:pPr>
              <w:ind w:left="20"/>
              <w:spacing w:after="0"/>
              <w:rPr>
                <w:sz w:val="20"/>
                <w:szCs w:val="20"/>
                <w:color w:val="auto"/>
              </w:rPr>
            </w:pPr>
            <w:r>
              <w:rPr>
                <w:rFonts w:ascii="Arial" w:cs="Arial" w:eastAsia="Arial" w:hAnsi="Arial"/>
                <w:sz w:val="18"/>
                <w:szCs w:val="18"/>
                <w:color w:val="auto"/>
                <w:w w:val="89"/>
              </w:rPr>
              <w:t>per share, the midpoint of the price range set forth on the cover page</w:t>
            </w:r>
          </w:p>
        </w:tc>
        <w:tc>
          <w:tcPr>
            <w:tcW w:w="0" w:type="dxa"/>
            <w:vAlign w:val="bottom"/>
          </w:tcPr>
          <w:p>
            <w:pPr>
              <w:spacing w:after="0"/>
              <w:rPr>
                <w:sz w:val="1"/>
                <w:szCs w:val="1"/>
                <w:color w:val="auto"/>
              </w:rPr>
            </w:pPr>
          </w:p>
        </w:tc>
      </w:tr>
      <w:tr>
        <w:trPr>
          <w:trHeight w:val="216"/>
        </w:trPr>
        <w:tc>
          <w:tcPr>
            <w:tcW w:w="9480" w:type="dxa"/>
            <w:vAlign w:val="bottom"/>
            <w:gridSpan w:val="6"/>
          </w:tcPr>
          <w:p>
            <w:pPr>
              <w:spacing w:after="0"/>
              <w:rPr>
                <w:sz w:val="20"/>
                <w:szCs w:val="20"/>
                <w:color w:val="auto"/>
              </w:rPr>
            </w:pPr>
            <w:r>
              <w:rPr>
                <w:rFonts w:ascii="Arial" w:cs="Arial" w:eastAsia="Arial" w:hAnsi="Arial"/>
                <w:sz w:val="18"/>
                <w:szCs w:val="18"/>
                <w:color w:val="auto"/>
                <w:w w:val="91"/>
              </w:rPr>
              <w:t>of this prospectus, would increase (decrease) our pro forma net tangible book value, as adjusted to give effect to this offering, by $</w:t>
            </w:r>
          </w:p>
        </w:tc>
        <w:tc>
          <w:tcPr>
            <w:tcW w:w="360" w:type="dxa"/>
            <w:vAlign w:val="bottom"/>
          </w:tcPr>
          <w:p>
            <w:pPr>
              <w:spacing w:after="0"/>
              <w:rPr>
                <w:sz w:val="18"/>
                <w:szCs w:val="18"/>
                <w:color w:val="auto"/>
              </w:rPr>
            </w:pPr>
          </w:p>
        </w:tc>
        <w:tc>
          <w:tcPr>
            <w:tcW w:w="1580" w:type="dxa"/>
            <w:vAlign w:val="bottom"/>
            <w:gridSpan w:val="5"/>
          </w:tcPr>
          <w:p>
            <w:pPr>
              <w:ind w:left="140"/>
              <w:spacing w:after="0"/>
              <w:rPr>
                <w:sz w:val="20"/>
                <w:szCs w:val="20"/>
                <w:color w:val="auto"/>
              </w:rPr>
            </w:pPr>
            <w:r>
              <w:rPr>
                <w:rFonts w:ascii="Arial" w:cs="Arial" w:eastAsia="Arial" w:hAnsi="Arial"/>
                <w:sz w:val="18"/>
                <w:szCs w:val="18"/>
                <w:color w:val="auto"/>
              </w:rPr>
              <w:t>per share, the</w:t>
            </w:r>
          </w:p>
        </w:tc>
        <w:tc>
          <w:tcPr>
            <w:tcW w:w="0" w:type="dxa"/>
            <w:vAlign w:val="bottom"/>
          </w:tcPr>
          <w:p>
            <w:pPr>
              <w:spacing w:after="0"/>
              <w:rPr>
                <w:sz w:val="1"/>
                <w:szCs w:val="1"/>
                <w:color w:val="auto"/>
              </w:rPr>
            </w:pPr>
          </w:p>
        </w:tc>
      </w:tr>
      <w:tr>
        <w:trPr>
          <w:trHeight w:val="216"/>
        </w:trPr>
        <w:tc>
          <w:tcPr>
            <w:tcW w:w="3740" w:type="dxa"/>
            <w:vAlign w:val="bottom"/>
            <w:gridSpan w:val="4"/>
          </w:tcPr>
          <w:p>
            <w:pPr>
              <w:spacing w:after="0"/>
              <w:rPr>
                <w:sz w:val="20"/>
                <w:szCs w:val="20"/>
                <w:color w:val="auto"/>
              </w:rPr>
            </w:pPr>
            <w:r>
              <w:rPr>
                <w:rFonts w:ascii="Arial" w:cs="Arial" w:eastAsia="Arial" w:hAnsi="Arial"/>
                <w:sz w:val="18"/>
                <w:szCs w:val="18"/>
                <w:color w:val="auto"/>
                <w:w w:val="90"/>
              </w:rPr>
              <w:t>increase (decrease) attributable to this offering by $</w:t>
            </w:r>
          </w:p>
        </w:tc>
        <w:tc>
          <w:tcPr>
            <w:tcW w:w="7680" w:type="dxa"/>
            <w:vAlign w:val="bottom"/>
            <w:gridSpan w:val="8"/>
          </w:tcPr>
          <w:p>
            <w:pPr>
              <w:ind w:left="560"/>
              <w:spacing w:after="0"/>
              <w:rPr>
                <w:sz w:val="20"/>
                <w:szCs w:val="20"/>
                <w:color w:val="auto"/>
              </w:rPr>
            </w:pPr>
            <w:r>
              <w:rPr>
                <w:rFonts w:ascii="Arial" w:cs="Arial" w:eastAsia="Arial" w:hAnsi="Arial"/>
                <w:sz w:val="18"/>
                <w:szCs w:val="18"/>
                <w:color w:val="auto"/>
                <w:w w:val="96"/>
              </w:rPr>
              <w:t>per share, and the dilution in pro forma as adjusted net tangible book value per share to new</w:t>
            </w:r>
          </w:p>
        </w:tc>
        <w:tc>
          <w:tcPr>
            <w:tcW w:w="0" w:type="dxa"/>
            <w:vAlign w:val="bottom"/>
          </w:tcPr>
          <w:p>
            <w:pPr>
              <w:spacing w:after="0"/>
              <w:rPr>
                <w:sz w:val="1"/>
                <w:szCs w:val="1"/>
                <w:color w:val="auto"/>
              </w:rPr>
            </w:pPr>
          </w:p>
        </w:tc>
      </w:tr>
      <w:tr>
        <w:trPr>
          <w:trHeight w:val="230"/>
        </w:trPr>
        <w:tc>
          <w:tcPr>
            <w:tcW w:w="2420" w:type="dxa"/>
            <w:vAlign w:val="bottom"/>
            <w:gridSpan w:val="3"/>
          </w:tcPr>
          <w:p>
            <w:pPr>
              <w:spacing w:after="0"/>
              <w:rPr>
                <w:sz w:val="20"/>
                <w:szCs w:val="20"/>
                <w:color w:val="auto"/>
              </w:rPr>
            </w:pPr>
            <w:r>
              <w:rPr>
                <w:rFonts w:ascii="Arial" w:cs="Arial" w:eastAsia="Arial" w:hAnsi="Arial"/>
                <w:sz w:val="18"/>
                <w:szCs w:val="18"/>
                <w:color w:val="auto"/>
              </w:rPr>
              <w:t>investors in this offering by $</w:t>
            </w: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1"/>
              </w:rPr>
              <w:t>per share, assuming the number of shares offered by us, as set forth on the cover page of this prospectus, remains the</w:t>
            </w:r>
          </w:p>
        </w:tc>
        <w:tc>
          <w:tcPr>
            <w:tcW w:w="0" w:type="dxa"/>
            <w:vAlign w:val="bottom"/>
          </w:tcPr>
          <w:p>
            <w:pPr>
              <w:spacing w:after="0"/>
              <w:rPr>
                <w:sz w:val="1"/>
                <w:szCs w:val="1"/>
                <w:color w:val="auto"/>
              </w:rPr>
            </w:pPr>
          </w:p>
        </w:tc>
      </w:tr>
    </w:tbl>
    <w:p>
      <w:pPr>
        <w:ind w:right="100"/>
        <w:spacing w:after="0" w:line="562" w:lineRule="auto"/>
        <w:rPr>
          <w:sz w:val="20"/>
          <w:szCs w:val="20"/>
          <w:color w:val="auto"/>
        </w:rPr>
      </w:pPr>
      <w:r>
        <w:rPr>
          <w:rFonts w:ascii="Arial" w:cs="Arial" w:eastAsia="Arial" w:hAnsi="Arial"/>
          <w:sz w:val="16"/>
          <w:szCs w:val="16"/>
          <w:color w:val="auto"/>
        </w:rPr>
        <w:t>same, and after deducting estimated underwriting discounts and commissions and estimated offering expenses payable by us. Similarly, each increase of one million shares in the number of shares offered by us in this offering would increase our pro forma as adjusted net tangible book value per share, and decrease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dilution per share to investors in this offering, by $ per share. Each decrease of one million shares in the number of shares offered by us would decrease our pro forma as adjusted net tangible book value per share, and increase the dilution per share to investors in this offering, by $ per share.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underwriters exercise their option in full to purchase additional shares, the pro forma net tangible book value per share of our common stock after</w:t>
      </w:r>
    </w:p>
    <w:p>
      <w:pPr>
        <w:spacing w:after="0" w:line="46"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giving effect to this offering would be $ per share, and the dilution in net tangible book value per share to investors in this offering would be $ per share.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on a pro forma as adjusted basis as of December 31, 2015 after giving effect to (i) the automatic conversion of all</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outstanding shares of our convertible preferred stock into 80,645,051 shares of common stock as of immediately prior to the closing of this offering and (ii) the issuance of shares of common stock in this offering at an assumed initial public offering price of $ per share,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midpoint of the price range set forth on the cover page of this prospectus, the difference between existing stockholders and new investors with respect to the number of shares of common stock purchased from us, the total consideration paid to us, and the average price per share paid, before deducting underwriting discounts and commissions and estimated offering expenses payable by us: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1"/>
              </w:rPr>
              <w:t>Shares Purchased</w:t>
            </w:r>
          </w:p>
        </w:tc>
        <w:tc>
          <w:tcPr>
            <w:tcW w:w="3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w w:val="97"/>
              </w:rPr>
              <w:t>Total Consideration</w:t>
            </w:r>
          </w:p>
        </w:tc>
        <w:tc>
          <w:tcPr>
            <w:tcW w:w="2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6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0" w:type="dxa"/>
            <w:vAlign w:val="bottom"/>
            <w:tcBorders>
              <w:bottom w:val="single" w:sz="8" w:color="auto"/>
            </w:tcBorders>
            <w:gridSpan w:val="3"/>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6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500" w:type="dxa"/>
            <w:vAlign w:val="bottom"/>
            <w:gridSpan w:val="4"/>
            <w:vMerge w:val="restart"/>
          </w:tcPr>
          <w:p>
            <w:pPr>
              <w:jc w:val="right"/>
              <w:ind w:right="210"/>
              <w:spacing w:after="0"/>
              <w:rPr>
                <w:sz w:val="20"/>
                <w:szCs w:val="20"/>
                <w:color w:val="auto"/>
              </w:rPr>
            </w:pPr>
            <w:r>
              <w:rPr>
                <w:rFonts w:ascii="Arial" w:cs="Arial" w:eastAsia="Arial" w:hAnsi="Arial"/>
                <w:sz w:val="14"/>
                <w:szCs w:val="14"/>
                <w:b w:val="1"/>
                <w:bCs w:val="1"/>
                <w:color w:val="auto"/>
              </w:rPr>
              <w:t>Number   Percent</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4"/>
                <w:szCs w:val="4"/>
                <w:color w:val="auto"/>
              </w:rPr>
            </w:pPr>
          </w:p>
        </w:tc>
        <w:tc>
          <w:tcPr>
            <w:tcW w:w="76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New public investors</w:t>
            </w:r>
          </w:p>
        </w:tc>
        <w:tc>
          <w:tcPr>
            <w:tcW w:w="8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46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80" w:type="dxa"/>
            <w:vAlign w:val="bottom"/>
          </w:tcPr>
          <w:p>
            <w:pPr>
              <w:ind w:left="460"/>
              <w:spacing w:after="0"/>
              <w:rPr>
                <w:sz w:val="20"/>
                <w:szCs w:val="20"/>
                <w:color w:val="auto"/>
              </w:rPr>
            </w:pPr>
            <w:r>
              <w:rPr>
                <w:rFonts w:ascii="Arial" w:cs="Arial" w:eastAsia="Arial" w:hAnsi="Arial"/>
                <w:sz w:val="18"/>
                <w:szCs w:val="18"/>
                <w:color w:val="auto"/>
                <w:w w:val="95"/>
              </w:rPr>
              <w:t>A $1.00 increase (decrease) in the assumed initial public offering price of $</w:t>
            </w:r>
          </w:p>
        </w:tc>
        <w:tc>
          <w:tcPr>
            <w:tcW w:w="5240" w:type="dxa"/>
            <w:vAlign w:val="bottom"/>
            <w:gridSpan w:val="14"/>
          </w:tcPr>
          <w:p>
            <w:pPr>
              <w:ind w:left="300"/>
              <w:spacing w:after="0"/>
              <w:rPr>
                <w:sz w:val="20"/>
                <w:szCs w:val="20"/>
                <w:color w:val="auto"/>
              </w:rPr>
            </w:pPr>
            <w:r>
              <w:rPr>
                <w:rFonts w:ascii="Arial" w:cs="Arial" w:eastAsia="Arial" w:hAnsi="Arial"/>
                <w:sz w:val="18"/>
                <w:szCs w:val="18"/>
                <w:color w:val="auto"/>
                <w:w w:val="89"/>
              </w:rPr>
              <w:t>per share, the midpoint of the price range set forth on the cover page</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of this prospectus, would increase (decrease) total consideration paid by new investors and total consideration paid by all stockholders by approximately</w:t>
      </w:r>
    </w:p>
    <w:p>
      <w:pPr>
        <w:spacing w:after="0" w:line="32" w:lineRule="exact"/>
        <w:rPr>
          <w:sz w:val="20"/>
          <w:szCs w:val="20"/>
          <w:color w:val="auto"/>
        </w:rPr>
      </w:pPr>
    </w:p>
    <w:p>
      <w:pPr>
        <w:ind w:right="260" w:firstLine="8"/>
        <w:spacing w:after="0" w:line="261" w:lineRule="auto"/>
        <w:tabs>
          <w:tab w:leader="none" w:pos="6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million, assuming that the number of shares offered by us, as set forth on the cover page of this prospectus, remains the same, and after deducting estimated underwriting discounts and commissions and estimated offering expenses payable by 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extent that any outstanding options are exercised, investors will experience further dilution.</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Except as otherwise indicated, the above discussion and tables assume no exercise of the underwriters’ option to purchase additional shares. If the underwriters exercise their option to purchase additional shares in full, our existing stockholders would own % and our new investors would own % of the total number of shares of our common stock outstanding upon the closing of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99,052,105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excludes:</w:t>
      </w:r>
    </w:p>
    <w:p>
      <w:pPr>
        <w:spacing w:after="0" w:line="116" w:lineRule="exact"/>
        <w:rPr>
          <w:sz w:val="20"/>
          <w:szCs w:val="20"/>
          <w:color w:val="auto"/>
        </w:rPr>
      </w:pPr>
    </w:p>
    <w:p>
      <w:pPr>
        <w:ind w:left="900" w:right="620" w:hanging="325"/>
        <w:spacing w:after="0" w:line="277"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14,351,840 shares of common stock issuable upon the exercise of options outstanding as of December 31, 2015, with a weighted-average exercise price of $0.57 per share;</w:t>
      </w:r>
    </w:p>
    <w:p>
      <w:pPr>
        <w:spacing w:after="0" w:line="75" w:lineRule="exact"/>
        <w:rPr>
          <w:rFonts w:ascii="Arial" w:cs="Arial" w:eastAsia="Arial" w:hAnsi="Arial"/>
          <w:sz w:val="18"/>
          <w:szCs w:val="18"/>
          <w:color w:val="auto"/>
        </w:rPr>
      </w:pPr>
    </w:p>
    <w:p>
      <w:pPr>
        <w:ind w:left="1480" w:hanging="905"/>
        <w:spacing w:after="0"/>
        <w:tabs>
          <w:tab w:leader="none" w:pos="14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shares of common stock reserved for future issuance under our stock-based compensation plans, consisting of (a) 2,302,739 shares of</w:t>
      </w:r>
    </w:p>
    <w:p>
      <w:pPr>
        <w:spacing w:after="0" w:line="46" w:lineRule="exact"/>
        <w:rPr>
          <w:sz w:val="20"/>
          <w:szCs w:val="20"/>
          <w:color w:val="auto"/>
        </w:rPr>
      </w:pPr>
    </w:p>
    <w:p>
      <w:pPr>
        <w:ind w:left="900" w:right="160"/>
        <w:spacing w:after="0" w:line="281" w:lineRule="auto"/>
        <w:rPr>
          <w:sz w:val="20"/>
          <w:szCs w:val="20"/>
          <w:color w:val="auto"/>
        </w:rPr>
      </w:pPr>
      <w:r>
        <w:rPr>
          <w:rFonts w:ascii="Arial" w:cs="Arial" w:eastAsia="Arial" w:hAnsi="Arial"/>
          <w:sz w:val="16"/>
          <w:szCs w:val="16"/>
          <w:color w:val="auto"/>
        </w:rPr>
        <w:t>common stock reserved for future issuance under our 2006 Equity Incentive Plan as of December 31, 2015, (b) shares of common stock reserved for future issuance under our 2016 Equity Incentive Plan, which will become effective on the date immediately prior to the date of this</w:t>
      </w:r>
    </w:p>
    <w:p>
      <w:pPr>
        <w:spacing w:after="0" w:line="1" w:lineRule="exact"/>
        <w:rPr>
          <w:sz w:val="20"/>
          <w:szCs w:val="20"/>
          <w:color w:val="auto"/>
        </w:rPr>
      </w:pPr>
    </w:p>
    <w:p>
      <w:pPr>
        <w:ind w:left="900"/>
        <w:spacing w:after="0" w:line="252" w:lineRule="auto"/>
        <w:rPr>
          <w:sz w:val="20"/>
          <w:szCs w:val="20"/>
          <w:color w:val="auto"/>
        </w:rPr>
      </w:pPr>
      <w:r>
        <w:rPr>
          <w:rFonts w:ascii="Arial" w:cs="Arial" w:eastAsia="Arial" w:hAnsi="Arial"/>
          <w:sz w:val="18"/>
          <w:szCs w:val="18"/>
          <w:color w:val="auto"/>
        </w:rPr>
        <w:t>prospectus and (c) shares of common stock reserved for future issuance under our 2016 Employee Stock Purchase Plan, which will become effective on the date of this prospectus. Upon the closing of this offering, any remaining shares available for issuance under our 2006 Equity Incentive Plan will be added to the shares reserved under our 2016 Equity Incentive Plan and we will cease granting awards under our 2006 Equity Incentive Plan. Our 2016 Equity Incentive Plan and 2016 Employee Stock Purchase Plan also provide for automatic annual increases in the number of shares reserved under the plans each year, as more fully described in “Executive Compensation—Employee Benefit and Stock Plans”;</w:t>
      </w:r>
    </w:p>
    <w:p>
      <w:pPr>
        <w:spacing w:after="0" w:line="100" w:lineRule="exact"/>
        <w:rPr>
          <w:sz w:val="20"/>
          <w:szCs w:val="20"/>
          <w:color w:val="auto"/>
        </w:rPr>
      </w:pPr>
    </w:p>
    <w:p>
      <w:pPr>
        <w:ind w:left="900" w:right="28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822,386 shares of our common stock issuable upon exercise of warrants for shares of common stock with an exercise price of $0.65 per share, that do not expire upon the closing of this offering; and</w:t>
      </w:r>
    </w:p>
    <w:p>
      <w:pPr>
        <w:spacing w:after="0" w:line="75" w:lineRule="exact"/>
        <w:rPr>
          <w:rFonts w:ascii="Arial" w:cs="Arial" w:eastAsia="Arial" w:hAnsi="Arial"/>
          <w:sz w:val="18"/>
          <w:szCs w:val="18"/>
          <w:color w:val="auto"/>
        </w:rPr>
      </w:pPr>
    </w:p>
    <w:p>
      <w:pPr>
        <w:ind w:left="900" w:right="320" w:hanging="325"/>
        <w:spacing w:after="0" w:line="342" w:lineRule="auto"/>
        <w:tabs>
          <w:tab w:leader="none" w:pos="9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2,063,484 shares of common stock issuable upon the exercise of warrants to purchase shares of Series C convertible preferred stock that were outstanding as of December 31, 2015, with an exercise price of $0.65 per share, that do not expire upon the closing of this offering.</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selected statements of operations data for the years ended December 31, 2014 and 2015 and the balance sheet data as of December 31, 2014 and 2015 are derived from our audited financial statements included elsewhere in this prospectus. The summary statements of operations data presented below for the year ended December 31, 2013 are derived from our audited financial statements not included in this prospectus. The selected consolidated financial data below should be read in conjunction with the section entitled “Management’s Discussion and Analysis of Financial Condition and Results of Operations” and our financial statements and related notes included elsewhere in this prospectus. Our historical results are not necessarily indicative of the results that may be expected in any future period. The selected financial data in this section are not intended to replace the financial statements and are qualified in their entirety by the financial statements and related notes included elsewhere in this prospectus.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Pr>
          <w:p>
            <w:pPr>
              <w:spacing w:after="0"/>
              <w:rPr>
                <w:sz w:val="14"/>
                <w:szCs w:val="14"/>
                <w:color w:val="auto"/>
              </w:rPr>
            </w:pPr>
          </w:p>
        </w:tc>
        <w:tc>
          <w:tcPr>
            <w:tcW w:w="244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880" w:type="dxa"/>
            <w:vAlign w:val="bottom"/>
            <w:gridSpan w:val="4"/>
            <w:vMerge w:val="continue"/>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8"/>
        </w:trPr>
        <w:tc>
          <w:tcPr>
            <w:tcW w:w="8880" w:type="dxa"/>
            <w:vAlign w:val="bottom"/>
            <w:gridSpan w:val="4"/>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15,838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17,571</w:t>
            </w:r>
          </w:p>
        </w:tc>
        <w:tc>
          <w:tcPr>
            <w:tcW w:w="0" w:type="dxa"/>
            <w:vAlign w:val="bottom"/>
          </w:tcPr>
          <w:p>
            <w:pPr>
              <w:spacing w:after="0"/>
              <w:rPr>
                <w:sz w:val="1"/>
                <w:szCs w:val="1"/>
                <w:color w:val="auto"/>
              </w:rPr>
            </w:pPr>
          </w:p>
        </w:tc>
      </w:tr>
      <w:tr>
        <w:trPr>
          <w:trHeight w:val="223"/>
        </w:trPr>
        <w:tc>
          <w:tcPr>
            <w:tcW w:w="888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gridSpan w:val="3"/>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10,770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10,968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20,893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gridSpan w:val="2"/>
          </w:tcPr>
          <w:p>
            <w:pPr>
              <w:ind w:left="56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(5,287)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tcPr>
          <w:p>
            <w:pPr>
              <w:ind w:left="16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gridSpan w:val="2"/>
          </w:tcPr>
          <w:p>
            <w:pPr>
              <w:ind w:left="56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540" w:type="dxa"/>
            <w:vAlign w:val="bottom"/>
            <w:gridSpan w:val="2"/>
          </w:tcPr>
          <w:p>
            <w:pPr>
              <w:ind w:left="20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(5,545)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0"/>
        </w:trPr>
        <w:tc>
          <w:tcPr>
            <w:tcW w:w="8880" w:type="dxa"/>
            <w:vAlign w:val="bottom"/>
            <w:gridSpan w:val="4"/>
            <w:vMerge w:val="restart"/>
          </w:tcPr>
          <w:p>
            <w:pPr>
              <w:spacing w:after="0"/>
              <w:rPr>
                <w:sz w:val="20"/>
                <w:szCs w:val="20"/>
                <w:color w:val="auto"/>
              </w:rPr>
            </w:pPr>
            <w:r>
              <w:rPr>
                <w:rFonts w:ascii="Arial" w:cs="Arial" w:eastAsia="Arial" w:hAnsi="Arial"/>
                <w:sz w:val="18"/>
                <w:szCs w:val="18"/>
                <w:color w:val="auto"/>
              </w:rPr>
              <w:t>Net income (loss) per common share:</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8880" w:type="dxa"/>
            <w:vAlign w:val="bottom"/>
            <w:gridSpan w:val="4"/>
            <w:vMerge w:val="restart"/>
          </w:tcPr>
          <w:p>
            <w:pPr>
              <w:spacing w:after="0"/>
              <w:rPr>
                <w:sz w:val="20"/>
                <w:szCs w:val="20"/>
                <w:color w:val="auto"/>
              </w:rPr>
            </w:pPr>
            <w:r>
              <w:rPr>
                <w:rFonts w:ascii="Arial" w:cs="Arial" w:eastAsia="Arial" w:hAnsi="Arial"/>
                <w:sz w:val="18"/>
                <w:szCs w:val="18"/>
                <w:color w:val="auto"/>
              </w:rPr>
              <w:t>Weighted-average number of shares outstanding:</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17,368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17,857</w:t>
            </w:r>
          </w:p>
        </w:tc>
        <w:tc>
          <w:tcPr>
            <w:tcW w:w="0" w:type="dxa"/>
            <w:vAlign w:val="bottom"/>
          </w:tcPr>
          <w:p>
            <w:pPr>
              <w:spacing w:after="0"/>
              <w:rPr>
                <w:sz w:val="1"/>
                <w:szCs w:val="1"/>
                <w:color w:val="auto"/>
              </w:rPr>
            </w:pPr>
          </w:p>
        </w:tc>
      </w:tr>
      <w:tr>
        <w:trPr>
          <w:trHeight w:val="20"/>
        </w:trPr>
        <w:tc>
          <w:tcPr>
            <w:tcW w:w="8880" w:type="dxa"/>
            <w:vAlign w:val="bottom"/>
            <w:gridSpan w:val="4"/>
            <w:vMerge w:val="restart"/>
          </w:tcPr>
          <w:p>
            <w:pPr>
              <w:spacing w:after="0"/>
              <w:rPr>
                <w:sz w:val="20"/>
                <w:szCs w:val="20"/>
                <w:color w:val="auto"/>
              </w:rPr>
            </w:pPr>
            <w:r>
              <w:rPr>
                <w:rFonts w:ascii="Arial" w:cs="Arial" w:eastAsia="Arial" w:hAnsi="Arial"/>
                <w:sz w:val="18"/>
                <w:szCs w:val="18"/>
                <w:color w:val="auto"/>
              </w:rPr>
              <w:t>Pro forma net income (loss) per common share (unaudited):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8880" w:type="dxa"/>
            <w:vAlign w:val="bottom"/>
            <w:gridSpan w:val="4"/>
            <w:vMerge w:val="restart"/>
          </w:tcPr>
          <w:p>
            <w:pPr>
              <w:spacing w:after="0"/>
              <w:rPr>
                <w:sz w:val="20"/>
                <w:szCs w:val="20"/>
                <w:color w:val="auto"/>
              </w:rPr>
            </w:pPr>
            <w:r>
              <w:rPr>
                <w:rFonts w:ascii="Arial" w:cs="Arial" w:eastAsia="Arial" w:hAnsi="Arial"/>
                <w:sz w:val="18"/>
                <w:szCs w:val="18"/>
                <w:color w:val="auto"/>
              </w:rPr>
              <w:t>Pro forma weighted-average number of shares outstanding (unaudited):</w:t>
            </w:r>
            <w:r>
              <w:rPr>
                <w:rFonts w:ascii="Arial" w:cs="Arial" w:eastAsia="Arial" w:hAnsi="Arial"/>
                <w:sz w:val="15"/>
                <w:szCs w:val="15"/>
                <w:color w:val="auto"/>
              </w:rPr>
              <w:t>(1)</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77,926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7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900" w:right="100" w:hanging="446"/>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See Note 2 to our annual consolidated financial statements for an explanation of the method used to calculate basic and diluted net income (loss) per common share, unaudited pro forma basic and diluted net income (loss) per common share and the weighted-average number of shares used in the computation of the per share amounts.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jc w:val="right"/>
              <w:ind w:right="920"/>
              <w:spacing w:after="0"/>
              <w:rPr>
                <w:sz w:val="20"/>
                <w:szCs w:val="20"/>
                <w:color w:val="auto"/>
              </w:rPr>
            </w:pPr>
            <w:r>
              <w:rPr>
                <w:rFonts w:ascii="Arial" w:cs="Arial" w:eastAsia="Arial" w:hAnsi="Arial"/>
                <w:sz w:val="14"/>
                <w:szCs w:val="14"/>
                <w:b w:val="1"/>
                <w:bCs w:val="1"/>
                <w:color w:val="auto"/>
                <w:w w:val="97"/>
              </w:rPr>
              <w:t>As of</w:t>
            </w:r>
          </w:p>
        </w:tc>
        <w:tc>
          <w:tcPr>
            <w:tcW w:w="0" w:type="dxa"/>
            <w:vAlign w:val="bottom"/>
          </w:tcPr>
          <w:p>
            <w:pPr>
              <w:spacing w:after="0"/>
              <w:rPr>
                <w:sz w:val="1"/>
                <w:szCs w:val="1"/>
                <w:color w:val="auto"/>
              </w:rPr>
            </w:pPr>
          </w:p>
        </w:tc>
      </w:tr>
      <w:tr>
        <w:trPr>
          <w:trHeight w:val="17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580" w:type="dxa"/>
            <w:vAlign w:val="bottom"/>
          </w:tcPr>
          <w:p>
            <w:pPr>
              <w:spacing w:after="0"/>
              <w:rPr>
                <w:sz w:val="14"/>
                <w:szCs w:val="14"/>
                <w:color w:val="auto"/>
              </w:rPr>
            </w:pPr>
          </w:p>
        </w:tc>
        <w:tc>
          <w:tcPr>
            <w:tcW w:w="20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880" w:type="dxa"/>
            <w:vAlign w:val="bottom"/>
            <w:gridSpan w:val="2"/>
            <w:vMerge w:val="continue"/>
          </w:tcPr>
          <w:p>
            <w:pPr>
              <w:spacing w:after="0"/>
              <w:rPr>
                <w:sz w:val="12"/>
                <w:szCs w:val="12"/>
                <w:color w:val="auto"/>
              </w:rPr>
            </w:pPr>
          </w:p>
        </w:tc>
        <w:tc>
          <w:tcPr>
            <w:tcW w:w="4580" w:type="dxa"/>
            <w:vAlign w:val="bottom"/>
          </w:tcPr>
          <w:p>
            <w:pPr>
              <w:spacing w:after="0"/>
              <w:rPr>
                <w:sz w:val="12"/>
                <w:szCs w:val="12"/>
                <w:color w:val="auto"/>
              </w:rPr>
            </w:pPr>
          </w:p>
        </w:tc>
        <w:tc>
          <w:tcPr>
            <w:tcW w:w="660" w:type="dxa"/>
            <w:vAlign w:val="bottom"/>
            <w:tcBorders>
              <w:top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8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4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340" w:type="dxa"/>
            <w:vAlign w:val="bottom"/>
            <w:gridSpan w:val="3"/>
          </w:tcPr>
          <w:p>
            <w:pPr>
              <w:jc w:val="right"/>
              <w:ind w:right="100"/>
              <w:spacing w:after="0"/>
              <w:rPr>
                <w:sz w:val="20"/>
                <w:szCs w:val="20"/>
                <w:color w:val="auto"/>
              </w:rPr>
            </w:pPr>
            <w:r>
              <w:rPr>
                <w:rFonts w:ascii="Arial" w:cs="Arial" w:eastAsia="Arial" w:hAnsi="Arial"/>
                <w:sz w:val="18"/>
                <w:szCs w:val="18"/>
                <w:color w:val="auto"/>
              </w:rPr>
              <w:t>$ 22,188</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$ 51,684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25,065</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Notes payable, noncurrent portion</w:t>
            </w:r>
          </w:p>
        </w:tc>
        <w:tc>
          <w:tcPr>
            <w:tcW w:w="5340" w:type="dxa"/>
            <w:vAlign w:val="bottom"/>
            <w:gridSpan w:val="3"/>
          </w:tcPr>
          <w:p>
            <w:pPr>
              <w:jc w:val="right"/>
              <w:ind w:right="100"/>
              <w:spacing w:after="0"/>
              <w:rPr>
                <w:sz w:val="20"/>
                <w:szCs w:val="20"/>
                <w:color w:val="auto"/>
              </w:rPr>
            </w:pPr>
            <w:r>
              <w:rPr>
                <w:rFonts w:ascii="Arial" w:cs="Arial" w:eastAsia="Arial" w:hAnsi="Arial"/>
                <w:sz w:val="18"/>
                <w:szCs w:val="18"/>
                <w:color w:val="auto"/>
              </w:rPr>
              <w:t>4,793</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5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5340" w:type="dxa"/>
            <w:vAlign w:val="bottom"/>
            <w:gridSpan w:val="3"/>
          </w:tcPr>
          <w:p>
            <w:pPr>
              <w:jc w:val="right"/>
              <w:ind w:right="100"/>
              <w:spacing w:after="0"/>
              <w:rPr>
                <w:sz w:val="20"/>
                <w:szCs w:val="20"/>
                <w:color w:val="auto"/>
              </w:rPr>
            </w:pPr>
            <w:r>
              <w:rPr>
                <w:rFonts w:ascii="Arial" w:cs="Arial" w:eastAsia="Arial" w:hAnsi="Arial"/>
                <w:sz w:val="18"/>
                <w:szCs w:val="18"/>
                <w:color w:val="auto"/>
              </w:rPr>
              <w:t>36,828</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77,516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5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(30,835)</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(35,179)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580" w:type="dxa"/>
            <w:vAlign w:val="bottom"/>
          </w:tcPr>
          <w:p>
            <w:pPr>
              <w:jc w:val="right"/>
              <w:ind w:right="3030"/>
              <w:spacing w:after="0"/>
              <w:rPr>
                <w:sz w:val="20"/>
                <w:szCs w:val="20"/>
                <w:color w:val="auto"/>
              </w:rPr>
            </w:pPr>
            <w:r>
              <w:rPr>
                <w:rFonts w:ascii="Arial" w:cs="Arial" w:eastAsia="Arial" w:hAnsi="Arial"/>
                <w:sz w:val="18"/>
                <w:szCs w:val="18"/>
                <w:color w:val="auto"/>
              </w:rPr>
              <w:t>60</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related notes thereto included elsewhere in this prospectus. This discussion contains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antibody programs, ANB020 and ANB019, bind to therapeutic targets that are genetically associated with severe inflammatory disorders. ANB020 is an antibody that inhibits the activity of interleukin-33 for the treatment of severe adult asthma and severe adult peanut allergy. We submitted and have received approval of a Clinical Trial Notification, or CTN, in Australia for ANB020 and plan to initiate a Phase 1 clinical trial in the first half of 2016. ANB019 is an antibody that inhibits the interleukin-36 receptor for the treatment of rare inflammatory diseases called generalized pustular psoriasis and palmo-plantar pustular psoriasis. We plan to submit a CTN for ANB019 by the end of 2016 and commence a Phase 1 clinical trial in the first half of 2017.</w:t>
      </w:r>
    </w:p>
    <w:p>
      <w:pPr>
        <w:spacing w:after="0" w:line="178"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January 31, 2016, we have raised $94.3 million from investors, including Biotechnology Value Fund, Cormorant Asset Management, Frazier Healthcare, HBM Partners, Longwood Capital Partners and Novo A/S.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our wholly-owned antibody programs, we expect four programs will be advanced by our collaborators to the clinic by the first half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2017. Our collaborations include an immuno-oncology-focused collaboration with TESARO and an inflammation-focused collaboration with Celgene.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Through January 31, 2016, we have received non-dilutive funding of $52.9 million from our collaborators.</w:t>
      </w:r>
    </w:p>
    <w:p>
      <w:pPr>
        <w:spacing w:after="0" w:line="211"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We intend to continue generating additional therapeutic antibodies against emerging biological targets across various disease applications, including immuno-oncology, inflammation and other unmet medical needs. In general, our strategy is to advance our pipeline programs to key inflection points, and leverage partnerships with pharmaceutical and biotechnology companies where appropriate.</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generated multiple antibodies by using our SHM-XEL platform certain of which are currently being advanced by our partners to key preclinical, clinical and commercial milestones, which we anticipate will generate additional cash receipts for us. To the extent that these product candidates are commercialized, we will also be entitled to royalty payments upon commercial sales of the associated products.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incurred losses in each period since our inception in 2005, except for 2014 in which we received $19.0 million from two upfront payments and recognized revenue of $11.5 million during 2014 following the execution of our strategic collaboration with TESARO. Accordingly, for the year ended December 31, 2014 we reported net income of $3.5 million. As of December 31, 2015, we had an accumulated deficit of $50.7 million. We expect to continue to incur net operating losses for at least the next several years as we advance our products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through clinical development, seek regulatory approval, prepare for and, if approved, proceed to, commercialization, expand our operations and facilities and grow in new and existing markets, territories and industries. We will need substantial additional funding to pay expenses relating to our operating activities, including significant research and development expenses. Adequate funding may not be available to us on acceptable terms, or at all. Our failure to obtain sufficient funds on acceptable terms when needed could have a material adverse effect on our business, results of operations or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900" w:firstLine="456"/>
        <w:spacing w:after="0" w:line="308" w:lineRule="auto"/>
        <w:rPr>
          <w:sz w:val="20"/>
          <w:szCs w:val="20"/>
          <w:color w:val="auto"/>
        </w:rPr>
      </w:pPr>
      <w:r>
        <w:rPr>
          <w:rFonts w:ascii="Arial" w:cs="Arial" w:eastAsia="Arial" w:hAnsi="Arial"/>
          <w:sz w:val="17"/>
          <w:szCs w:val="17"/>
          <w:color w:val="auto"/>
        </w:rPr>
        <w:t>We have not generated any revenue from product sales. Our revenue has been derived from amortization of upfront payments, research and development funding and milestone payments under collaboration and license agreements with our collaborators.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Collaboration and Exclusive License Agreement with TESARO</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March 2014, we entered into an exclusive worldwide license and collaboration agreement with TESARO for the development and commercialization of therapeutic monospecific and bispecific antibodies that antagonize PD-1, TIM-3 and/or LAG-3. We received $17.0 million in upfront fees from TESARO in March 2014, and in November 2014, we amended the agreement with TESARO to include the development and commercialization of bispecific antibodies to another undisclosed target, for an additional upfront fee of $2.0 million. Both upfront fees are being recognized over the same period that our research and development services, for which we are reimbursed, are performed, which was extended through December 31, 2016 in December 2015. From inception of the agreement through December 31, 2015, we have recognized $29.1 million in total revenue from TESARO.</w:t>
      </w:r>
    </w:p>
    <w:p>
      <w:pPr>
        <w:spacing w:after="0" w:line="16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For each of the four targets under the TESARO agreement, we are eligible to receive up to $273.0 million in milestone payments, which are comprised of $18.0 million for preclinical and clinical development milestone payments, $90.0 million upon certain regulatory events and $165.0 million upon worldwide commercial sales thresholds. In addition, TESARO is obligated to pay us tiered single-digit royalties on annualized net sales of each antibody commercialized from the collaboration. In June 2015, TESARO initiated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for the anti-PD-1 antagonist antibody resulting in us receiving a $1.0 million milestone in July 2015. In October 2015, TESARO initiated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toxicology studies using good laboratory practices for the anti-TIM-3 antagonist antibody resulting in us receiving a $1.0 million milestone in November 2015. We expect to receive an additional aggregate of $13.0 million in preclinical and IND-related milestone payments by the end of 2016 based upon further development of the targets mentioned above.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Antibody Generation Agreement with Celgene Corporation</w:t>
      </w:r>
    </w:p>
    <w:p>
      <w:pPr>
        <w:spacing w:after="0" w:line="117"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In December 2011, we entered into a license and collaboration agreement with Celgene to develop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the agreement.</w:t>
      </w:r>
    </w:p>
    <w:p>
      <w:pPr>
        <w:spacing w:after="0" w:line="14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agreement provided for an upfront payment of $6.0 million from Celgene, which we received in 2011, milestone payments of up to $53.0 million per target, low single-digit royalties on net sales of antibodies against each target, and reimbursement of specified research and development costs. From inception of the agreement through December 31, 2015, we have recognized $8.5 million in total revenue from Celgene. For one of the two programs being advanced by Celgene, we expect to receive up to an aggregate of $1.5 million in preclinical and IND-related milestone payments by the end of 2016.</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Collaborative Agreements</w:t>
      </w:r>
    </w:p>
    <w:p>
      <w:pPr>
        <w:spacing w:after="0" w:line="11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are party to other collaboration agreements for which we recognized $1.7 million and $3.7 million in collaboration revenue during the years ended December 31, 2013 and 2014, respectively. We completed our obligations under these agreements in 2014 and did not recognize any additional revenue from them during the year ended December 31,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Research and development expenses consist of costs associated with our research and development activities, including drug discovery efforts and preclinical development of our programs. Our research and development expenses include:</w:t>
      </w:r>
    </w:p>
    <w:p>
      <w:pPr>
        <w:spacing w:after="0" w:line="76" w:lineRule="exact"/>
        <w:rPr>
          <w:sz w:val="20"/>
          <w:szCs w:val="20"/>
          <w:color w:val="auto"/>
        </w:rPr>
      </w:pPr>
    </w:p>
    <w:p>
      <w:pPr>
        <w:ind w:left="900" w:right="62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third-parties, such as CROs, consultants, members of our scientific and therapeutic advisory boards, and clinical manufacturers;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stock-based compensation;</w:t>
      </w:r>
    </w:p>
    <w:p>
      <w:pPr>
        <w:spacing w:after="0" w:line="130" w:lineRule="exact"/>
        <w:rPr>
          <w:rFonts w:ascii="Arial" w:cs="Arial" w:eastAsia="Arial" w:hAnsi="Arial"/>
          <w:sz w:val="18"/>
          <w:szCs w:val="18"/>
          <w:color w:val="auto"/>
        </w:rPr>
      </w:pPr>
    </w:p>
    <w:p>
      <w:pPr>
        <w:ind w:left="900" w:right="74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and maintenance of facilities, depreciation of leasehold improvements and equipment, and laboratory supplies;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License and sublicense fees.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expense research and development costs as incurred. We account for advance payments for goods and services that will be used in future research and development activities as expenses when the service has been performed or when the goods have been received.</w:t>
      </w:r>
    </w:p>
    <w:p>
      <w:pPr>
        <w:spacing w:after="0" w:line="17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We are conducting research and development activities on several inflammation and immuno-oncology programs. We have a research and development team that conducts antibody discovery, characterization, translational studies, IND-enabling preclinical studies and clinical development. We conduct some of our early research and preclinical activities internally and plan to rely on third parties, such as CROs and CMOs, for the execution of certain of our research and development activities, such as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and pharmacology studies, drug product manufacturing and clinical trials.</w:t>
      </w:r>
    </w:p>
    <w:p>
      <w:pPr>
        <w:spacing w:after="0" w:line="154"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We are planning to conduct initial clinical trials in Australia to rapidly enter into first-in-human studies for ANB020 and ANB019 and benefit from research and development-related financial incentives related to the development of ANB020 and ANB019. Taking into account any financial incentives, we expect our research and development expenses to be higher in 2016 as we advance our product candidates into clinical development.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and professional fees for auditing, tax and legal services, including intellectual property-related legal services.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Interest expense consists of stated interest and amortization of discounts on our outstanding notes payable relating to our Loan and Security Agreement with Oxford Finance LLC and Silicon Valley Bank, as amended, which we refer to as the Loan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Liability for Preferred Stock Warrants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Income and expense from the change in fair value of our liability for preferred stock warrants is from the valuation of our outstanding warrants to purchase shares of our preferred stock, which is valued at each period end. Upon the closing of our initial public offering, the warrants to purchase shares of preferred stock will convert into warrants to purchase shares of common stock, the preferred stock warrant liabilities will be reclassified to additional paid-in capital and periodic fair value adjustments will no longer be recorded.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Research and Development Tax Credit Carryforwards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our inception through December 31, 2013, we accumulated net operating losses, or NOLs. We generated taxable income in the United States for the years ended December 31, 2014 and 2015 as a result of our collaboration agreement with TESARO as well as expenses incurred by our Australian subsidiary which are not deductible for U.S. income tax purposes. While we utilized NOLs in 2014 and 2015, we continue to have a valuation allowance against our net deferred tax assets due to the uncertainty of the realization of such assets.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At December 31, 2015, we had federal and state NOL carryforwards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 forward indefinitely.</w:t>
      </w:r>
    </w:p>
    <w:p>
      <w:pPr>
        <w:spacing w:after="0" w:line="187"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an IRC Section 382/383 analysis through December 31, 2014 and determined that there was an ownership change in 2007 that may limit the utilization of approximately $5.3 million and $5.4 million in Federal and state NOLs, respectively, and</w:t>
      </w:r>
    </w:p>
    <w:p>
      <w:pPr>
        <w:spacing w:after="0" w:line="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$0.2 million in both Federal and state research tax credits. If a change in ownership occurs as a result of this offering, additional NOL and tax credits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financial statements, which have been prepared in accordance with U.S. generally accepted accounting principles, or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financial statements prospectively from the date of change in estimates.</w:t>
      </w:r>
    </w:p>
    <w:p>
      <w:pPr>
        <w:spacing w:after="0" w:line="178"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used in the preparation of our financial statements require the most significant judgments and estimates.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i w:val="1"/>
          <w:iCs w:val="1"/>
          <w:color w:val="auto"/>
        </w:rPr>
        <w:t>Multiple-Element Revenue Arrangements</w:t>
      </w:r>
      <w:r>
        <w:rPr>
          <w:rFonts w:ascii="Arial" w:cs="Arial" w:eastAsia="Arial" w:hAnsi="Arial"/>
          <w:sz w:val="16"/>
          <w:szCs w:val="16"/>
          <w:color w:val="auto"/>
        </w:rPr>
        <w:t>. 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154"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6" w:lineRule="exact"/>
        <w:rPr>
          <w:sz w:val="20"/>
          <w:szCs w:val="20"/>
          <w:color w:val="auto"/>
        </w:rPr>
      </w:pPr>
    </w:p>
    <w:p>
      <w:pPr>
        <w:ind w:left="900" w:right="120" w:hanging="325"/>
        <w:spacing w:after="0" w:line="25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License Arrangements. The deliverables under our collaboration and license agreements generally include exclusive or nonexclusive licenses to 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 or items, which is generally the period over which we provide research and developments services.</w:t>
      </w:r>
    </w:p>
    <w:p>
      <w:pPr>
        <w:spacing w:after="0" w:line="93" w:lineRule="exact"/>
        <w:rPr>
          <w:rFonts w:ascii="Arial" w:cs="Arial" w:eastAsia="Arial" w:hAnsi="Arial"/>
          <w:sz w:val="18"/>
          <w:szCs w:val="18"/>
          <w:color w:val="auto"/>
        </w:rPr>
      </w:pPr>
    </w:p>
    <w:p>
      <w:pPr>
        <w:ind w:left="900" w:right="100" w:hanging="325"/>
        <w:spacing w:after="0" w:line="297"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Research and Development Services. The deliverables under our collaboration and license arrangements may include research and development 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i w:val="1"/>
          <w:iCs w:val="1"/>
          <w:color w:val="auto"/>
        </w:rPr>
        <w:t xml:space="preserve">Milestone Revenue. </w:t>
      </w:r>
      <w:r>
        <w:rPr>
          <w:rFonts w:ascii="Arial" w:cs="Arial" w:eastAsia="Arial" w:hAnsi="Arial"/>
          <w:sz w:val="17"/>
          <w:szCs w:val="17"/>
          <w:color w:val="auto"/>
        </w:rPr>
        <w:t>Our collaboration and license agreements generally include contingent contractual payments related to achievement of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development and regulatory milestones and sales-based milestones that are dependent upon the performance of the licensor or collaborator. A milestone is defined as an event (i) that can only be achieved based in whole or in part on either the entity’s performance or on the occurrence of a specific outcome resulting from the entity’s performance, (ii) for which there is substantive uncertainty at the date the arrangement is entered into that the event will be achieved and (iii) that would result in additional payments being due to us. Contingent consideration for which payment is either contingent solely upon the passage of time or the result of a counterparty’s performance is not considered substantive.</w:t>
      </w:r>
    </w:p>
    <w:p>
      <w:pPr>
        <w:spacing w:after="0" w:line="178"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We recognize consideration that is contingent upon the achievement of a milestone in its entirety as revenue in the period in which the milestone is achieved only if the milestone is substantive in its entirety. A milestone is considered substantive when it meets all of the following criteria:</w:t>
      </w:r>
    </w:p>
    <w:p>
      <w:pPr>
        <w:spacing w:after="0" w:line="29" w:lineRule="exact"/>
        <w:rPr>
          <w:sz w:val="20"/>
          <w:szCs w:val="20"/>
          <w:color w:val="auto"/>
        </w:rPr>
      </w:pPr>
    </w:p>
    <w:p>
      <w:pPr>
        <w:ind w:left="90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is commensurate with either the entity’s performance to achieve the milestone or the enhancement of the value of the delivered item(s) as a result of a specific outcome resulting from the entity’s performance to achieve the milestone;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relates solely to past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Milestones that are not considered substantive are generally recognized in the same manner as the undelivered item(s), which is generally the period over which we provide research and development services.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6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expense the fair value of stock awards to employees, net of estimated forfeitures, adjusted to reflect actual forfeitures, over the requisite service period, which is typically the vesting period. We estimate the fair value of options granted to employees at the date of grant using the Black-Scholes option-pricing model that requires management to apply judgment and make estimates, including:</w:t>
      </w:r>
    </w:p>
    <w:p>
      <w:pPr>
        <w:spacing w:after="0" w:line="87" w:lineRule="exact"/>
        <w:rPr>
          <w:sz w:val="20"/>
          <w:szCs w:val="20"/>
          <w:color w:val="auto"/>
        </w:rPr>
      </w:pPr>
    </w:p>
    <w:p>
      <w:pPr>
        <w:ind w:left="900" w:right="260" w:hanging="325"/>
        <w:spacing w:after="0" w:line="342"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fair value of the underlying common shares</w:t>
      </w:r>
      <w:r>
        <w:rPr>
          <w:rFonts w:ascii="Arial" w:cs="Arial" w:eastAsia="Arial" w:hAnsi="Arial"/>
          <w:sz w:val="16"/>
          <w:szCs w:val="16"/>
          <w:color w:val="auto"/>
        </w:rPr>
        <w:t>, as approved by our board of directors, which was determined using the option-pricing method, or</w:t>
      </w:r>
      <w:r>
        <w:rPr>
          <w:rFonts w:ascii="Arial" w:cs="Arial" w:eastAsia="Arial" w:hAnsi="Arial"/>
          <w:sz w:val="16"/>
          <w:szCs w:val="16"/>
          <w:i w:val="1"/>
          <w:iCs w:val="1"/>
          <w:color w:val="auto"/>
        </w:rPr>
        <w:t xml:space="preserve"> </w:t>
      </w:r>
      <w:r>
        <w:rPr>
          <w:rFonts w:ascii="Arial" w:cs="Arial" w:eastAsia="Arial" w:hAnsi="Arial"/>
          <w:sz w:val="16"/>
          <w:szCs w:val="16"/>
          <w:color w:val="auto"/>
        </w:rPr>
        <w:t>OPM, in periods through December 31, 2014, and the probability-weighted expected return method, or PWERM, beginning March 31, 2015;</w:t>
      </w:r>
    </w:p>
    <w:p>
      <w:pPr>
        <w:spacing w:after="0" w:line="29"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which is based on observed interest rates appropriate for the expected term of the stock option grants, historically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constant maturities;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 which is calculated based on reported volatility data for a representative peer group of publicly traded biotechnology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for which historical information is available. Because we are privately held as of the date of these financial statements, we do not have relevant historical data to support our expected volatility;</w:t>
      </w:r>
    </w:p>
    <w:p>
      <w:pPr>
        <w:spacing w:after="0" w:line="86"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 which is zero as we have never paid cash dividends and do not expect to pay any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64"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which we calculate using the simplified method, which defines the life as the average of the contractual term of the options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weighted average vesting period for all option tranches, as we have insufficient historical information regarding our stock options to provide a basis for an estimate.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computed the fair value of stock options at the date of grant using the following assumptions: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78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volatility</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71.0%</w:t>
            </w:r>
          </w:p>
        </w:tc>
        <w:tc>
          <w:tcPr>
            <w:tcW w:w="1900" w:type="dxa"/>
            <w:vAlign w:val="bottom"/>
            <w:gridSpan w:val="3"/>
          </w:tcPr>
          <w:p>
            <w:pPr>
              <w:jc w:val="right"/>
              <w:ind w:right="540"/>
              <w:spacing w:after="0"/>
              <w:rPr>
                <w:sz w:val="20"/>
                <w:szCs w:val="20"/>
                <w:color w:val="auto"/>
              </w:rPr>
            </w:pPr>
            <w:r>
              <w:rPr>
                <w:rFonts w:ascii="Arial" w:cs="Arial" w:eastAsia="Arial" w:hAnsi="Arial"/>
                <w:sz w:val="18"/>
                <w:szCs w:val="18"/>
                <w:color w:val="auto"/>
              </w:rPr>
              <w:t>66.8%</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71.2%</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9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1900" w:type="dxa"/>
            <w:vAlign w:val="bottom"/>
            <w:gridSpan w:val="3"/>
          </w:tcPr>
          <w:p>
            <w:pPr>
              <w:jc w:val="right"/>
              <w:ind w:right="700"/>
              <w:spacing w:after="0"/>
              <w:rPr>
                <w:sz w:val="20"/>
                <w:szCs w:val="20"/>
                <w:color w:val="auto"/>
              </w:rPr>
            </w:pPr>
            <w:r>
              <w:rPr>
                <w:rFonts w:ascii="Arial" w:cs="Arial" w:eastAsia="Arial" w:hAnsi="Arial"/>
                <w:sz w:val="18"/>
                <w:szCs w:val="18"/>
                <w:color w:val="auto"/>
              </w:rPr>
              <w:t>6.1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0.06</w:t>
            </w:r>
          </w:p>
        </w:tc>
        <w:tc>
          <w:tcPr>
            <w:tcW w:w="190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  0.15</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0.64</w:t>
            </w:r>
          </w:p>
        </w:tc>
      </w:tr>
    </w:tbl>
    <w:p>
      <w:pPr>
        <w:spacing w:after="0" w:line="20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Stock-based compensation expense related to unvested stock option grants not yet recognized as of December 31, 2015 was $4.3 million and the weighted average period over which these grants are expected to vest is 3.6 years. We expect to continue to grant stock options in the future, and to the extent we do, our actual stock-based compensation expense recognized in future periods will likely increase.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are a private company with no active public market for our common stock. Therefore, we have periodically determined the estimated per share fair value of our common stock at various dates using contemporaneous valuations performed in accordance with the guidance outlined in the American Institute of Certified Public Accountants Practice Aid, </w:t>
      </w:r>
      <w:r>
        <w:rPr>
          <w:rFonts w:ascii="Arial" w:cs="Arial" w:eastAsia="Arial" w:hAnsi="Arial"/>
          <w:sz w:val="18"/>
          <w:szCs w:val="18"/>
          <w:i w:val="1"/>
          <w:iCs w:val="1"/>
          <w:color w:val="auto"/>
        </w:rPr>
        <w:t>Valuation of Privately-Held Company Equity Securities Issued as Compensation</w:t>
      </w:r>
      <w:r>
        <w:rPr>
          <w:rFonts w:ascii="Arial" w:cs="Arial" w:eastAsia="Arial" w:hAnsi="Arial"/>
          <w:sz w:val="18"/>
          <w:szCs w:val="18"/>
          <w:color w:val="auto"/>
        </w:rPr>
        <w:t>, or Practice Aid. Once a public trading market for our common stock has been established in connection with the closing of this offering, it will no longer be necessary for us to estimate the fair value of our common stock in connection with our accounting for stock options and restricted stock, as the fair value of our common stock will be its trading price on the NASDAQ Global Select Market.</w:t>
      </w:r>
    </w:p>
    <w:p>
      <w:pPr>
        <w:spacing w:after="0" w:line="193"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Common Stock Valuation Methodologies. </w:t>
      </w:r>
      <w:r>
        <w:rPr>
          <w:rFonts w:ascii="Arial" w:cs="Arial" w:eastAsia="Arial" w:hAnsi="Arial"/>
          <w:sz w:val="17"/>
          <w:szCs w:val="17"/>
          <w:color w:val="auto"/>
        </w:rPr>
        <w:t>Our contemporaneous and retrospective valuations were prepared in accordance with the guidelines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Practice Aid, which prescribes several valuation approaches for determining the value of an enterprise, such as the cost, market and income approaches, and various methodologies for allocating the value of an enterprise to its capital structure and specifically the common stock.</w:t>
      </w:r>
    </w:p>
    <w:p>
      <w:pPr>
        <w:spacing w:after="0" w:line="166" w:lineRule="exact"/>
        <w:rPr>
          <w:sz w:val="20"/>
          <w:szCs w:val="20"/>
          <w:color w:val="auto"/>
        </w:rPr>
      </w:pPr>
    </w:p>
    <w:p>
      <w:pPr>
        <w:jc w:val="both"/>
        <w:ind w:right="340" w:firstLine="456"/>
        <w:spacing w:after="0" w:line="286" w:lineRule="auto"/>
        <w:rPr>
          <w:sz w:val="20"/>
          <w:szCs w:val="20"/>
          <w:color w:val="auto"/>
        </w:rPr>
      </w:pPr>
      <w:r>
        <w:rPr>
          <w:rFonts w:ascii="Arial" w:cs="Arial" w:eastAsia="Arial" w:hAnsi="Arial"/>
          <w:sz w:val="17"/>
          <w:szCs w:val="17"/>
          <w:color w:val="auto"/>
        </w:rPr>
        <w:t>We used the market approach as this approach is based on the assumption that the value of an asset, including a company, is equal to the value of a substitute asset with the same characteristics. Therefore, the value of an asset can be inferred by finding similar assets, or an interest in similar assets, that have been sold in recent arm’s-length transactions. The following market approaches were considered in our valuations:</w:t>
      </w:r>
    </w:p>
    <w:p>
      <w:pPr>
        <w:spacing w:after="0" w:line="67" w:lineRule="exact"/>
        <w:rPr>
          <w:sz w:val="20"/>
          <w:szCs w:val="20"/>
          <w:color w:val="auto"/>
        </w:rPr>
      </w:pPr>
    </w:p>
    <w:p>
      <w:pPr>
        <w:ind w:left="900" w:right="80" w:hanging="325"/>
        <w:spacing w:after="0" w:line="25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Guideline Public Company Method. </w:t>
      </w:r>
      <w:r>
        <w:rPr>
          <w:rFonts w:ascii="Arial" w:cs="Arial" w:eastAsia="Arial" w:hAnsi="Arial"/>
          <w:sz w:val="18"/>
          <w:szCs w:val="18"/>
          <w:color w:val="auto"/>
        </w:rPr>
        <w:t>The guideline public company method, or GPC method, compares the subject company with guideline</w:t>
      </w:r>
      <w:r>
        <w:rPr>
          <w:rFonts w:ascii="Arial" w:cs="Arial" w:eastAsia="Arial" w:hAnsi="Arial"/>
          <w:sz w:val="18"/>
          <w:szCs w:val="18"/>
          <w:b w:val="1"/>
          <w:bCs w:val="1"/>
          <w:color w:val="auto"/>
        </w:rPr>
        <w:t xml:space="preserve"> </w:t>
      </w:r>
      <w:r>
        <w:rPr>
          <w:rFonts w:ascii="Arial" w:cs="Arial" w:eastAsia="Arial" w:hAnsi="Arial"/>
          <w:sz w:val="18"/>
          <w:szCs w:val="18"/>
          <w:color w:val="auto"/>
        </w:rPr>
        <w:t>publicly traded companies. Valuation multiples are calculated from selected guideline companies to provide an indication of how much a current investor in the marketplace would be willing to pay for a company with characteristics similar (such as similar business, size, geographic region, and other operating characteristics) to the subject company. These valuation multiples are evaluated and adjusted based on the strengths and weaknesses of the subject company relative to the selected guideline companies. Finally, the multiples are applied to the subject company’s operating data to arrive at an indication of fair market value.</w:t>
      </w:r>
    </w:p>
    <w:p>
      <w:pPr>
        <w:spacing w:after="0" w:line="93" w:lineRule="exact"/>
        <w:rPr>
          <w:rFonts w:ascii="Arial" w:cs="Arial" w:eastAsia="Arial" w:hAnsi="Arial"/>
          <w:sz w:val="18"/>
          <w:szCs w:val="18"/>
          <w:color w:val="auto"/>
        </w:rPr>
      </w:pPr>
    </w:p>
    <w:p>
      <w:pPr>
        <w:ind w:left="900" w:right="740" w:hanging="325"/>
        <w:spacing w:after="0" w:line="282"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 xml:space="preserve">Similar Transaction Method. </w:t>
      </w:r>
      <w:r>
        <w:rPr>
          <w:rFonts w:ascii="Arial" w:cs="Arial" w:eastAsia="Arial" w:hAnsi="Arial"/>
          <w:sz w:val="18"/>
          <w:szCs w:val="18"/>
          <w:color w:val="auto"/>
        </w:rPr>
        <w:t>The similar transaction method, or ST method, relies on data of actual transactions, such as mergers and</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or completed initial public offerings, that have occurred in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the subject company’s industry or in related industries. As in the GPC method, valuation multiples are developed and applied to the subject company’s operating data to estimate fair value. Again, the ST method can be used if there are recent transactions involving companies similar to the subject company.</w:t>
      </w:r>
    </w:p>
    <w:p>
      <w:pPr>
        <w:spacing w:after="0" w:line="18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b w:val="1"/>
          <w:bCs w:val="1"/>
          <w:i w:val="1"/>
          <w:iCs w:val="1"/>
          <w:color w:val="auto"/>
        </w:rPr>
        <w:t>Methods Used to Allocate Our Enterprise Value to Classes of Securities</w:t>
      </w:r>
      <w:r>
        <w:rPr>
          <w:rFonts w:ascii="Arial" w:cs="Arial" w:eastAsia="Arial" w:hAnsi="Arial"/>
          <w:sz w:val="18"/>
          <w:szCs w:val="18"/>
          <w:color w:val="auto"/>
        </w:rPr>
        <w:t>. In accordance with the Practice Aid, we considered the various methods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allocating the enterprise value across our classes and series of capital stock to determine the fair value of our common stock at each valuation date. The methods we utilized consisted of the following:</w:t>
      </w:r>
    </w:p>
    <w:p>
      <w:pPr>
        <w:spacing w:after="0" w:line="83" w:lineRule="exact"/>
        <w:rPr>
          <w:sz w:val="20"/>
          <w:szCs w:val="20"/>
          <w:color w:val="auto"/>
        </w:rPr>
      </w:pPr>
    </w:p>
    <w:p>
      <w:pPr>
        <w:ind w:left="900" w:right="320" w:hanging="325"/>
        <w:spacing w:after="0" w:line="347"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Option Pricing Method. </w:t>
      </w:r>
      <w:r>
        <w:rPr>
          <w:rFonts w:ascii="Arial" w:cs="Arial" w:eastAsia="Arial" w:hAnsi="Arial"/>
          <w:sz w:val="16"/>
          <w:szCs w:val="16"/>
          <w:color w:val="auto"/>
        </w:rPr>
        <w:t>Under OPM, shares are valued by creating a series of call options with exercise prices based on the liquidation</w:t>
      </w:r>
      <w:r>
        <w:rPr>
          <w:rFonts w:ascii="Arial" w:cs="Arial" w:eastAsia="Arial" w:hAnsi="Arial"/>
          <w:sz w:val="16"/>
          <w:szCs w:val="16"/>
          <w:b w:val="1"/>
          <w:bCs w:val="1"/>
          <w:color w:val="auto"/>
        </w:rPr>
        <w:t xml:space="preserve"> </w:t>
      </w:r>
      <w:r>
        <w:rPr>
          <w:rFonts w:ascii="Arial" w:cs="Arial" w:eastAsia="Arial" w:hAnsi="Arial"/>
          <w:sz w:val="16"/>
          <w:szCs w:val="16"/>
          <w:color w:val="auto"/>
        </w:rPr>
        <w:t>preferences and conversion terms of each equity class. The values of the preferred and common stock are inferred by analyzing these options.</w:t>
      </w:r>
    </w:p>
    <w:p>
      <w:pPr>
        <w:spacing w:after="0" w:line="21" w:lineRule="exact"/>
        <w:rPr>
          <w:rFonts w:ascii="Arial" w:cs="Arial" w:eastAsia="Arial" w:hAnsi="Arial"/>
          <w:sz w:val="16"/>
          <w:szCs w:val="16"/>
          <w:color w:val="auto"/>
        </w:rPr>
      </w:pPr>
    </w:p>
    <w:p>
      <w:pPr>
        <w:ind w:left="900" w:hanging="325"/>
        <w:spacing w:after="0" w:line="26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Probability-Weighted Expected Return Method</w:t>
      </w:r>
      <w:r>
        <w:rPr>
          <w:rFonts w:ascii="Arial" w:cs="Arial" w:eastAsia="Arial" w:hAnsi="Arial"/>
          <w:sz w:val="18"/>
          <w:szCs w:val="18"/>
          <w:color w:val="auto"/>
        </w:rPr>
        <w:t>. PWERM is a scenario based analysis that estimates the value per share based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probability-weighted present value of expected future investment returns, considering each of the possible outcomes available to us, as well as the economic and control rights of each share class.</w:t>
      </w:r>
    </w:p>
    <w:p>
      <w:pPr>
        <w:spacing w:after="0" w:line="18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Our per share common stock value was estimated by allocating the equity value using the OPM at each valuation date up through December 31, 2014. Starting from our March 31, 2015 contemporaneous valuation, we used the PWERM to allocate the equity value to each element of our capital structure, including our common stock. For both approaches, we applied a discount to the valuations due to the lack of marketability of the ordinary shares. We calculated the discount for lack of marketability using a strike put option model and applied it as appropriate to each allocation.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Warrant Liabilities</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account for warrants for shares of preferred stock with conversion features that provide for adjustments in the warrant price as derivative liabilities in the accompanying consolidated balance sheets at their fair value on the date of issuance. The derivative liabilities are revalued at each balance sheet date until such instruments, so long as they remain exercisable for shares of preferred stock, are exercised or expire, with changes in the fair value between reporting periods recorded as other income or expense.</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use the Black-Scholes option pricing model to estimate the fair value of the preferred stock warrant liabilities. Inputs we used in the Black-Scholes option pricing model to determine estimated fair value include the estimated fair value of the underlying convertible preferred stock at the valuation measurement date, the remaining contractual term of the warrants, risk-free interest rates, expected dividends and the expected volatility of the price of the underlying convertible preferred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which outlines a single comprehensive model for entities to use in accounting for revenue from contracts with customers and supersedes most current revenue recognition guidance in FASB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ASU 2014-09 becomes effective for our annual reporting period beginning January 1, 2018, including interim periods within that reporting period, with adoption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for nonpublic entities. We are currently assessing the impact that this standard will have on our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JOBS Act</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elected not to avail ourselves of this extended transition period and, as a result, we will adopt new or revised accounting standards on the relevant dates on which adoption of such standards is required for other public companies.</w:t>
      </w:r>
    </w:p>
    <w:p>
      <w:pPr>
        <w:spacing w:after="0" w:line="154"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We intend to take advantage of the reduced reporting requirements and to rely on certain other exemptions provided by the JOBS Act. Subject to certain conditions set forth in the JOBS Act, as an “emerging growth company,” the exemptions that we may rely on include, without limitation:</w:t>
      </w:r>
    </w:p>
    <w:p>
      <w:pPr>
        <w:spacing w:after="0" w:line="29" w:lineRule="exact"/>
        <w:rPr>
          <w:sz w:val="20"/>
          <w:szCs w:val="20"/>
          <w:color w:val="auto"/>
        </w:rPr>
      </w:pPr>
    </w:p>
    <w:p>
      <w:pPr>
        <w:ind w:left="900" w:right="2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in our periodic reports, proxy statements and registration statements; and</w:t>
      </w:r>
    </w:p>
    <w:p>
      <w:pPr>
        <w:spacing w:after="0" w:line="142" w:lineRule="exact"/>
        <w:rPr>
          <w:rFonts w:ascii="Arial" w:cs="Arial" w:eastAsia="Arial" w:hAnsi="Arial"/>
          <w:sz w:val="17"/>
          <w:szCs w:val="17"/>
          <w:color w:val="auto"/>
        </w:rPr>
      </w:pPr>
    </w:p>
    <w:p>
      <w:pPr>
        <w:ind w:left="900" w:right="34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this offering. However, if certain events occur prior to the end of such five-year period, including if we become a “large accelerated filer,” our annual gross revenues exceed $1.0 billion or we issue more than $1.0 billion of non-convertible debt in any three-year period, we will cease to be an emerging growth company prior to the end of such five-year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2014 and 2015</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Collaboration revenue was $15.8 million and $17.6 million during the years ended December 31, 2014 and 2015, respectively. A comparison of revenue by collaborator is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05"/>
              <w:spacing w:after="0"/>
              <w:rPr>
                <w:sz w:val="20"/>
                <w:szCs w:val="20"/>
                <w:color w:val="auto"/>
              </w:rPr>
            </w:pPr>
            <w:r>
              <w:rPr>
                <w:rFonts w:ascii="Arial" w:cs="Arial" w:eastAsia="Arial" w:hAnsi="Arial"/>
                <w:sz w:val="14"/>
                <w:szCs w:val="14"/>
                <w:b w:val="1"/>
                <w:bCs w:val="1"/>
                <w:color w:val="auto"/>
              </w:rPr>
              <w:t>Year</w:t>
            </w: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ind w:left="180"/>
              <w:spacing w:after="0"/>
              <w:rPr>
                <w:sz w:val="20"/>
                <w:szCs w:val="20"/>
                <w:color w:val="auto"/>
              </w:rPr>
            </w:pPr>
            <w:r>
              <w:rPr>
                <w:rFonts w:ascii="Arial" w:cs="Arial" w:eastAsia="Arial" w:hAnsi="Arial"/>
                <w:sz w:val="14"/>
                <w:szCs w:val="14"/>
                <w:b w:val="1"/>
                <w:bCs w:val="1"/>
                <w:color w:val="auto"/>
              </w:rPr>
              <w:t>Ended December 31,</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36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4,568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6,480</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1,913</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TESARO-milestone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1,705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Momenta</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3,100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(3,100)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598</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r>
      <w:tr>
        <w:trPr>
          <w:trHeight w:val="27"/>
        </w:trPr>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15,838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17,571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w:t>
            </w:r>
          </w:p>
        </w:tc>
      </w:tr>
      <w:tr>
        <w:trPr>
          <w:trHeight w:val="20"/>
        </w:trPr>
        <w:tc>
          <w:tcPr>
            <w:tcW w:w="6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During the first and fourth quarter of 2014 we received $17.0 million and $2.0 million, respectively, in upfront fees under our collaboration and exclusive license agreement with TESARO. For the years ended December 31, 2014 and 2015, we recognized the amortized portion of these upfront fees in the amounts of $7.0 million and $9.4 million, respectively. Originally, the upfront fees were to be recognized ratably through March 2016, however, in December 2015, we determined that the research and development services would be extended through December 31, 2016, so the upfront fees will continue to be recognized ratably through December 31, 2016. We also recognized revenue of $4.6 million and $6.5 million during the years ended December 31, 2014 and 2015, respectively, for research and development services performed under the agreement. We recognized revenue of $1.7 million during the year ended December 31, 2015, for the achievement of two $1.0 million milestones upon initiation of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toxicology studies, under the principles of good laboratory practice, using the anti-PD-1 antagonist antibody (TSR-042) and the anti-TIM-3 antagonist antibody, each being advanced by TESARO. The remaining unrecognized milestone payments of $0.3 million at December 31, 2015 will be recognized ratably through December 2016.</w:t>
      </w:r>
    </w:p>
    <w:p>
      <w:pPr>
        <w:spacing w:after="0" w:line="16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In September 2014, we successfully completed our collaboration with Momenta for which we earned a success fee. During the year ended December 31, 2014, we recognized revenue from Momenta of $3.1 million, which relates to a $2.0 million success fee and $1.1 million in amortization of the upfront fee.</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final deliverable under our 2011 antibody generation agreement with Celgene was completed in 2014. During the year ended December 31, 2014, we recognized revenue of $0.6 million, which relates to $0.5 million for a success fee and $92,000 for research and development services performed under this agreement.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are a party to other collaboration agreements for which in the year ended December 31, 2014 we recognized $0.6 million in collaboration revenue. We completed our obligations under these agreements in 2014 and do not anticipate any additional revenue from them beyond 2014, and we did not recognize any additional revenue from them during the year ended December 31, 2015.</w:t>
      </w:r>
    </w:p>
    <w:p>
      <w:pPr>
        <w:spacing w:after="0" w:line="18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We expect that any collaboration revenue we generate will continue to fluctuate from period to period as a result of the timing and amount of milestones and other payments from our existing collaborations.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Research and development expenses were $8.6 million and $17.3 million during the years ended December 31, 2014 and 2015, respectively, for an increase of $8.7 million. The increase is due primarily to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$6.6 million increase in outside services for preclinical trial work performed primarily in Australia, as well as a $1.7 million increase in salaries and related expenses resulting primarily from an increase in research and development personnel.</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We expect our research and development expenses to increase as we advance our development programs further and, in particular, as we enter into clinical trials.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20" w:firstLine="456"/>
        <w:spacing w:after="0" w:line="312" w:lineRule="auto"/>
        <w:rPr>
          <w:sz w:val="20"/>
          <w:szCs w:val="20"/>
          <w:color w:val="auto"/>
        </w:rPr>
      </w:pPr>
      <w:r>
        <w:rPr>
          <w:rFonts w:ascii="Arial" w:cs="Arial" w:eastAsia="Arial" w:hAnsi="Arial"/>
          <w:sz w:val="16"/>
          <w:szCs w:val="16"/>
          <w:color w:val="auto"/>
        </w:rPr>
        <w:t>General and administrative expenses were $2.4 million and $3.6 million during the years ended December 31, 2014 and 2015, respectively, for an increase of $1.2 million. The increase is due primarily to a $0.7 million increase in salaries and related expenses for new senior level positions, and a $0.4 million increase in audit and tax fees for additional quarterly and annual services required in preparation for our initial public offering.</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expect that our general and administrative expenses will increase for the foreseeable future as we incur additional costs associated with being a publicly traded company, including legal, auditing and filing fees, additional insurance premiums, investor relations expenses and general compliance and consulting expenses. Also, we expect our intellectual property related legal expenses, including those related to preparing, filing, prosecuting and maintaining patent applications, to increase as our intellectual property portfolio expands.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Interest expense was $1.3 million and $0.5 million during the years ended December 31, 2014 and 2015, respectively, for a decrease of $0.8 million. The interest expense for the year ended December 31, 2014 represents stated interest of 10.0% on our convertible promissory notes principal of $2.0 million, as well as the write-off of the remaining discount on our convertible promissory notes upon conversion of the notes into shares of Series C-1 preferred stock. The interest expense for the year ended December 31, 2015 represents effective interest of 9.25% on our outstanding Term A Loans, which had an outstanding principal balance of $5.0 million as of December 31, 2015.</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Preferred Stock Warrants</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and $1.3 million during the years ended December 31, 2014 and 2015, respectively, due to an increase in the valuation of our Series C convertible preferred stock which had the effect of increasing the estimated fair value of the warrants.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Other income (expense) was ($0.2) million during the year ended December 31, 2015 and primarily consisted of a foreign exchange loss of ($0.2) million related to our Australian subsidiary, which was established in March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recorded a provision for income taxes of $0.1 million during the year ended December 31, 2015 related to alternative minimum taxes, which we were not subject to during the year ended December 31, 2014.</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2013 and 2014</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17" w:lineRule="exact"/>
        <w:rPr>
          <w:sz w:val="20"/>
          <w:szCs w:val="20"/>
          <w:color w:val="auto"/>
        </w:rPr>
      </w:pPr>
    </w:p>
    <w:p>
      <w:pPr>
        <w:ind w:right="660" w:firstLine="456"/>
        <w:spacing w:after="0" w:line="264" w:lineRule="auto"/>
        <w:rPr>
          <w:sz w:val="20"/>
          <w:szCs w:val="20"/>
          <w:color w:val="auto"/>
        </w:rPr>
      </w:pPr>
      <w:r>
        <w:rPr>
          <w:rFonts w:ascii="Arial" w:cs="Arial" w:eastAsia="Arial" w:hAnsi="Arial"/>
          <w:sz w:val="18"/>
          <w:szCs w:val="18"/>
          <w:color w:val="auto"/>
        </w:rPr>
        <w:t>Collaboration revenue was $5.5 million and $15.8 million during 2013 and 2014, respectively, an increase of $10.4 million. Our license and collaboration agreement with TESARO accounted for the majority of the increase in collaboration revenue during 2014. A comparison of revenue by collaborator is as follows: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Increase</w:t>
            </w:r>
          </w:p>
        </w:tc>
      </w:tr>
      <w:tr>
        <w:trPr>
          <w:trHeight w:val="142"/>
        </w:trPr>
        <w:tc>
          <w:tcPr>
            <w:tcW w:w="6620" w:type="dxa"/>
            <w:vAlign w:val="bottom"/>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7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(Decrease)</w:t>
            </w:r>
          </w:p>
        </w:tc>
      </w:tr>
      <w:tr>
        <w:trPr>
          <w:trHeight w:val="210"/>
        </w:trPr>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TESARO-amortization of upfront payments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TESARO-funding of research and development</w:t>
            </w:r>
          </w:p>
        </w:tc>
        <w:tc>
          <w:tcPr>
            <w:tcW w:w="100" w:type="dxa"/>
            <w:vAlign w:val="bottom"/>
          </w:tcPr>
          <w:p>
            <w:pPr>
              <w:spacing w:after="0"/>
              <w:rPr>
                <w:sz w:val="18"/>
                <w:szCs w:val="18"/>
                <w:color w:val="auto"/>
              </w:rPr>
            </w:pPr>
          </w:p>
        </w:tc>
        <w:tc>
          <w:tcPr>
            <w:tcW w:w="9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4,568</w:t>
            </w: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4,568</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Momenta</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3,100</w:t>
            </w: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Celgene Corporation</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3,746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(3,154)</w:t>
            </w: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1,737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(1,139)</w:t>
            </w:r>
          </w:p>
        </w:tc>
      </w:tr>
      <w:tr>
        <w:trPr>
          <w:trHeight w:val="223"/>
        </w:trPr>
        <w:tc>
          <w:tcPr>
            <w:tcW w:w="662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5,483</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15,838</w:t>
            </w:r>
          </w:p>
        </w:tc>
        <w:tc>
          <w:tcPr>
            <w:tcW w:w="5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10,355</w:t>
            </w:r>
          </w:p>
        </w:tc>
        <w:tc>
          <w:tcPr>
            <w:tcW w:w="10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2014, we received an aggregate of $19.0 million in upfront fees under our collaboration and exclusive license agreement with TESARO, which were deferred and are recognized ratably through March 2016. We also recognized revenue of $4.6 million during 2014 for research and development services performed under the agreement.</w:t>
      </w:r>
    </w:p>
    <w:p>
      <w:pPr>
        <w:spacing w:after="0" w:line="18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September 2014, we successfully completed our collaboration with Momenta for which we earned a success fee. During the year ended December 31, 2014, we recognized revenue from Momenta of $3.1 million, which relates to a $2.0 million success fee and $1.1 million in amortization of the upfront fee.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Pursuant to our antibody generation agreement with Celgene, we recognized revenue of $2.0 million during 2013 from the amortization of the upfront payment received in 2011. We also received $1.0 million and $0.5 million in success fees during 2013 and 2014, respectively, and recognized revenue of $0.7 million and $0.1 million for research and development services performed under this agreement during the years ended December 31, 2013 and 2014, respectively. The final deliverable under this agreement was completed in 2014.</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During 2013 and 2014, we recognized revenues aggregating $1.7 million and $0.6 million, respectively from other collaborative agreements for which our obligations were completed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Research and development expenses were $8.8 million and $8.6 million during 2013 and 2014, respectively, a decrease of $0.2 million. The decrease is due primarily to $0.4 million in lower salaries and related expenses resulting from reduced research and development positions, due to the completion of multiple collaborations during 2013 and early 2014, $0.3 million in lower depreciation expense, and $0.1 million in lower in-licensing fees due to the expiration of one of our contracts. These decreases were partially offset by $0.6 million in higher reimbursable external expense costs incurred under our collaboration with TESARO.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 and administrative expenses were $2.0 million and $2.4 million during 2013 and 2014, respectively, an increase of $0.4 million. The increase is due primarily to $0.2 million in recruiting expenses for key senior hires during 2014, $0.1 million in higher salaries and related expenses for new senior level positions, and $0.1 million in higher legal expenses.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Interest expense was $0.9 million during 2013 compared to $1.3 million during 2014, an increase of $0.4 million and represents stated interest of 10.0% on our convertible promissory notes principal of $2.0 million and amortization of the related beneficial conversion feature. The increase is due primarily to the $0.4 million write-off of the remaining discount on our convertible promissory notes upon conversion of the notes to into shares of Series C-1 Preferred stock during 2014.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Liabilities for Stock Warrants</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change in fair value of the liabilities for stock warrants resulted in an expense of $59,000 in 2014 and income of $0.6 million in 2013. The change to an expense in 2014 resulted primarily from an increase in the valuation of our Series C convertible preferred stock which has the effect of increasing the estimated fair value of the warrants.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our inception through December 31, 2015, we have received an aggregate of $145.9 million to fund our operations which included $84.9 million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from the sale of equity securities, $51.6 million from our collaboration agreements and $9.4 million from venture debt. As of December 31, 2015, we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$51.7 million in cash and cash equivalents. In January 2016, we earned a $4.0 million milestone payment from one of our collaborators. We expect to receive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$4.0 million milestone payment in February 2016.</w:t>
      </w:r>
    </w:p>
    <w:p>
      <w:pPr>
        <w:spacing w:after="0" w:line="211"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In addition to our existing cash and cash equivalents, we are eligible to receive research and development funding and to earn milestone and other contingent payments for the achievement of defined collaboration objectives and certain nonclinical, clinical, regulatory and sales-based events, and royalty payments under our collaboration agreements. Our ability to earn these milestone and contingent payments and the timing of achieving these milestones is primarily dependent upon the outcome of our collaborators’ research and development activities and is uncertain at this time. Our Loan Agreement and our rights to payments under our collaboration agreements are our only committed external source of funds.</w:t>
      </w:r>
    </w:p>
    <w:p>
      <w:pPr>
        <w:spacing w:after="0" w:line="173" w:lineRule="exact"/>
        <w:rPr>
          <w:sz w:val="20"/>
          <w:szCs w:val="20"/>
          <w:color w:val="auto"/>
        </w:rPr>
      </w:pPr>
    </w:p>
    <w:p>
      <w:pPr>
        <w:ind w:right="680" w:firstLine="456"/>
        <w:spacing w:after="0" w:line="342" w:lineRule="auto"/>
        <w:rPr>
          <w:sz w:val="20"/>
          <w:szCs w:val="20"/>
          <w:color w:val="auto"/>
        </w:rPr>
      </w:pPr>
      <w:r>
        <w:rPr>
          <w:rFonts w:ascii="Arial" w:cs="Arial" w:eastAsia="Arial" w:hAnsi="Arial"/>
          <w:sz w:val="16"/>
          <w:szCs w:val="16"/>
          <w:color w:val="auto"/>
        </w:rPr>
        <w:t>Under the Loan Agreement, we may borrow up to $15.0 million in three separate draws of $5.0 million each, of which, at December 31, 2015, $5.0 million of the Term A Loans were outstanding and $5.0 million of the Term B Loans and $5.0 million of the Term C Loans were undrawn.</w:t>
      </w:r>
    </w:p>
    <w:p>
      <w:pPr>
        <w:spacing w:after="0" w:line="124"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As of December 31, 2015, the Term A Loans were due in 13 monthly interest-only payments through January 2017, followed by 24 equal monthly principal and interest payments, with final maturity in January 2019. The Term A Loans each bear a fixed rate of interest of 6.97%.</w:t>
      </w:r>
    </w:p>
    <w:p>
      <w:pPr>
        <w:spacing w:after="0" w:line="147" w:lineRule="exact"/>
        <w:rPr>
          <w:sz w:val="20"/>
          <w:szCs w:val="20"/>
          <w:color w:val="auto"/>
        </w:rPr>
      </w:pPr>
    </w:p>
    <w:p>
      <w:pPr>
        <w:ind w:right="200" w:firstLine="456"/>
        <w:spacing w:after="0" w:line="272" w:lineRule="auto"/>
        <w:rPr>
          <w:sz w:val="20"/>
          <w:szCs w:val="20"/>
          <w:color w:val="auto"/>
        </w:rPr>
      </w:pPr>
      <w:r>
        <w:rPr>
          <w:rFonts w:ascii="Arial" w:cs="Arial" w:eastAsia="Arial" w:hAnsi="Arial"/>
          <w:sz w:val="17"/>
          <w:szCs w:val="17"/>
          <w:color w:val="auto"/>
        </w:rPr>
        <w:t>In January 2016, we amended the Loan Agreement to combine Term B Loans and Term C Loans for a total of $10.0 million available for draw and delay the principal repayments for our Term A Loans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(which we expect will occur in the first half of 2016) and (ii) July 1, 2016. The draw period will end upon the earlier of (i) an event of default as defined in the Loan Agreement and (ii) December 31, 2016. If the Term B Loans and Term C Loans are issued, they will bear interest at the greater of 6.95% or the 3-month LIBOR plus 6.72%, with principal payments beginning February 1, 2017 and with final maturity in January 2019.</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Our primary uses of capital are, and we expect will continue to be, third-party clinical and preclinical research and development services, including manufacturing, laboratory and related supplies, compensation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related expenses, legal, patent and other regulatory expenses and general overhead costs. We believe our use of CROs and CMOs provides us with flexibility in managing our spending and limits our cost commitments at any point in time.</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our research and development plans and our timing expectations related to the progress of our programs, we expect that the net proceeds from this offering, together with our existing cash and cash equivalents, and research funding that we expect to receive under our existing collaborations, will enable us to fund our operating expenses and capital expenditure requirements through at least the next 24 months. We have based this estimate on assumptions that may prove to be wrong, and we could use our capital resources sooner than we expect. Additionally, the process of testing drug candidates in clinical trials is costly, and the timing of progress and expenses in these trials is uncertain.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Net cash used in operating activities during the year ended December 31, 2013 of $5.8 million was primarily due to cash operating expenses for the period. Net cash provided by operating activities during the year ended December 31, 2014 of $14.6 million was primarily due to cash received pursuant to our collaboration agreement with TESARO. Net cash used in operating activities during the year ended December 31, 2015 of $9.7 million was primarily due to cash operating expenses of $18.4 million, offset by cash received from our collaboration agreement with TESARO of $8.7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Cash used in investing activities during the years ended December 31, 2013, 2014 and 2015 of $37,000, $0.1 million and $0.2 million, respectively, was primarily due to our purchases of property and equipment. As of this time, we plan to focus on our growth strategies and do not plan on using a significant amount of our cash resources in investing activities.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Cash provided by financing activities was $2.0 million during the year ended December 31, 2013 and represents the net cash proceeds from the issuance of our convertible promissory notes in August 2013. Cash provided by financing activities during the year ended December 31, 2014 was $4.9 million and represents the net cash proceeds from the issuance of our Term A Loans in December 2014. The cash provided by financing activities during the year ended December 31, 2015 was $39.4 million and was primarily related to the issuance of Series D Convertible Preferred Stock for net proceeds of $40.7 million in July 2015, partially offset by $1.4 million in payments related to deferred offering costs.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color w:val="auto"/>
              </w:rPr>
              <w:t>in thousands)</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2"/>
                <w:szCs w:val="12"/>
                <w:b w:val="1"/>
                <w:bCs w:val="1"/>
                <w:color w:val="auto"/>
                <w:w w:val="95"/>
              </w:rPr>
              <w:t>(1)</w:t>
            </w:r>
          </w:p>
        </w:tc>
        <w:tc>
          <w:tcPr>
            <w:tcW w:w="260" w:type="dxa"/>
            <w:vAlign w:val="bottom"/>
          </w:tcPr>
          <w:p>
            <w:pPr>
              <w:spacing w:after="0"/>
              <w:rPr>
                <w:sz w:val="10"/>
                <w:szCs w:val="10"/>
                <w:color w:val="auto"/>
              </w:rPr>
            </w:pPr>
          </w:p>
        </w:tc>
        <w:tc>
          <w:tcPr>
            <w:tcW w:w="1120" w:type="dxa"/>
            <w:vAlign w:val="bottom"/>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w w:val="93"/>
              </w:rPr>
              <w:t>Less Than</w:t>
            </w:r>
          </w:p>
        </w:tc>
        <w:tc>
          <w:tcPr>
            <w:tcW w:w="500" w:type="dxa"/>
            <w:vAlign w:val="bottom"/>
          </w:tcPr>
          <w:p>
            <w:pPr>
              <w:jc w:val="right"/>
              <w:ind w:right="80"/>
              <w:spacing w:after="0" w:line="119" w:lineRule="exact"/>
              <w:rPr>
                <w:sz w:val="20"/>
                <w:szCs w:val="20"/>
                <w:color w:val="auto"/>
              </w:rPr>
            </w:pPr>
            <w:r>
              <w:rPr>
                <w:rFonts w:ascii="Arial" w:cs="Arial" w:eastAsia="Arial" w:hAnsi="Arial"/>
                <w:sz w:val="13"/>
                <w:szCs w:val="13"/>
                <w:b w:val="1"/>
                <w:bCs w:val="1"/>
                <w:color w:val="auto"/>
              </w:rPr>
              <w:t>1-3</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3-5</w:t>
            </w:r>
          </w:p>
        </w:tc>
        <w:tc>
          <w:tcPr>
            <w:tcW w:w="4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0"/>
              </w:rPr>
              <w:t>1 Year</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10"/>
        </w:trPr>
        <w:tc>
          <w:tcPr>
            <w:tcW w:w="6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Notes payable, including interest and final payment fee</w:t>
            </w:r>
            <w:r>
              <w:rPr>
                <w:rFonts w:ascii="Arial" w:cs="Arial" w:eastAsia="Arial" w:hAnsi="Arial"/>
                <w:sz w:val="15"/>
                <w:szCs w:val="15"/>
                <w:color w:val="auto"/>
              </w:rPr>
              <w:t>(2)</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$5,999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$5,176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Operating lease obligation</w:t>
            </w:r>
            <w:r>
              <w:rPr>
                <w:rFonts w:ascii="Arial" w:cs="Arial" w:eastAsia="Arial" w:hAnsi="Arial"/>
                <w:sz w:val="15"/>
                <w:szCs w:val="15"/>
                <w:color w:val="auto"/>
              </w:rPr>
              <w:t>(3)</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3,152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512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1,081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1,158</w:t>
            </w: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9,151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861</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6,257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1,632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right="100" w:hanging="452"/>
        <w:spacing w:after="0" w:line="264"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Future minimum annual obligations for license payments under all collaborative in-license agreements at December 31, 2015 were $0.2 million. These obligations are excluded from the table above as the annual minimum payments are payable through ten years from the first commercial sale, if any, or expiration of the last patent to expire, the dates of which are not determinable at this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hanging="452"/>
        <w:spacing w:after="0" w:line="25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January 2016, we amended the Loan Agreement, which deferred principal repayments on our Term A Loans from February 1, 2016 to February 1, 2017 as described in “Liquidity and Capital Resources” above.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Operating lease obligation includes future rent payments under an office lease, which was amended in October 2015, and expires on August 31, 2021.</w:t>
      </w:r>
    </w:p>
    <w:p>
      <w:pPr>
        <w:spacing w:after="0" w:line="23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We enter into contracts in the normal course of business with clinical trial sites and clinical supply manufacturing organizations and with vendors for preclinical studies, research supplies and other services and products for operating purposes. These contracts generally provide for termination after a notice period, and, therefore, are cancelable contracts and not included in the table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low-risk profile of our investments, we would not expect our operating results or cash flows to be affected to any significant degree by the effect of a sudden change in market interest rates on our investment portfolio.</w:t>
      </w:r>
    </w:p>
    <w:p>
      <w:pPr>
        <w:spacing w:after="0" w:line="166"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We do not believe that our cash and cash equivalents have significant risk of default or illiquidity. While we believe our cash and cash equivalents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debt obligations bear interest at fixed rates and, therefore, have no exposure to changes in interest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2015, we formed a wholly-owned subsidiary in Australia, which exposes us to foreign currency exchange risk. The functional currency of our subsidiary in Australia is the United States dollar.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$(0.2) million during the year ended December 31, 2015. We do not expect the effects of changes in exchange rates to have a material impact on our financial statements.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hedged exposures denominated in foreign currencies, but may do so in the future.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We are a biotechnology company developing first-in-class antibody product candidates focused on unmet medical needs in inflammation and immuno-oncology. We develop our product candidates using our proprietary antibody discovery technology platform called SHM-XEL, which is designed to replicate the natural process of antibody generation </w:t>
      </w:r>
      <w:r>
        <w:rPr>
          <w:rFonts w:ascii="Arial" w:cs="Arial" w:eastAsia="Arial" w:hAnsi="Arial"/>
          <w:sz w:val="17"/>
          <w:szCs w:val="17"/>
          <w:i w:val="1"/>
          <w:iCs w:val="1"/>
          <w:color w:val="auto"/>
        </w:rPr>
        <w:t>in vitro</w:t>
      </w:r>
      <w:r>
        <w:rPr>
          <w:rFonts w:ascii="Arial" w:cs="Arial" w:eastAsia="Arial" w:hAnsi="Arial"/>
          <w:sz w:val="17"/>
          <w:szCs w:val="17"/>
          <w:color w:val="auto"/>
        </w:rPr>
        <w:t>. Our platform is based upon a breakthrough understanding of somatic hypermutation, the key biological process utilized by the human immune system to generate antibodies, which enables us to rapidly develop highly functional antibody drug candidates against emerging biological targets. Our most advanced wholly-owned programs, ANB020 and ANB019, bind to therapeutic targets that are genetically associated with severe inflammatory disorders. ANB020 is an antibody that inhibits the activity of interleukin-33 for the treatment of severe adult asthma and severe adult peanut allergy. We submitted and have received approval of a Clinical Trial Notification, or CTN, in Australia for ANB020 and plan to initiate a Phase 1 clinical trial in the first half of 2016. ANB019 is an antibody that inhibits the interleukin-36 receptor for the treatment of rare inflammatory diseases called generalized pustular psoriasis and palmo-plantar pustular psoriasis. We plan to submit a CTN for ANB019 by the end of 2016 and commence a Phase 1 clinical trial in the first half of 2017.</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 Through January 31, 2016, we have raised approximately $94.3 million from investors, including Biotechnology Value Fund, Cormorant Asset Management, Frazier Healthcare, HBM Partners, Longwood Capital Partners and Novo A/S.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to our wholly-owned antibody programs, we expect four programs will be advanced by our collaborators to the clinic by the first half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2017. Our collaborations include an immuno-oncology-focused collaboration with TESARO and an inflammation-focused collaboration with Celgene.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Through January 31, 2016, we have received significant, non-dilutive funding of $52.9 million from our collaborators.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Candidates</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104775</wp:posOffset>
            </wp:positionV>
            <wp:extent cx="5205730" cy="32588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05730" cy="325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Proof-of-concept, or POC, indicates initial efficacy data in a patient population.</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900" w:right="20" w:hanging="325"/>
        <w:spacing w:after="0" w:line="286"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an antibody that inhibits the activity of interleukin-33, or IL-33, a pro-inflammatory cytokine that multiple studies have indicated is a</w:t>
      </w:r>
      <w:r>
        <w:rPr>
          <w:rFonts w:ascii="Arial" w:cs="Arial" w:eastAsia="Arial" w:hAnsi="Arial"/>
          <w:sz w:val="16"/>
          <w:szCs w:val="16"/>
          <w:b w:val="1"/>
          <w:bCs w:val="1"/>
          <w:color w:val="auto"/>
        </w:rPr>
        <w:t xml:space="preserve"> </w:t>
      </w:r>
      <w:r>
        <w:rPr>
          <w:rFonts w:ascii="Arial" w:cs="Arial" w:eastAsia="Arial" w:hAnsi="Arial"/>
          <w:sz w:val="16"/>
          <w:szCs w:val="16"/>
          <w:color w:val="auto"/>
        </w:rPr>
        <w:t>central mediator of atopic diseases, including asthma, food allergies and atopic dermatitis. IL-33 acts on several cell types, including white blood cells that initiate and orchestrate atopic responses. IL-33 also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believe ANB020 is potentially the first-in-class therapy targeting IL-33. We submitted and have received approval of an Australian CTN for ANB020, and plan to commence a Phase 1 healthy volunteer trial in Australia in the first half of 2016, followed by patient trials in severe adult asthma and severe adult peanut allergy in other countries, including the United States after submitting an IND to the FDA. We estimate, based on our analysis of publicly available data sources and interviews with physicians and key opinion leaders in the field, that asthma affects approximately 7.7% of the adult U.S. population, or approximately 19.0 million individuals, of which 19%, or approximately 3.6 million have severe, persistent occurrence of this respiratory disease. Peanut allergy is the most common cause of food-induced allergy in the United States. Based on our analysis of publicly available data sources and interviews with physicians and key opinion leaders in the field, we estimate approximately 1.7 million adults are affected by peanut allergy,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60"/>
        <w:spacing w:after="0" w:line="277" w:lineRule="auto"/>
        <w:rPr>
          <w:sz w:val="20"/>
          <w:szCs w:val="20"/>
          <w:color w:val="auto"/>
        </w:rPr>
      </w:pPr>
      <w:r>
        <w:rPr>
          <w:rFonts w:ascii="Arial" w:cs="Arial" w:eastAsia="Arial" w:hAnsi="Arial"/>
          <w:sz w:val="18"/>
          <w:szCs w:val="18"/>
          <w:color w:val="auto"/>
        </w:rPr>
        <w:t>of which approximately 600,000 are regularly treated by allergists and approximately 400,000 are at risk for severe reactions and therefore we believe are suitable for treatment with systemic biological therapies.</w:t>
      </w:r>
    </w:p>
    <w:p>
      <w:pPr>
        <w:spacing w:after="0" w:line="72" w:lineRule="exact"/>
        <w:rPr>
          <w:sz w:val="20"/>
          <w:szCs w:val="20"/>
          <w:color w:val="auto"/>
        </w:rPr>
      </w:pPr>
    </w:p>
    <w:p>
      <w:pPr>
        <w:ind w:left="900" w:right="20" w:hanging="325"/>
        <w:spacing w:after="0" w:line="290"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the interleukin-36-receptor, or IL-36R, which we are initially developing as a potential first-in-class therapy for GPP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is associated with mutations, that lead to abnormally high signaling through the IL-36R, which we believe can be addressed by treatment with ANB019. We believe ANB019 is the most advanced therapeutic antibody targeting the IL-36R in development. We anticipate filing an Australian CTN for ANB019 by the end of 2016, the approval of which would allow us to initiate Phase 1 trials in Australia in the first half of 2017. We plan to subsequently develop ANB019 in the United States after submitting an IND to the FDA and to seek FDA Orphan Drug Designation for the treatment of GPP and PPP. The FDA may grant Orphan Drug Designation to a drug intended to treat a disease or condition that generally affects fewer than 200,000 individuals in the United States.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Advantages of Our SHM-XEL Platform</w:t>
      </w:r>
    </w:p>
    <w:p>
      <w:pPr>
        <w:spacing w:after="0" w:line="121"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somatic hypermutation, or SHM, a critical, endogenous process that generates the essential antibody diversity required to develop a natural immune response to pathogens. Our proprietary antibody generation platform, called SHM-XEL,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SHM-XEL overcomes several key limitations associated with these competing technologies and has the following competitive advantages:</w:t>
      </w:r>
    </w:p>
    <w:p>
      <w:pPr>
        <w:spacing w:after="0" w:line="90" w:lineRule="exact"/>
        <w:rPr>
          <w:sz w:val="20"/>
          <w:szCs w:val="20"/>
          <w:color w:val="auto"/>
        </w:rPr>
      </w:pPr>
    </w:p>
    <w:p>
      <w:pPr>
        <w:ind w:left="900" w:right="500" w:hanging="325"/>
        <w:spacing w:after="0" w:line="26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900" w:right="100" w:hanging="325"/>
        <w:spacing w:after="0" w:line="313"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160" w:hanging="325"/>
        <w:spacing w:after="0" w:line="282"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antibody expression, formulation and stability during the antibody generation process.</w:t>
      </w:r>
    </w:p>
    <w:p>
      <w:pPr>
        <w:spacing w:after="0" w:line="67" w:lineRule="exact"/>
        <w:rPr>
          <w:rFonts w:ascii="Arial" w:cs="Arial" w:eastAsia="Arial" w:hAnsi="Arial"/>
          <w:sz w:val="18"/>
          <w:szCs w:val="18"/>
          <w:color w:val="auto"/>
        </w:rPr>
      </w:pPr>
    </w:p>
    <w:p>
      <w:pPr>
        <w:ind w:left="900" w:hanging="325"/>
        <w:spacing w:after="0" w:line="256"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 xml:space="preserve">Bispecific antibodies. </w:t>
      </w:r>
      <w:r>
        <w:rPr>
          <w:rFonts w:ascii="Arial" w:cs="Arial" w:eastAsia="Arial" w:hAnsi="Arial"/>
          <w:sz w:val="18"/>
          <w:szCs w:val="18"/>
          <w:color w:val="auto"/>
        </w:rPr>
        <w:t>A bispecific antibody is a single therapeutic molecule designed to bind two different targets. Bispecific antibodies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286" w:lineRule="auto"/>
        <w:rPr>
          <w:sz w:val="20"/>
          <w:szCs w:val="20"/>
          <w:color w:val="auto"/>
        </w:rPr>
      </w:pPr>
      <w:r>
        <w:rPr>
          <w:rFonts w:ascii="Arial" w:cs="Arial" w:eastAsia="Arial" w:hAnsi="Arial"/>
          <w:sz w:val="17"/>
          <w:szCs w:val="17"/>
          <w:color w:val="auto"/>
        </w:rPr>
        <w:t>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w:t>
      </w:r>
    </w:p>
    <w:p>
      <w:pPr>
        <w:spacing w:after="0" w:line="72" w:lineRule="exact"/>
        <w:rPr>
          <w:sz w:val="20"/>
          <w:szCs w:val="20"/>
          <w:color w:val="auto"/>
        </w:rPr>
      </w:pPr>
    </w:p>
    <w:p>
      <w:pPr>
        <w:ind w:left="900" w:hanging="325"/>
        <w:spacing w:after="0" w:line="292"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lead product candidates into the clinic. </w:t>
      </w:r>
      <w:r>
        <w:rPr>
          <w:rFonts w:ascii="Arial" w:cs="Arial" w:eastAsia="Arial" w:hAnsi="Arial"/>
          <w:sz w:val="16"/>
          <w:szCs w:val="16"/>
          <w:color w:val="auto"/>
        </w:rPr>
        <w:t>We plan to initiate a Phase 1 healthy volunteer trial for ANB020 in the first half of</w:t>
      </w:r>
      <w:r>
        <w:rPr>
          <w:rFonts w:ascii="Arial" w:cs="Arial" w:eastAsia="Arial" w:hAnsi="Arial"/>
          <w:sz w:val="16"/>
          <w:szCs w:val="16"/>
          <w:b w:val="1"/>
          <w:bCs w:val="1"/>
          <w:color w:val="auto"/>
        </w:rPr>
        <w:t xml:space="preserve"> </w:t>
      </w:r>
      <w:r>
        <w:rPr>
          <w:rFonts w:ascii="Arial" w:cs="Arial" w:eastAsia="Arial" w:hAnsi="Arial"/>
          <w:sz w:val="16"/>
          <w:szCs w:val="16"/>
          <w:color w:val="auto"/>
        </w:rPr>
        <w:t>2016, followed by trials in severe adult asthma and severe adult peanut allergy patients. We plan to initiate a Phase 1 healthy volunteer trial for ANB019 in the first half of 2017, followed by a registration study in GPP patients. For both ANB020 and ANB019, we plan to conduct our initial clinical trials in Australia, and to then conduct further clinical development in the United States and other countries. We have elected to pursue this strategy in order to benefit from certain financial incentives that Australia makes available for biotechnology research and development, and because we believe that Australia provides a streamlined approval processes for the initiation of first-in-human studies and that the clinical data we generate in Australia will subsequently be accepted by the FDA and foreign regulatory agencies outside of Australia.</w:t>
      </w:r>
    </w:p>
    <w:p>
      <w:pPr>
        <w:spacing w:after="0" w:line="67" w:lineRule="exact"/>
        <w:rPr>
          <w:rFonts w:ascii="Arial" w:cs="Arial" w:eastAsia="Arial" w:hAnsi="Arial"/>
          <w:sz w:val="16"/>
          <w:szCs w:val="16"/>
          <w:color w:val="auto"/>
        </w:rPr>
      </w:pPr>
    </w:p>
    <w:p>
      <w:pPr>
        <w:ind w:left="900" w:right="40" w:hanging="325"/>
        <w:spacing w:after="0" w:line="277"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and immuno-oncology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clinical proof-of-concept achievement.</w:t>
      </w:r>
    </w:p>
    <w:p>
      <w:pPr>
        <w:spacing w:after="0" w:line="73" w:lineRule="exact"/>
        <w:rPr>
          <w:rFonts w:ascii="Arial" w:cs="Arial" w:eastAsia="Arial" w:hAnsi="Arial"/>
          <w:sz w:val="17"/>
          <w:szCs w:val="17"/>
          <w:color w:val="auto"/>
        </w:rPr>
      </w:pPr>
    </w:p>
    <w:p>
      <w:pPr>
        <w:ind w:left="900" w:right="340" w:hanging="325"/>
        <w:spacing w:after="0" w:line="314" w:lineRule="auto"/>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Continuing to expand our proprietary pipeline by generating new product candidates using our technology platform. </w:t>
      </w:r>
      <w:r>
        <w:rPr>
          <w:rFonts w:ascii="Arial" w:cs="Arial" w:eastAsia="Arial" w:hAnsi="Arial"/>
          <w:sz w:val="16"/>
          <w:szCs w:val="16"/>
          <w:color w:val="auto"/>
        </w:rPr>
        <w:t>Using our</w:t>
      </w:r>
      <w:r>
        <w:rPr>
          <w:rFonts w:ascii="Arial" w:cs="Arial" w:eastAsia="Arial" w:hAnsi="Arial"/>
          <w:sz w:val="16"/>
          <w:szCs w:val="16"/>
          <w:b w:val="1"/>
          <w:bCs w:val="1"/>
          <w:color w:val="auto"/>
        </w:rPr>
        <w:t xml:space="preserve"> </w:t>
      </w:r>
      <w:r>
        <w:rPr>
          <w:rFonts w:ascii="Arial" w:cs="Arial" w:eastAsia="Arial" w:hAnsi="Arial"/>
          <w:sz w:val="16"/>
          <w:szCs w:val="16"/>
          <w:color w:val="auto"/>
        </w:rPr>
        <w:t>proprietary antibody generation platform, we are able to rapidly develop novel therapeutic antibodies against emerging targets. Our goal is to advance one or more wholly-owned new therapeutic antibody program to an IND submission to the FDA, or foreign equivalent, each year.</w:t>
      </w:r>
    </w:p>
    <w:p>
      <w:pPr>
        <w:spacing w:after="0" w:line="47" w:lineRule="exact"/>
        <w:rPr>
          <w:rFonts w:ascii="Arial" w:cs="Arial" w:eastAsia="Arial" w:hAnsi="Arial"/>
          <w:sz w:val="16"/>
          <w:szCs w:val="16"/>
          <w:color w:val="auto"/>
        </w:rPr>
      </w:pPr>
    </w:p>
    <w:p>
      <w:pPr>
        <w:ind w:left="900" w:right="80" w:hanging="325"/>
        <w:spacing w:after="0" w:line="261"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 key</w:t>
      </w:r>
      <w:r>
        <w:rPr>
          <w:rFonts w:ascii="Arial" w:cs="Arial" w:eastAsia="Arial" w:hAnsi="Arial"/>
          <w:sz w:val="18"/>
          <w:szCs w:val="18"/>
          <w:b w:val="1"/>
          <w:bCs w:val="1"/>
          <w:color w:val="auto"/>
        </w:rPr>
        <w:t xml:space="preserve"> </w:t>
      </w:r>
      <w:r>
        <w:rPr>
          <w:rFonts w:ascii="Arial" w:cs="Arial" w:eastAsia="Arial" w:hAnsi="Arial"/>
          <w:sz w:val="18"/>
          <w:szCs w:val="18"/>
          <w:color w:val="auto"/>
        </w:rPr>
        <w:t>inflection points. We may build sales and marketing capabilities in selected specialty markets that we believe can be served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$52.9 million in payments through January 31, 2016. Multiple antibodies, generated by us prior to or during a strategic collaboration, are currently being advanced through development by our collaborators. Our collaborations with TESARO and Celgene are described below: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Programs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SHM-XEL platform consisting of the following antibody product candidates:</w:t>
      </w:r>
    </w:p>
    <w:p>
      <w:pPr>
        <w:spacing w:after="0" w:line="76" w:lineRule="exact"/>
        <w:rPr>
          <w:sz w:val="20"/>
          <w:szCs w:val="20"/>
          <w:color w:val="auto"/>
        </w:rPr>
      </w:pPr>
    </w:p>
    <w:p>
      <w:pPr>
        <w:ind w:left="900" w:right="20" w:hanging="325"/>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Anti-PD-1 Monospecific Antagonist Antibody (TSR-042)</w:t>
      </w:r>
      <w:r>
        <w:rPr>
          <w:rFonts w:ascii="Arial" w:cs="Arial" w:eastAsia="Arial" w:hAnsi="Arial"/>
          <w:sz w:val="18"/>
          <w:szCs w:val="18"/>
          <w:color w:val="auto"/>
        </w:rPr>
        <w:t>: U.S. FDA IND has been submitted and Phase 1 clinical trial initiation anticipated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 of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Anti-TIM-3 Monospecific Antagonist Antibody</w:t>
      </w:r>
      <w:r>
        <w:rPr>
          <w:rFonts w:ascii="Arial" w:cs="Arial" w:eastAsia="Arial" w:hAnsi="Arial"/>
          <w:sz w:val="18"/>
          <w:szCs w:val="18"/>
          <w:color w:val="auto"/>
        </w:rPr>
        <w:t>: currently in preclinical development, U.S. FDA IND submission anticipated in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2016;</w:t>
      </w:r>
    </w:p>
    <w:p>
      <w:pPr>
        <w:spacing w:after="0" w:line="75"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Anti-LAG-3 Monospecific Antagonist Antibody</w:t>
      </w:r>
      <w:r>
        <w:rPr>
          <w:rFonts w:ascii="Arial" w:cs="Arial" w:eastAsia="Arial" w:hAnsi="Arial"/>
          <w:sz w:val="18"/>
          <w:szCs w:val="18"/>
          <w:color w:val="auto"/>
        </w:rPr>
        <w:t>: currently in preclinical development, clinical candidate selection anticipated in the first half of</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Anti-PD-1/TIM-3 Bispecific Antagonist Antibody</w:t>
      </w:r>
      <w:r>
        <w:rPr>
          <w:rFonts w:ascii="Arial" w:cs="Arial" w:eastAsia="Arial" w:hAnsi="Arial"/>
          <w:sz w:val="18"/>
          <w:szCs w:val="18"/>
          <w:color w:val="auto"/>
        </w:rPr>
        <w:t>: currently in lead selection process, clinical candidate selection anticipated in 2016;</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i w:val="1"/>
          <w:iCs w:val="1"/>
          <w:color w:val="auto"/>
        </w:rPr>
        <w:t>Anti-PD-1/LAG-3 Bispecific Antagonist Antibody</w:t>
      </w:r>
      <w:r>
        <w:rPr>
          <w:rFonts w:ascii="Arial" w:cs="Arial" w:eastAsia="Arial" w:hAnsi="Arial"/>
          <w:sz w:val="17"/>
          <w:szCs w:val="17"/>
          <w:color w:val="auto"/>
        </w:rPr>
        <w:t>: currently in lead selection process, clinical candidate selection anticipated in 2016;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Undisclosed Bispecific Antagonist Antibody</w:t>
      </w:r>
      <w:r>
        <w:rPr>
          <w:rFonts w:ascii="Arial" w:cs="Arial" w:eastAsia="Arial" w:hAnsi="Arial"/>
          <w:sz w:val="18"/>
          <w:szCs w:val="18"/>
          <w:color w:val="auto"/>
        </w:rPr>
        <w:t>: currently in lead selection process.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Programs</w:t>
      </w:r>
    </w:p>
    <w:p>
      <w:pPr>
        <w:spacing w:after="0" w:line="11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We successfully delivered antibodies against three targets. Celgene is currently advancing two anti-inflammatory antibody programs to the clinic.</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Wholly-Owned Product Pipeline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most advanced, wholly-owned pipeline programs, ANB020 and ANB019, are described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Anti-IL-33 Antibody</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ANB020 is an antibody that inhibits the activity of IL-33 and is being developed to treat atopic diseases, including severe adult asthma and severe adult peanut allergy. Despite the key role of IL-33 in atopic diseases, it has been historically difficult for other antibody technologies to generate a functional anti-IL-33 therapeutic agent. We believe ANB020 is the most advanced antibody therapeutic candidate in development targeting the IL-33 cytokine. We submitted and have received approval of an Australian CTN for ANB020 and plan to commence a Phase 1 trial in Australia in the first half of 2016.</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IL-33 Target Biology</w:t>
      </w:r>
    </w:p>
    <w:p>
      <w:pPr>
        <w:spacing w:after="0" w:line="11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IL-33 is a pro-inflammatory cytokine that signals through the ST2 receptor, which multiple studies suggest serves as a central mediator of various immune responses leading to Th2-type inflammatory disorders, including asthma, food allergies, atopic dermatitis and other atopic diseases. In response to pathogens, viruses, toxins or allergens, IL-33 is rapidly released from mucosal epithelial and endothelial cells. For example, a recent scientific study has indicated that individuals with asthma symptoms express higher levels of IL-33 than healthy control subjects. IL-33 initiates a diverse array of cellular immune responses, including the activation of mast cells, basophils and eosinophils, leading to production of downstream cytokines, such as IL-4, IL-5 and IL-13, associated with atopic diseases. IL-33 also acts on T helper 2, or Th2, effector cells and Innate Lymphoid Cell Type 2, or ILC2, two types of white blood cells that initiate and orchestrate atopic responses.</w:t>
      </w:r>
    </w:p>
    <w:p>
      <w:pPr>
        <w:spacing w:after="0" w:line="189"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Because ANB020 inhibits IL-33 function and acts upstream of key cell types involved in atopy and the subsequent release of Th2 cytokines, we believe that its mechanism has advantages over that of competing therapeutic antibodies which block only a subset of IL-4, IL-5 or IL-13 cytokines.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Genetic studies support the importance of the IL-33 pathway in atopic diseases. These studies have demonstrated that certain ST2 mutations reduce IL-33 mediated signaling and thereby protect individuals with mutated ST2 from asthma. This supports the hypothesis that an anti-IL-33 antibody, such as ANB020, has the potential to benefit asthma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2002155</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2260600</wp:posOffset>
            </wp:positionH>
            <wp:positionV relativeFrom="paragraph">
              <wp:posOffset>-12065</wp:posOffset>
            </wp:positionV>
            <wp:extent cx="2744470" cy="19297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744470"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20"/>
        <w:spacing w:after="0"/>
        <w:rPr>
          <w:sz w:val="20"/>
          <w:szCs w:val="20"/>
          <w:color w:val="auto"/>
        </w:rPr>
      </w:pPr>
      <w:r>
        <w:rPr>
          <w:rFonts w:ascii="Arial" w:cs="Arial" w:eastAsia="Arial" w:hAnsi="Arial"/>
          <w:sz w:val="13"/>
          <w:szCs w:val="13"/>
          <w:b w:val="1"/>
          <w:bCs w:val="1"/>
          <w:color w:val="auto"/>
        </w:rPr>
        <w:t>Figure 1. Types of cells and cytokines modulated by IL-33. When triggered by pathogens, toxins, viruses or allergens, IL-33 is an upstream mediator of Th2 cells, mast cells, basophils, eosinophils and ILC2 cells, which lead to the secretion of IL-4, IL-5, IL-13 and other chemokines.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2574290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2637790</wp:posOffset>
            </wp:positionH>
            <wp:positionV relativeFrom="paragraph">
              <wp:posOffset>147320</wp:posOffset>
            </wp:positionV>
            <wp:extent cx="1981200" cy="2341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98120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60"/>
        <w:spacing w:after="0" w:line="280" w:lineRule="auto"/>
        <w:rPr>
          <w:sz w:val="20"/>
          <w:szCs w:val="20"/>
          <w:color w:val="auto"/>
        </w:rPr>
      </w:pPr>
      <w:r>
        <w:rPr>
          <w:rFonts w:ascii="Arial" w:cs="Arial" w:eastAsia="Arial" w:hAnsi="Arial"/>
          <w:sz w:val="12"/>
          <w:szCs w:val="12"/>
          <w:b w:val="1"/>
          <w:bCs w:val="1"/>
          <w:color w:val="auto"/>
        </w:rPr>
        <w:t>Figure 2. IL-33 intracellular signaling. IL-33 binds to ST2 that is expressed on the cell surface and triggers the activation of the IL-1 receptor accessory protein, or IL-1RAP, leading to the activation of MYD88, IRAK4 and downstream kinases and inducing cytokine release. Soluble ST2 acts as a decoy receptor, inhibiting IL-33 before it engages ST2 on the cell surface.</w:t>
      </w:r>
    </w:p>
    <w:p>
      <w:pPr>
        <w:spacing w:after="0" w:line="16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believe that targeting IL-33 activity is a more promising therapeutic intervention strategy than targeting its receptor, ST2, because (i) ST2 is present in significantly larger quantities, in comparison to IL-33, which will likely require high anti-ST2 antibody dosing levels and (ii) soluble ST2 inhibits IL-33 function, therefore blocking ST2, and likely leading to the release of additional IL-33, thereby exacerbating atopic disease.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Description</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ANB020, which is potentially a first-in-class therapeutic antibody, is our wholly-owned anti-IL-33 antibody product candidate generated using our SHM-XEL technology platform.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8" w:lineRule="auto"/>
        <w:rPr>
          <w:sz w:val="20"/>
          <w:szCs w:val="20"/>
          <w:color w:val="auto"/>
        </w:rPr>
      </w:pPr>
      <w:r>
        <w:rPr>
          <w:rFonts w:ascii="Arial" w:cs="Arial" w:eastAsia="Arial" w:hAnsi="Arial"/>
          <w:sz w:val="17"/>
          <w:szCs w:val="17"/>
          <w:color w:val="auto"/>
        </w:rPr>
        <w:t xml:space="preserve">Our preclinical studies have provided evidence of ANB020’s favorable potency and functional activity in human and cynomolgus monkey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The high potency and functional activity of ANB020 for human and cynomolgus monkey IL-33 was measured using standard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assays: equilibrium dissociation constant, or K</w:t>
      </w:r>
      <w:r>
        <w:rPr>
          <w:rFonts w:ascii="Arial" w:cs="Arial" w:eastAsia="Arial" w:hAnsi="Arial"/>
          <w:sz w:val="14"/>
          <w:szCs w:val="14"/>
          <w:color w:val="auto"/>
        </w:rPr>
        <w:t>D</w:t>
      </w:r>
      <w:r>
        <w:rPr>
          <w:rFonts w:ascii="Arial" w:cs="Arial" w:eastAsia="Arial" w:hAnsi="Arial"/>
          <w:sz w:val="17"/>
          <w:szCs w:val="17"/>
          <w:color w:val="auto"/>
        </w:rPr>
        <w:t>, and half-maximal inhibitory concentration values, or IC</w:t>
      </w:r>
      <w:r>
        <w:rPr>
          <w:rFonts w:ascii="Arial" w:cs="Arial" w:eastAsia="Arial" w:hAnsi="Arial"/>
          <w:sz w:val="14"/>
          <w:szCs w:val="14"/>
          <w:color w:val="auto"/>
        </w:rPr>
        <w:t>50</w:t>
      </w:r>
      <w:r>
        <w:rPr>
          <w:rFonts w:ascii="Arial" w:cs="Arial" w:eastAsia="Arial" w:hAnsi="Arial"/>
          <w:sz w:val="17"/>
          <w:szCs w:val="17"/>
          <w:color w:val="auto"/>
        </w:rPr>
        <w:t>. ANB020 demonstrated highly potent K</w:t>
      </w:r>
      <w:r>
        <w:rPr>
          <w:rFonts w:ascii="Arial" w:cs="Arial" w:eastAsia="Arial" w:hAnsi="Arial"/>
          <w:sz w:val="14"/>
          <w:szCs w:val="14"/>
          <w:color w:val="auto"/>
        </w:rPr>
        <w:t>D</w:t>
      </w:r>
      <w:r>
        <w:rPr>
          <w:rFonts w:ascii="Arial" w:cs="Arial" w:eastAsia="Arial" w:hAnsi="Arial"/>
          <w:sz w:val="17"/>
          <w:szCs w:val="17"/>
          <w:color w:val="auto"/>
        </w:rPr>
        <w:t xml:space="preserve"> values of approximately 1 pM and 37 pM for human and cynomolgus monkey IL-33, respectively. ANB020 inhibits secretion of IL-5 from primary basophils purified from peripheral blood of healthy subjects with an IC</w:t>
      </w:r>
      <w:r>
        <w:rPr>
          <w:rFonts w:ascii="Arial" w:cs="Arial" w:eastAsia="Arial" w:hAnsi="Arial"/>
          <w:sz w:val="14"/>
          <w:szCs w:val="14"/>
          <w:color w:val="auto"/>
        </w:rPr>
        <w:t>50</w:t>
      </w:r>
      <w:r>
        <w:rPr>
          <w:rFonts w:ascii="Arial" w:cs="Arial" w:eastAsia="Arial" w:hAnsi="Arial"/>
          <w:sz w:val="17"/>
          <w:szCs w:val="17"/>
          <w:color w:val="auto"/>
        </w:rPr>
        <w:t xml:space="preserve"> of approximately 1.5 nM, which is approximately 15-fold greater than that of the soluble ST2 antagonist, as shown in Figure 3 below. Lower K</w:t>
      </w:r>
      <w:r>
        <w:rPr>
          <w:rFonts w:ascii="Arial" w:cs="Arial" w:eastAsia="Arial" w:hAnsi="Arial"/>
          <w:sz w:val="14"/>
          <w:szCs w:val="14"/>
          <w:color w:val="auto"/>
        </w:rPr>
        <w:t>D</w:t>
      </w:r>
      <w:r>
        <w:rPr>
          <w:rFonts w:ascii="Arial" w:cs="Arial" w:eastAsia="Arial" w:hAnsi="Arial"/>
          <w:sz w:val="17"/>
          <w:szCs w:val="17"/>
          <w:color w:val="auto"/>
        </w:rPr>
        <w:t xml:space="preserve"> and IC</w:t>
      </w:r>
      <w:r>
        <w:rPr>
          <w:rFonts w:ascii="Arial" w:cs="Arial" w:eastAsia="Arial" w:hAnsi="Arial"/>
          <w:sz w:val="14"/>
          <w:szCs w:val="14"/>
          <w:color w:val="auto"/>
        </w:rPr>
        <w:t>50</w:t>
      </w:r>
      <w:r>
        <w:rPr>
          <w:rFonts w:ascii="Arial" w:cs="Arial" w:eastAsia="Arial" w:hAnsi="Arial"/>
          <w:sz w:val="17"/>
          <w:szCs w:val="17"/>
          <w:color w:val="auto"/>
        </w:rPr>
        <w:t xml:space="preserve"> values indicate higher potency and functional activity,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6131560" cy="19894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131560"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Figure 3. Results from </w:t>
      </w:r>
      <w:r>
        <w:rPr>
          <w:rFonts w:ascii="Arial" w:cs="Arial" w:eastAsia="Arial" w:hAnsi="Arial"/>
          <w:sz w:val="13"/>
          <w:szCs w:val="13"/>
          <w:b w:val="1"/>
          <w:bCs w:val="1"/>
          <w:i w:val="1"/>
          <w:iCs w:val="1"/>
          <w:color w:val="auto"/>
        </w:rPr>
        <w:t>in vitro</w:t>
      </w:r>
      <w:r>
        <w:rPr>
          <w:rFonts w:ascii="Arial" w:cs="Arial" w:eastAsia="Arial" w:hAnsi="Arial"/>
          <w:sz w:val="13"/>
          <w:szCs w:val="13"/>
          <w:b w:val="1"/>
          <w:bCs w:val="1"/>
          <w:color w:val="auto"/>
        </w:rPr>
        <w:t xml:space="preserve"> assay comparing effectiveness of ANB020 and soluble ST2 in inhibiting IL-5 release.</w:t>
      </w:r>
    </w:p>
    <w:p>
      <w:pPr>
        <w:spacing w:after="0" w:line="206"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Using peripheral blood mononuclear cells, or PBMC, ANB020 inhibited human and cynomolgus monkey interferon-gamma release with an IC</w:t>
      </w:r>
      <w:r>
        <w:rPr>
          <w:rFonts w:ascii="Arial" w:cs="Arial" w:eastAsia="Arial" w:hAnsi="Arial"/>
          <w:sz w:val="15"/>
          <w:szCs w:val="15"/>
          <w:color w:val="auto"/>
        </w:rPr>
        <w:t>50</w:t>
      </w:r>
      <w:r>
        <w:rPr>
          <w:rFonts w:ascii="Arial" w:cs="Arial" w:eastAsia="Arial" w:hAnsi="Arial"/>
          <w:sz w:val="18"/>
          <w:szCs w:val="18"/>
          <w:color w:val="auto"/>
        </w:rPr>
        <w:t xml:space="preserve"> of approximately 1.1 nM and approximately 20.4 nM, respectively as shown in Figure 4 below. We have developed a whole blood version of the PBMC assay, which we plan to utilize to understand the pharmacodynamic activity of ANB020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6131560" cy="17233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31560"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4. Activity read out of interferon-gamma release for PBMCs pretreated overnight with 100mg/ml IL-12, challenged with ten (human) or five (cynomolgus) nM IL-33 for 48 hours.</w:t>
      </w:r>
    </w:p>
    <w:p>
      <w:pPr>
        <w:spacing w:after="0" w:line="206"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preclinical development has also demonstrated that ANB020 has favorable manufacturability, pharmacokinetics and toxicology to support development. Studies have demonstrated desirable manufacturing properties for ANB020, including robust expression from Chinese hamster ovary cells, or CHO cells, efficient purification using standard downstream techniques and stable formulation up to concentrations required for subcutaneous dosing in humans. ANB020 demonstrated a half-life of approximately seven days in cynomolgus monkeys, retained full functional activity when incubated in normal human serum at 37 °C for one week and</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80"/>
          </w:cols>
          <w:pgMar w:left="240" w:top="459" w:right="3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proved to be fully active in cynomolgus monkey sera two weeks after dosing. We have conducted preclinical toxicology studies under good laboratory practices for ANB020. In addition, we have conducted manufacturing under good manufacturing practice to produce ANB020 in quantities for initial clinical use.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We submitted a CTN for ANB020 and have received approval to commence initial clinical testing of ANB020 in Australia. Conducting early clinical trials in Australia permits us to benefit from Australia’s streamlined approval processes for the initiation of first-in-human studies. We subsequently plan to initiate a healthy volunteer Phase 1 trial, intended to assess, in single and multiple ascending doses, safety, tolerability and pharmacokinetic characteristics of ANB020. We will concurrently utilize a whole blood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assay to identify its pharmacodynamic activity range. These tests are also expected to take place in Australia, and following completion of these tests we plan to conduct further clinical trials in the United States under a U.S. IND.</w:t>
      </w:r>
    </w:p>
    <w:p>
      <w:pPr>
        <w:spacing w:after="0" w:line="15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Once pharmacodynamic activity has been established in healthy volunteers, we plan to test the clinical activity of ANB020 in atopic dermatitis patients challenged with an allergen, after dosing with ANB020 or a placebo.</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After submitting a U.S. IND, we plan to test ANB020 in Phase 2 trials in patients with severe adult asthma and severe adult peanut allergy. Upon demonstrating proof-of-concept in Phase 2 trials, we intend to conduct Phase 3 registration trials for ANB020 in these indications. These later-stage trials may be conducted through collaboration with a leading pharmaceutical company with strong commercial infrastructure in respiratory and allergic therapeutic areas.</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addition, we are exploring the potential to develop ANB020 as a treatment for myeloproliferative neoplasms where the survival, expansion or transformation of pathogenic precursor cells may be dependent upon IL-33, including myelofibrosis, which affects approximately 18,000 people in the United States.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Figure 5 below describes our current anticipated clinical development strategy for ANB020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226175" cy="32677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26175" cy="326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5. Anticipated ANB020 clinical development strategy.</w:t>
      </w:r>
    </w:p>
    <w:p>
      <w:pPr>
        <w:spacing w:after="0" w:line="2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a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national regulatory agency in Australia, the Therapeutic Goods Administration, or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67"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In addition, we believe that clinical data generated in Australia will subsequently be accepted by the FDA and its foreign equivalents outside of Australia, and therefore may enable us to commence Phase 2 clinical trials in the United States immediately following submission of an IND, without any need for us to repeat our Phase 1 trials in the United States. As discussed below under “Government Regulation and Product Approval—Foreign Clinical Studies to Support an IND,” we believe the FDA will generally accept data from well-designed, well-conducted foreign clinical trials that are conducted in accordance with good clinical practice, or GCP, where the FDA is able to validate data through onsite inspection, if the FDA deems such inspection necessary. We expect that our Phase 1</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clinical trials for ANB020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 Market Opportunity</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 significant portion of individuals in the U.S. population experiences at least one atopic disease during their lifetime, and it is well understood that most patients with one type of atopic condition tend to present with other allergic conditions. While we believe ANB020 may be effective across atopic diseases, we have prioritized our development efforts based on unmet medical need and potential market opportunity. We have chosen to focus our ANB020 program initially on two indications: severe adult asthma and severe adult peanut allergy.</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Asthma. </w:t>
      </w:r>
      <w:r>
        <w:rPr>
          <w:rFonts w:ascii="Arial" w:cs="Arial" w:eastAsia="Arial" w:hAnsi="Arial"/>
          <w:sz w:val="18"/>
          <w:szCs w:val="18"/>
          <w:color w:val="auto"/>
        </w:rPr>
        <w:t>We estimate, based on our analysis of publicly available data sources and interviews with physicians and key opinion leaders in the field, that asthma</w:t>
      </w:r>
      <w:r>
        <w:rPr>
          <w:rFonts w:ascii="Arial" w:cs="Arial" w:eastAsia="Arial" w:hAnsi="Arial"/>
          <w:sz w:val="18"/>
          <w:szCs w:val="18"/>
          <w:i w:val="1"/>
          <w:iCs w:val="1"/>
          <w:color w:val="auto"/>
        </w:rPr>
        <w:t xml:space="preserve"> </w:t>
      </w:r>
      <w:r>
        <w:rPr>
          <w:rFonts w:ascii="Arial" w:cs="Arial" w:eastAsia="Arial" w:hAnsi="Arial"/>
          <w:sz w:val="18"/>
          <w:szCs w:val="18"/>
          <w:color w:val="auto"/>
        </w:rPr>
        <w:t>affects approximately 7.7% of the adult U.S. population, or 19.0 million individuals, of which 19%, or 3.6 million individuals, have severe, persistent occurrence of this respiratory disease. As a chronic inflammatory disorder, severe asthma can lead to permanent structural damage to the airways and long-term reductions in lung function. Although many mild-to-moderate asthmatics respond well to currently available treatments, which include inhaled corticosteroids, or ICS, and long-acting beta agonists, or LABA, severe asthma in patients is generally not adequately controlled by such available therapies. We will initially focus on the treatment of severe asthma that, based on our analysis, includes 1.1 million adult patients whose disease is not sufficiently controlled through standard-of-care therapy. We have conducted primary market studies that estimate approximately 45% of these patients are candidates for biologic therapies, such as ANB020.</w:t>
      </w:r>
    </w:p>
    <w:p>
      <w:pPr>
        <w:spacing w:after="0" w:line="19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Existing biologic therapies include Xolair, which is approved for the treatment of moderate to severe persistent allergic asthma patients whose asthma symptoms are not controlled by ICS. Xolair’s approved labeling carries a black box warning about the risk of anaphylaxis, a severe, potentially fatal, allergic reaction, and Nucala, which the FDA recently approved for the add-on maintenance treatment in patients aged 12 years or older with severe eosinophilic asthma. Other emerging therapies currently in development, such as lebrikizumab, have yet to be approved by the FDA for treatment of asthma while the FDA’s Pulmonary-Allergy Drugs Advisory Committee recommended that the FDA approve reslizumab in adult patients aged 18 years and older for the treatment of inadequately controlled asthma in patients with elevated eosinophils, despite an inhaled corticosteroids treatment regimen. Xolair is a difficult drug to prescribe due to complex dosing algorithms, frequent administration and risk of anaphylaxis, and we expect the indications for Nucala, reslizumab and lebrikizumab will be limited to subsets of the asthma market defined by biomarkers. We believe that ANB020 may have therapeutic benefit across a broad range of ICS-refractory severe adult asthma patients, and plan to utilize biomarkers during development to differentiate ANB020 relative to competitors.</w:t>
      </w:r>
    </w:p>
    <w:p>
      <w:pPr>
        <w:spacing w:after="0" w:line="19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Peanut Allergy. </w:t>
      </w:r>
      <w:r>
        <w:rPr>
          <w:rFonts w:ascii="Arial" w:cs="Arial" w:eastAsia="Arial" w:hAnsi="Arial"/>
          <w:sz w:val="18"/>
          <w:szCs w:val="18"/>
          <w:color w:val="auto"/>
        </w:rPr>
        <w:t>Peanuts are the most common cause of food-induced allergy in the United States. We estimate, based on our analysis of publicly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data sources and interviews with physicians and key opinion leaders in the field, that approximately 1.7 million adults in the United States have allergic responses to peanut. We estimate approximately 600,000 are treated by allergists and approximately 400,000 are at risk for severe reactions and therefore we believe are suitable for treatment with systemic biological therapies.</w:t>
      </w:r>
    </w:p>
    <w:p>
      <w:pPr>
        <w:spacing w:after="0" w:line="187"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Existing therapies have failed to prevent the occurrence of severe reactions due to accidental peanut exposure, which often results in systemic anaphylaxis and can lead to death. Immunotherapy approaches, such as oral or transdermal desensitization, currently being developed for this indication require patients to be dosed with increasing quantities of peanut antigens over time. If patients are able to overcome the toxicities of this allergen-based approach, therapeutic benefit, on an allergen-specific basis, may be observed after 12 to 24 months of oral or skin patch based delivery of peanut allergens. The long-term safety and efficacy of immunotherapy is still uncertain, and these desensitization treatments have not yet been approved by the FDA.</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459" w:right="2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ANB020 has the potential to rapidly suppress severe adult peanut allergy through its cytokine targeting mechanism, which is allergen non-specific, allowing patients with multiple allergic responses to benefit from a single therapy, and avoids tolerability issues by acting without allergen dosing. If approved, we anticipate that ANB020 could become the standard-of-care for the treatment of severe adult peanut allergy patients.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ANB019: Anti-IL-36R Antibody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ANB019 is an antibody that inhibits the function of IL-36R, which we are initially developing as a potential first-in-class therapy for genetically-defined GPP patients. GPP is a life-threatening, rare systemic inflammatory disorder reported to affect approximately 3,000 patients in the United States alone, with no currently approved therapies. Studies have shown that GPP is associated with mutations in the gene encoding the IL-36R antagonist, or IL-36RA, that lead to abnormally high signaling through the IL-36R and thereby cause the systemic inflammatory condition, GPP. We believe ANB019 is the most advanced antibody targeting the IL-36R in development.</w:t>
      </w:r>
    </w:p>
    <w:p>
      <w:pPr>
        <w:spacing w:after="0" w:line="188"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anticipate filing an Australian CTN for ANB019 by the end of 2016 and initiating a Phase 1 trial in Australia in the first half of 2017. We also plan to develop ANB019 for other IL-36R driven inflammatory conditions, including PPP, which is reported to affect approximately 150,000 patients in the United States. We plan to seek FDA Orphan Drug Designation for ANB019 for the treatment of GPP and PPP, which we believe may be differentiated from the non-rare plaque psoriasis, or psoriasis vulgaris, based upon distinctive genetic and translational features unique to GPP and/or PPP.</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IL-36R Target Biology</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IL-36 subfamily of proteins consists of the IL-36 receptor antagonist, or IL-36RA, as well as IL-36 alpha, IL-36 beta and IL-36 gamma, all of which have agonistic characteristics and signal through IL-36R. These IL-36 proteins are mainly expressed in keratinocytes, the predominant cell type in the epidermis. The role of the IL-36RA is to dampen the inflammatory effects of IL-36 alpha, IL-36 beta and IL-36 gamma.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2223770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131445</wp:posOffset>
            </wp:positionV>
            <wp:extent cx="2727325" cy="20066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727325"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160"/>
        <w:spacing w:after="0"/>
        <w:rPr>
          <w:sz w:val="20"/>
          <w:szCs w:val="20"/>
          <w:color w:val="auto"/>
        </w:rPr>
      </w:pPr>
      <w:r>
        <w:rPr>
          <w:rFonts w:ascii="Arial" w:cs="Arial" w:eastAsia="Arial" w:hAnsi="Arial"/>
          <w:sz w:val="13"/>
          <w:szCs w:val="13"/>
          <w:b w:val="1"/>
          <w:bCs w:val="1"/>
          <w:color w:val="auto"/>
        </w:rPr>
        <w:t>Figure 6. IL-36 Receptor Signaling. Signaling is maintained in balance by the receptor antagonist. Mutations render the receptor antagonist dysfunctional and lead to uncontrolled signaling causing GPP. PPP is caused by excess cytokine signaling that overcomes a normal receptor antagonist.</w:t>
      </w:r>
    </w:p>
    <w:p>
      <w:pPr>
        <w:spacing w:after="0" w:line="19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Studies have demonstrated the relevance of IL-36 in regulating inflammation in the skin. Mice over-expressing the IL-36 alpha cytokine undergo a psoriasis-like condition when challenged with an inflammatory stimulus. Additionally, immuno-deficient mice transplanted with human psoriatic skin have been shown to require the IL-36R signaling to maintain disease.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Recent human studies have demonstrated that mutations in the IL-36RA lead to the occurrence of GPP by rendering it non-functional and unable to dampen IL-36R signaling</w:t>
      </w:r>
      <w:r>
        <w:rPr>
          <w:rFonts w:ascii="Arial" w:cs="Arial" w:eastAsia="Arial" w:hAnsi="Arial"/>
          <w:sz w:val="18"/>
          <w:szCs w:val="18"/>
          <w:i w:val="1"/>
          <w:iCs w:val="1"/>
          <w:color w:val="auto"/>
        </w:rPr>
        <w:t>.</w:t>
      </w:r>
      <w:r>
        <w:rPr>
          <w:rFonts w:ascii="Arial" w:cs="Arial" w:eastAsia="Arial" w:hAnsi="Arial"/>
          <w:sz w:val="18"/>
          <w:szCs w:val="18"/>
          <w:color w:val="auto"/>
        </w:rPr>
        <w:t xml:space="preserve"> These findings support our hypothesis that IL-36 signaling plays a significant role in GPP.</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ANB019 has the potential to be the first-in-class therapeutic antibody targeting IL-36R, serving as a therapeutic opportunity for patients with IL-36 signaling mediated inflammatory disease, including GPP.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Description</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ANB019 was generated using our SHM-XEL technology platform and has demonstrated high functional potency in blocking human and cynomolgus monkey IL-36 signaling in preclinical studies.</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ANB019 blocks signal transduction through the human IL-36R and cynomolgus monkey IL-36R by inhibiting the interaction between the receptor and IL-36 alpha, IL-36 beta, and IL-36 gamma cytokines. The high potency and functional activity of ANB019 for human and cynomolgus monkey IL-36R was measured using standard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to determine K</w:t>
      </w:r>
      <w:r>
        <w:rPr>
          <w:rFonts w:ascii="Arial" w:cs="Arial" w:eastAsia="Arial" w:hAnsi="Arial"/>
          <w:sz w:val="13"/>
          <w:szCs w:val="13"/>
          <w:color w:val="auto"/>
        </w:rPr>
        <w:t>D</w:t>
      </w:r>
      <w:r>
        <w:rPr>
          <w:rFonts w:ascii="Arial" w:cs="Arial" w:eastAsia="Arial" w:hAnsi="Arial"/>
          <w:sz w:val="16"/>
          <w:szCs w:val="16"/>
          <w:color w:val="auto"/>
        </w:rPr>
        <w:t>, and IC</w:t>
      </w:r>
      <w:r>
        <w:rPr>
          <w:rFonts w:ascii="Arial" w:cs="Arial" w:eastAsia="Arial" w:hAnsi="Arial"/>
          <w:sz w:val="13"/>
          <w:szCs w:val="13"/>
          <w:color w:val="auto"/>
        </w:rPr>
        <w:t>50</w:t>
      </w:r>
      <w:r>
        <w:rPr>
          <w:rFonts w:ascii="Arial" w:cs="Arial" w:eastAsia="Arial" w:hAnsi="Arial"/>
          <w:sz w:val="16"/>
          <w:szCs w:val="16"/>
          <w:color w:val="auto"/>
        </w:rPr>
        <w:t xml:space="preserve"> values. ANB019 has demonstrated potent K</w:t>
      </w:r>
      <w:r>
        <w:rPr>
          <w:rFonts w:ascii="Arial" w:cs="Arial" w:eastAsia="Arial" w:hAnsi="Arial"/>
          <w:sz w:val="13"/>
          <w:szCs w:val="13"/>
          <w:color w:val="auto"/>
        </w:rPr>
        <w:t>D</w:t>
      </w:r>
      <w:r>
        <w:rPr>
          <w:rFonts w:ascii="Arial" w:cs="Arial" w:eastAsia="Arial" w:hAnsi="Arial"/>
          <w:sz w:val="16"/>
          <w:szCs w:val="16"/>
          <w:color w:val="auto"/>
        </w:rPr>
        <w:t xml:space="preserve"> values of approximately of 71 pM and 209 pM for human IL-36R and cynomolgus monkey IL-36R, respectively. The antibody exhibits high specificity for IL-36R, displaying no detectable binding to related proteins. As shown in Figure 7 below, functional potency of ANB019 is at least 100-fold greater than IL-36RA in both human and cynomolgus systems, which is measured as the IC</w:t>
      </w:r>
      <w:r>
        <w:rPr>
          <w:rFonts w:ascii="Arial" w:cs="Arial" w:eastAsia="Arial" w:hAnsi="Arial"/>
          <w:sz w:val="13"/>
          <w:szCs w:val="13"/>
          <w:color w:val="auto"/>
        </w:rPr>
        <w:t>50</w:t>
      </w:r>
      <w:r>
        <w:rPr>
          <w:rFonts w:ascii="Arial" w:cs="Arial" w:eastAsia="Arial" w:hAnsi="Arial"/>
          <w:sz w:val="16"/>
          <w:szCs w:val="16"/>
          <w:color w:val="auto"/>
        </w:rPr>
        <w:t xml:space="preserve"> of inhibition of interleukin-8, or IL-8, release from human and cynomolgus keratinocytes. ANB019 functional activity has been demonstrated through inhibition of IL-8 secretion from human and cynomolgus primary keratinocytes when stimulated by IL-36 gamma of approximately 0.15 nM and 1.2 nM, respectively. Lower K</w:t>
      </w:r>
      <w:r>
        <w:rPr>
          <w:rFonts w:ascii="Arial" w:cs="Arial" w:eastAsia="Arial" w:hAnsi="Arial"/>
          <w:sz w:val="13"/>
          <w:szCs w:val="13"/>
          <w:color w:val="auto"/>
        </w:rPr>
        <w:t>D</w:t>
      </w:r>
      <w:r>
        <w:rPr>
          <w:rFonts w:ascii="Arial" w:cs="Arial" w:eastAsia="Arial" w:hAnsi="Arial"/>
          <w:sz w:val="16"/>
          <w:szCs w:val="16"/>
          <w:color w:val="auto"/>
        </w:rPr>
        <w:t xml:space="preserve"> and IC</w:t>
      </w:r>
      <w:r>
        <w:rPr>
          <w:rFonts w:ascii="Arial" w:cs="Arial" w:eastAsia="Arial" w:hAnsi="Arial"/>
          <w:sz w:val="13"/>
          <w:szCs w:val="13"/>
          <w:color w:val="auto"/>
        </w:rPr>
        <w:t>50</w:t>
      </w:r>
      <w:r>
        <w:rPr>
          <w:rFonts w:ascii="Arial" w:cs="Arial" w:eastAsia="Arial" w:hAnsi="Arial"/>
          <w:sz w:val="16"/>
          <w:szCs w:val="16"/>
          <w:color w:val="auto"/>
        </w:rPr>
        <w:t xml:space="preserve"> values indicate higher potency and functional activity, respectively. Similar IC</w:t>
      </w:r>
      <w:r>
        <w:rPr>
          <w:rFonts w:ascii="Arial" w:cs="Arial" w:eastAsia="Arial" w:hAnsi="Arial"/>
          <w:sz w:val="13"/>
          <w:szCs w:val="13"/>
          <w:color w:val="auto"/>
        </w:rPr>
        <w:t>50</w:t>
      </w:r>
      <w:r>
        <w:rPr>
          <w:rFonts w:ascii="Arial" w:cs="Arial" w:eastAsia="Arial" w:hAnsi="Arial"/>
          <w:sz w:val="16"/>
          <w:szCs w:val="16"/>
          <w:color w:val="auto"/>
        </w:rPr>
        <w:t xml:space="preserve"> values were observed in those same preclinical studies when keratinocytes were stimulated with IL-36 alpha or beta.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6200140" cy="18522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00140" cy="1852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7. ANB019 demonstrated functional inhibition in our preclinical studies and inhibited functional activity of IL-36 cytokines with at least 100-fold greater potency than IL-36RA.</w:t>
      </w:r>
    </w:p>
    <w:p>
      <w:pPr>
        <w:spacing w:after="0" w:line="20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have initiated manufacturing, pharmacokinetic and safety studies with ANB019, and plan to initiate clinical development in the first half of 2017. To date, we have demonstrated that the half-life of ANB019 in cynomolgus monkeys is more than nine days. ANB019 is well-expressed from CHO mammalian cells and is readily purified using standard methodologies. In addition, the antibody retained full functional activity when incubated in normal human serum at 37 °C for one week.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 xml:space="preserve">We plan to initiate clinical development of ANB019 in Australia with a healthy volunteer, Phase 1 dose escalation trial involving single and multiple ascending dose protocols, while also utilizing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assays to determine the antibody’s pharmacodynamic activity range. Following completion of this initial Phase 1 trial, we plan to submit a U.S. IND and conduct further clinical testing in the United States.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Our initial clinical testing of ANB019 will focus primarily on GPP patients. We currently plan to conduct a registration program in the United States with ANB019 in GPP patients, focusing on patients who have mutations that render their IL-36RA dysfunctional, starting with an initial signal study with five to ten patients. Based on the therapeutic effect we anticipate ANB019 will have in the treatment of patients with GPP who have the relevant genetic defect, we believe a small trial, potentially with fewer than 100 patients, may be sufficient to demonstrate substantial evidence of efficacy and safety. We intend to obtain input from FDA on clinical trial design before conducting a pivotal clinical trial in patients with GPP.</w:t>
      </w:r>
    </w:p>
    <w:p>
      <w:pPr>
        <w:spacing w:after="0" w:line="1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Once the aforementioned GPP registration study has been initiated, we intend to develop ANB019 for PPP. We anticipate a dose-ranging placebo-controlled Phase 2 trial for PPP with United States and foreign testing sites, followed by one or more Phase 3 pivotal registration trials. If we use a diagnostic test to select patients for inclusion in our registration program, such as a genetic test for IL-36RA mutations, the FDA may require that the companion diagnostic be approved or cleared for use at the time the product receives marketing approval.</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Human studies have shown that IL-36 cytokines are highly upregulated in psoriasis vulgaris, in conjunction with some upregulation of other inflammatory cytokines such as TNF-alpha, IL-17A, IL-6 and IL-12. Therefore, we may, as part of our initial clinical testing of ANB019, conduct a proof-of-mechanism clinical trial with psoriasis vulgaris patients who are not currently on any biological therapies. In addition, we may also consider clinical development of ANB019 for patients with psoriasis vulgaris that have failed treatment with the current standard of care, including Stelara (ustekinumab) and Cosentyx (secukinumab).</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Figure 8 below describes our current anticipated clinical development strategy for ANB019 and our current estimate of the approximate timeframe in which our anticipated development activities will occur. However, as described in the section titled “Risk Factors” and elsewhere in this prospectus, the clinical development of drug product candidates is subject to a wide range of risks and uncertainties, any of which could cause our actual development strategy or timeframes to vary from the description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6165850" cy="3395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165850"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8. Anticipated ANB019 clinical development strategy.</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60"/>
          </w:cols>
          <w:pgMar w:left="240" w:top="459" w:right="2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described above, we plan to pursue a clinical development strategy that involves conducting our initial clinical trials in Australia. We are pursuing this strategy in order to benefit from certain financial incentives that Australia makes available for biotechnology research and development and because we believe that Australia provides streamlined approval processes for the initiation of first-in-human studies, which we believe will allow us to begin our Phase 1 clinical trials weeks, and possibly several months, sooner than if we pursued initiation of trials in the United States. In particular, the Australian CTN review process is conducted on a regional basis by a single committee, without the requirement for review by the TGA. In contrast, in the United States, the sponsor of a first-in-human clinical trial typically must engage in a series of steps that include submission of an IND to the FDA and waiting 30 days for FDA feedback, if any, and then separate submission of materials to a review board at the trial site. Although we expect the length of each Phase 1 clinical trial, once initiated, will be the same as it would be if the trials were conducted in the United States, we believe the streamlined approval processes for the initiation of our trials in Australia offers us a meaningful advantage.</w:t>
      </w:r>
    </w:p>
    <w:p>
      <w:pPr>
        <w:spacing w:after="0" w:line="18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addition, we believe that clinical data generated in Australia will subsequently be accepted by the FDA and its foreign equivalents outside of Australia, and therefore may enable us to commence Phase 2 and possibly registration clinical trials in the United States immediately following submission of an IND, without any need for us to repeat our Phase 1 trials in the United States. As discussed below under “Government Regulation and Product Approval— Foreign Clinical Studies to Support an IND,” we believe the FDA will generally accept data from well-designed, well-conducted foreign clinical trials that are conducted in accordance with GCP where the FDA is able to validate data through onsite inspection, if the FDA deems such inspection necessary. We expect that our Phase 1 clinical trials for ANB019 will be well-designed and conducted in accordance with GCP and therefore believe that the data from the trials will be accepted by the FDA. However, the FDA and other foreign equivalents are not required to accept Phase 1 data generated in Australia. If they do not accept any such data, we would likely be required to conduct additional Phase 1 clinical trials.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 Market Opportunity</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IL-36R cytokine dysfunction is implicated in multiple inflammatory disorders including GPP, PPP, and potentially in severe, refractory cases of psoriasis vulgaris.</w:t>
      </w:r>
    </w:p>
    <w:p>
      <w:pPr>
        <w:spacing w:after="0" w:line="17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 xml:space="preserve">Generalized Pustular Psoraisis. </w:t>
      </w:r>
      <w:r>
        <w:rPr>
          <w:rFonts w:ascii="Arial" w:cs="Arial" w:eastAsia="Arial" w:hAnsi="Arial"/>
          <w:sz w:val="16"/>
          <w:szCs w:val="16"/>
          <w:color w:val="auto"/>
        </w:rPr>
        <w:t>GPP is a chronic, life-threatening, rare disease with no currently approved therapies. GPP is a systemic inflammatory disease</w:t>
      </w:r>
      <w:r>
        <w:rPr>
          <w:rFonts w:ascii="Arial" w:cs="Arial" w:eastAsia="Arial" w:hAnsi="Arial"/>
          <w:sz w:val="16"/>
          <w:szCs w:val="16"/>
          <w:i w:val="1"/>
          <w:iCs w:val="1"/>
          <w:color w:val="auto"/>
        </w:rPr>
        <w:t xml:space="preserve"> </w:t>
      </w:r>
      <w:r>
        <w:rPr>
          <w:rFonts w:ascii="Arial" w:cs="Arial" w:eastAsia="Arial" w:hAnsi="Arial"/>
          <w:sz w:val="16"/>
          <w:szCs w:val="16"/>
          <w:color w:val="auto"/>
        </w:rPr>
        <w:t>characterized by the development of widespread pustules marked by idiopathic exacerbations. In severe cases, GPP patients can die from cardio-pulmonary failure, exhaustion, toxicity and/or infection subsequent to occurrences of pustular flares. Patients with GPP suffer without robust therapeutic options because currently approved psoriasis management therapies have not demonstrated clear efficacy in the treatment of this condition.</w:t>
      </w:r>
    </w:p>
    <w:p>
      <w:pPr>
        <w:spacing w:after="0" w:line="154"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Through assessment of public literature and primary key opinion leader discussions, we estimate GPP affects approximately 3,000 individuals in the United States. We have conducted, and will continue to conduct, genotyping studies to identify GPP patients for potential enrollment in our upcoming clinical trials in this indication. Given the limited size of this patient population in the United States, we plan to seek Orphan Drug Designation from the FDA for ANB019 for the treatment of GPP. The FDA may grant Orphan Drug Designation to a product intended to treat a rare disease or condition—generally one that affects fewer than 200,000 individuals in the United States. If we obtain Orphan Drug Designation for ANB019 for the treatment of GPP and subsequently are the first BLA applicant to receive FDA approval for a product containing the same active molecular structure as ANB019, ANB019 would be entitled to a seven-year exclusive marketing period in the United States for the treatment of GPP. Although the GPP patient population is small, we believe there is an unmet medical need that ANB019 may be able to address.</w:t>
      </w:r>
    </w:p>
    <w:p>
      <w:pPr>
        <w:spacing w:after="0" w:line="17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Palmo-plantar Pustular Psoriasis. </w:t>
      </w:r>
      <w:r>
        <w:rPr>
          <w:rFonts w:ascii="Arial" w:cs="Arial" w:eastAsia="Arial" w:hAnsi="Arial"/>
          <w:sz w:val="17"/>
          <w:szCs w:val="17"/>
          <w:color w:val="auto"/>
        </w:rPr>
        <w:t>PPP is a non-fatal form of pustular psoriasis that we estimate affects approximately 2% of total psoriasis cases,</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150,000 patients in the United States alone. Patients experience a chronic occurrence of sterile pustules on their hands and feet, while systemic levels of IL-36 cytokines and other inflammatory disease biomarkers are also elevated. Patients with severe symptoms may have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significant pain and be unable to stand, walk or do manual work, resulting in greatly diminished quality of life. Existing anti-inflammatory therapeutic options to our knowledge have not proven to be consistently effective in treating PPP. As we believe the PPP patient population to be less than 200,000 individuals in the United States, we plan to seek Orphan Drug Designation from the FDA for ANB019 in this indication as well.</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 xml:space="preserve">Refractory Psoriasis Vulgaris. </w:t>
      </w:r>
      <w:r>
        <w:rPr>
          <w:rFonts w:ascii="Arial" w:cs="Arial" w:eastAsia="Arial" w:hAnsi="Arial"/>
          <w:sz w:val="17"/>
          <w:szCs w:val="17"/>
          <w:color w:val="auto"/>
        </w:rPr>
        <w:t>Refractory psoriasis vulgaris is another potential market opportunity for the development of ANB019. While the approved</w:t>
      </w:r>
      <w:r>
        <w:rPr>
          <w:rFonts w:ascii="Arial" w:cs="Arial" w:eastAsia="Arial" w:hAnsi="Arial"/>
          <w:sz w:val="17"/>
          <w:szCs w:val="17"/>
          <w:i w:val="1"/>
          <w:iCs w:val="1"/>
          <w:color w:val="auto"/>
        </w:rPr>
        <w:t xml:space="preserve"> </w:t>
      </w:r>
      <w:r>
        <w:rPr>
          <w:rFonts w:ascii="Arial" w:cs="Arial" w:eastAsia="Arial" w:hAnsi="Arial"/>
          <w:sz w:val="17"/>
          <w:szCs w:val="17"/>
          <w:color w:val="auto"/>
        </w:rPr>
        <w:t>biologics that target these three cytokine pathways, including Stelara (ustekinumab) and Cosentyx (secukinumab), are effective for the majority of psoriasis vulgaris patients, a subset of the population is refractory to approved biologics. For purposes of developing an estimate, we have defined the refractory population as the subset of the patient population that does not have at least a 75% response to the leading approved therapy, which is Cosentyx. Based on this definition and our analysis publicly-available information and literature, we estimate that approximately 5% of the patient population, representing approximately 375,000 patients, is refractory to the leading approved therapy for psoriasis vulgaris. We hypothesize that IL-36 cytokine function is the key inflammatory driver in such refractory patients, and therefore these patients may benefit from ANB019.</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Discovery-Stage Programs</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Our strategy includes the discovery and development of therapeutic antibodies targeting emerging opportunities in inflammation and immuno-oncology. We are currently developing anti-inflammatory antibodies that agonize checkpoint receptors and amplify negative signaling into T cells, which may be useful for the treatment of severe inflammatory conditions. We are also developing potentially first-in-class checkpoint receptor antagonists that are designed to treat patients that may not benefit from currently approved checkpoint inhibitor antibody therapies. Each of these programs is in lead selection stages and we anticipate moving at least one new product to IND-enabling manufacturing and preclinical studies during 2016.</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SHM-XEL Antibody Discovery Platform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Antibody Overview</w:t>
      </w:r>
    </w:p>
    <w:p>
      <w:pPr>
        <w:spacing w:after="0" w:line="11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 Fc domains bind to various receptors and cause immune system effector responses.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1374775</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148590</wp:posOffset>
            </wp:positionV>
            <wp:extent cx="1380490" cy="11404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80490" cy="114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b w:val="1"/>
          <w:bCs w:val="1"/>
          <w:color w:val="auto"/>
        </w:rPr>
        <w:t>Figure 9. Antibody structure. Antibodies are composed of two heavy and light chains paired into a Y-shaped formation. Antigen binding occurs at the antigen binding site, formed by the heavy and light chain Fab domains, while the Fc domain of the heavy chains form the effector end of the antibody.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73" w:lineRule="exact"/>
        <w:rPr>
          <w:sz w:val="20"/>
          <w:szCs w:val="20"/>
          <w:color w:val="auto"/>
        </w:rPr>
      </w:pPr>
    </w:p>
    <w:p>
      <w:pPr>
        <w:ind w:left="900" w:right="18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Target Specificity. </w:t>
      </w:r>
      <w:r>
        <w:rPr>
          <w:rFonts w:ascii="Arial" w:cs="Arial" w:eastAsia="Arial" w:hAnsi="Arial"/>
          <w:sz w:val="18"/>
          <w:szCs w:val="18"/>
          <w:color w:val="auto"/>
        </w:rPr>
        <w:t>Due to the large size and complex nature of the antibody Fab domain, antibodies generally bind with high specificity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desired therapeutic target and tend to exhibit less off-target binding to unrelated proteins, which lowers the risk of unintended biological side effects such as toxicity.</w:t>
      </w:r>
    </w:p>
    <w:p>
      <w:pPr>
        <w:spacing w:after="0" w:line="81" w:lineRule="exact"/>
        <w:rPr>
          <w:rFonts w:ascii="Arial" w:cs="Arial" w:eastAsia="Arial" w:hAnsi="Arial"/>
          <w:sz w:val="18"/>
          <w:szCs w:val="18"/>
          <w:color w:val="auto"/>
        </w:rPr>
      </w:pPr>
    </w:p>
    <w:p>
      <w:pPr>
        <w:ind w:left="900" w:right="100" w:hanging="325"/>
        <w:spacing w:after="0" w:line="266"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Pharmacokinetics and Dosing Frequency</w:t>
      </w:r>
      <w:r>
        <w:rPr>
          <w:rFonts w:ascii="Arial" w:cs="Arial" w:eastAsia="Arial" w:hAnsi="Arial"/>
          <w:sz w:val="18"/>
          <w:szCs w:val="18"/>
          <w:color w:val="auto"/>
        </w:rPr>
        <w:t>. As complex proteins, antibodies are metabolized and distributed differently than small molecules.</w:t>
      </w:r>
      <w:r>
        <w:rPr>
          <w:rFonts w:ascii="Arial" w:cs="Arial" w:eastAsia="Arial" w:hAnsi="Arial"/>
          <w:sz w:val="18"/>
          <w:szCs w:val="18"/>
          <w:b w:val="1"/>
          <w:bCs w:val="1"/>
          <w:color w:val="auto"/>
        </w:rPr>
        <w:t xml:space="preserve"> </w:t>
      </w:r>
      <w:r>
        <w:rPr>
          <w:rFonts w:ascii="Arial" w:cs="Arial" w:eastAsia="Arial" w:hAnsi="Arial"/>
          <w:sz w:val="18"/>
          <w:szCs w:val="18"/>
          <w:color w:val="auto"/>
        </w:rPr>
        <w:t>Full length antibodies tend to exhibit serum half-lives of seven to 24 days in humans, leading to bi-weekly or monthly dosing as typical practice for therapeutic antibodies.</w:t>
      </w:r>
    </w:p>
    <w:p>
      <w:pPr>
        <w:spacing w:after="0" w:line="81" w:lineRule="exact"/>
        <w:rPr>
          <w:rFonts w:ascii="Arial" w:cs="Arial" w:eastAsia="Arial" w:hAnsi="Arial"/>
          <w:sz w:val="18"/>
          <w:szCs w:val="18"/>
          <w:color w:val="auto"/>
        </w:rPr>
      </w:pPr>
    </w:p>
    <w:p>
      <w:pPr>
        <w:ind w:left="900" w:hanging="325"/>
        <w:spacing w:after="0" w:line="347"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b w:val="1"/>
          <w:bCs w:val="1"/>
          <w:color w:val="auto"/>
        </w:rPr>
        <w:t xml:space="preserve">Potency and Dose Quantities. </w:t>
      </w:r>
      <w:r>
        <w:rPr>
          <w:rFonts w:ascii="Arial" w:cs="Arial" w:eastAsia="Arial" w:hAnsi="Arial"/>
          <w:sz w:val="16"/>
          <w:szCs w:val="16"/>
          <w:color w:val="auto"/>
        </w:rPr>
        <w:t>Antibodies are typically highly potent in binding to their desired target, with binding dissociation constants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low nanomolar to picomolar range. Hence, antibodies tend to be dosed at low amounts (less than 1 gram quantities per course of therapy).</w:t>
      </w:r>
    </w:p>
    <w:p>
      <w:pPr>
        <w:spacing w:after="0" w:line="12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believe that therapeutic antibodies can be significantly de-risked pre-clinically for specificity, toxicology and pharmacokinetics, which is not generally true for small molecule drugs.</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Since the first therapeutic antibody was approved by the FDA in 1986, the pharmaceutical industry has sought opportunities to leverage antibodies as therapeutic agents to treat human disease. Global sales of therapeutic antibodies have reached over $40 billion annually and are predicted to remain a fast-growing segment of the therapeutic market.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Competing Antibody Technologies</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Despite the promise of antibodies as a therapeutic modality, historically it has been difficult and time-consuming to generate therapeutic-grade antibodies utilizing competing antibody discovery technologies. Such technologies have relied primarily on mouse immunization methodologies (such as wild-type or engineered mice), microbial antibody display libraries (such as phage or yeast cell display) or human B cell screening to generate antibodies against therapeutic targets of interest. We believe the key limitations of these competitive approaches include:</w:t>
      </w:r>
    </w:p>
    <w:p>
      <w:pPr>
        <w:spacing w:after="0" w:line="73" w:lineRule="exact"/>
        <w:rPr>
          <w:sz w:val="20"/>
          <w:szCs w:val="20"/>
          <w:color w:val="auto"/>
        </w:rPr>
      </w:pPr>
    </w:p>
    <w:p>
      <w:pPr>
        <w:ind w:left="900" w:right="60" w:hanging="325"/>
        <w:spacing w:after="0" w:line="289" w:lineRule="auto"/>
        <w:tabs>
          <w:tab w:leader="none" w:pos="90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Insufficient Diversity</w:t>
      </w:r>
      <w:r>
        <w:rPr>
          <w:rFonts w:ascii="Arial" w:cs="Arial" w:eastAsia="Arial" w:hAnsi="Arial"/>
          <w:sz w:val="17"/>
          <w:szCs w:val="17"/>
          <w:color w:val="auto"/>
        </w:rPr>
        <w:t>. Each of the prior technologies has limited, and often static, diversity of antibodies available for selection. The number of</w:t>
      </w:r>
      <w:r>
        <w:rPr>
          <w:rFonts w:ascii="Arial" w:cs="Arial" w:eastAsia="Arial" w:hAnsi="Arial"/>
          <w:sz w:val="17"/>
          <w:szCs w:val="17"/>
          <w:b w:val="1"/>
          <w:bCs w:val="1"/>
          <w:color w:val="auto"/>
        </w:rPr>
        <w:t xml:space="preserve"> </w:t>
      </w:r>
      <w:r>
        <w:rPr>
          <w:rFonts w:ascii="Arial" w:cs="Arial" w:eastAsia="Arial" w:hAnsi="Arial"/>
          <w:sz w:val="17"/>
          <w:szCs w:val="17"/>
          <w:color w:val="auto"/>
        </w:rPr>
        <w:t>therapeutic targets that can be addressed by the available antibodies is therefore limited. It is particularly difficult for mouse immunization approaches to identify therapeutics against conserved proteins that are homologous between human and mouse species;</w:t>
      </w:r>
    </w:p>
    <w:p>
      <w:pPr>
        <w:spacing w:after="0" w:line="63" w:lineRule="exact"/>
        <w:rPr>
          <w:rFonts w:ascii="Arial" w:cs="Arial" w:eastAsia="Arial" w:hAnsi="Arial"/>
          <w:sz w:val="17"/>
          <w:szCs w:val="17"/>
          <w:color w:val="auto"/>
        </w:rPr>
      </w:pPr>
    </w:p>
    <w:p>
      <w:pPr>
        <w:ind w:left="900" w:right="360" w:hanging="325"/>
        <w:spacing w:after="0" w:line="26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Lack of Functional Activity Selection. </w:t>
      </w:r>
      <w:r>
        <w:rPr>
          <w:rFonts w:ascii="Arial" w:cs="Arial" w:eastAsia="Arial" w:hAnsi="Arial"/>
          <w:sz w:val="18"/>
          <w:szCs w:val="18"/>
          <w:color w:val="auto"/>
        </w:rPr>
        <w:t>Competing technologies have not been able to drive antibody selection on the basis of functional</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Even if antibodies are available against a certain target, they may not bind the correct region or epitope of the protein to achieve the intended functional therapeutic effects;</w:t>
      </w:r>
    </w:p>
    <w:p>
      <w:pPr>
        <w:spacing w:after="0" w:line="81" w:lineRule="exact"/>
        <w:rPr>
          <w:rFonts w:ascii="Arial" w:cs="Arial" w:eastAsia="Arial" w:hAnsi="Arial"/>
          <w:sz w:val="18"/>
          <w:szCs w:val="18"/>
          <w:color w:val="auto"/>
        </w:rPr>
      </w:pPr>
    </w:p>
    <w:p>
      <w:pPr>
        <w:ind w:left="900" w:hanging="325"/>
        <w:spacing w:after="0" w:line="26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Low Potency. </w:t>
      </w:r>
      <w:r>
        <w:rPr>
          <w:rFonts w:ascii="Arial" w:cs="Arial" w:eastAsia="Arial" w:hAnsi="Arial"/>
          <w:sz w:val="18"/>
          <w:szCs w:val="18"/>
          <w:color w:val="auto"/>
        </w:rPr>
        <w:t>Antibodies from competing technologies tend to demonstrate low binding potencies against their targets. Such incomplete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may not result in therapeutic effect that is sufficient to change disease outcomes, or require impractically high doses to convey therapeutic benefit; and</w:t>
      </w:r>
    </w:p>
    <w:p>
      <w:pPr>
        <w:spacing w:after="0" w:line="81" w:lineRule="exact"/>
        <w:rPr>
          <w:rFonts w:ascii="Arial" w:cs="Arial" w:eastAsia="Arial" w:hAnsi="Arial"/>
          <w:sz w:val="18"/>
          <w:szCs w:val="18"/>
          <w:color w:val="auto"/>
        </w:rPr>
      </w:pPr>
    </w:p>
    <w:p>
      <w:pPr>
        <w:ind w:left="900" w:right="420" w:hanging="325"/>
        <w:spacing w:after="0" w:line="266"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 xml:space="preserve">Unpredictable Manufacturing Properties. </w:t>
      </w:r>
      <w:r>
        <w:rPr>
          <w:rFonts w:ascii="Arial" w:cs="Arial" w:eastAsia="Arial" w:hAnsi="Arial"/>
          <w:sz w:val="18"/>
          <w:szCs w:val="18"/>
          <w:color w:val="auto"/>
        </w:rPr>
        <w:t>Using microbial display systems such as phage and yeast display libraries has resulted in</w:t>
      </w:r>
      <w:r>
        <w:rPr>
          <w:rFonts w:ascii="Arial" w:cs="Arial" w:eastAsia="Arial" w:hAnsi="Arial"/>
          <w:sz w:val="18"/>
          <w:szCs w:val="18"/>
          <w:b w:val="1"/>
          <w:bCs w:val="1"/>
          <w:color w:val="auto"/>
        </w:rPr>
        <w:t xml:space="preserve"> </w:t>
      </w:r>
      <w:r>
        <w:rPr>
          <w:rFonts w:ascii="Arial" w:cs="Arial" w:eastAsia="Arial" w:hAnsi="Arial"/>
          <w:sz w:val="18"/>
          <w:szCs w:val="18"/>
          <w:color w:val="auto"/>
        </w:rPr>
        <w:t>unpredictable expression, stability and formulation when manufacturing is initiated using mammalian cells, thus leading to poor production yields and product stability.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Mouse immunization methodologies</w:t>
      </w:r>
      <w:r>
        <w:rPr>
          <w:rFonts w:ascii="Arial" w:cs="Arial" w:eastAsia="Arial" w:hAnsi="Arial"/>
          <w:sz w:val="18"/>
          <w:szCs w:val="18"/>
          <w:color w:val="auto"/>
        </w:rPr>
        <w:t>. Mouse immunization methodologies involve the administration of human target antigen to mice with wild-type or</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engineered immune systems, with the assumption that their immune systems will generate antibodies with sufficient potency against the desired human antigen epitope to convey biological effect. A key limitation of this approach is that when the mouse is dosed with an antigen that is similar in the human and mouse, the antigen is seen by the mouse immune system as one of its own proteins, and very few, if any, antibodies are generated. In addition, the mouse immune system often generates mouse antibodies to epitopes that are not therapeutically relevant to humans, leading the resulting antibodies to bind the human target but failing to convey therapeutic effect.</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Microbial antibody display systems</w:t>
      </w:r>
      <w:r>
        <w:rPr>
          <w:rFonts w:ascii="Arial" w:cs="Arial" w:eastAsia="Arial" w:hAnsi="Arial"/>
          <w:sz w:val="18"/>
          <w:szCs w:val="18"/>
          <w:color w:val="auto"/>
        </w:rPr>
        <w:t>. Microbial antibody display systems require screening of antibodies, typically formatted as antibody fragments,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static library diversity displayed on a bacterial or yeast microbial cell surface. The static nature of these libraries limits the range of antibody specificities to 10</w:t>
      </w:r>
      <w:r>
        <w:rPr>
          <w:rFonts w:ascii="Arial" w:cs="Arial" w:eastAsia="Arial" w:hAnsi="Arial"/>
          <w:sz w:val="15"/>
          <w:szCs w:val="15"/>
          <w:color w:val="auto"/>
        </w:rPr>
        <w:t>9</w:t>
      </w:r>
      <w:r>
        <w:rPr>
          <w:rFonts w:ascii="Arial" w:cs="Arial" w:eastAsia="Arial" w:hAnsi="Arial"/>
          <w:sz w:val="18"/>
          <w:szCs w:val="18"/>
          <w:color w:val="auto"/>
        </w:rPr>
        <w:t xml:space="preserve"> or 10</w:t>
      </w:r>
      <w:r>
        <w:rPr>
          <w:rFonts w:ascii="Arial" w:cs="Arial" w:eastAsia="Arial" w:hAnsi="Arial"/>
          <w:sz w:val="15"/>
          <w:szCs w:val="15"/>
          <w:color w:val="auto"/>
        </w:rPr>
        <w:t>10</w:t>
      </w:r>
      <w:r>
        <w:rPr>
          <w:rFonts w:ascii="Arial" w:cs="Arial" w:eastAsia="Arial" w:hAnsi="Arial"/>
          <w:sz w:val="18"/>
          <w:szCs w:val="18"/>
          <w:color w:val="auto"/>
        </w:rPr>
        <w:t xml:space="preserve"> range, which is generally insufficient to avail high-affinity antibodies against many antigens. This can lead to suboptimal potency, and subsequently require phage/yeast antibodies to be matured significantly, typically with random mutagenesis, to obtain therapeutic level potencies, which is a labor-intensive and inefficient process. In addition, antibodies selected using this approach are expressed through the microbial cell expression machinery, which differs significantly in terms of manufacturability (expression level, glycosylation, formulation and stability) from mammalian cell expression typically utilized for clinical and commercial manufacturing of therapeutic antibodies. Such differences typically lead to difficulties in mammalian cell manufacturing of microbial display-derived antibodies.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Human B cell screening methodologies</w:t>
      </w:r>
      <w:r>
        <w:rPr>
          <w:rFonts w:ascii="Arial" w:cs="Arial" w:eastAsia="Arial" w:hAnsi="Arial"/>
          <w:sz w:val="18"/>
          <w:szCs w:val="18"/>
          <w:color w:val="auto"/>
        </w:rPr>
        <w:t>. Human B cell screening methodologies involve the screening and isolation of antibodies from peripheral human</w:t>
      </w:r>
      <w:r>
        <w:rPr>
          <w:rFonts w:ascii="Arial" w:cs="Arial" w:eastAsia="Arial" w:hAnsi="Arial"/>
          <w:sz w:val="18"/>
          <w:szCs w:val="18"/>
          <w:i w:val="1"/>
          <w:iCs w:val="1"/>
          <w:color w:val="auto"/>
        </w:rPr>
        <w:t xml:space="preserve"> </w:t>
      </w:r>
      <w:r>
        <w:rPr>
          <w:rFonts w:ascii="Arial" w:cs="Arial" w:eastAsia="Arial" w:hAnsi="Arial"/>
          <w:sz w:val="18"/>
          <w:szCs w:val="18"/>
          <w:color w:val="auto"/>
        </w:rPr>
        <w:t>blood against therapeutic antigens of interest. The key limitation of this approach is that circulating human B cells generally do not develop antibodies against endogenous proteins because their function is to develop humoral immunity against foreign pathogens, such as bacteria and viruses. Therefore, it is challenging to obtain therapeutic antibodies against human antigens through this approach.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Solution</w:t>
      </w:r>
    </w:p>
    <w:p>
      <w:pPr>
        <w:spacing w:after="0" w:line="117"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 xml:space="preserve">Our innovative platform is designed to replicate the natural process of SHM embedded within the human immune system to rapidly develop a diverse range of therapeutic-grade antibodies </w:t>
      </w:r>
      <w:r>
        <w:rPr>
          <w:rFonts w:ascii="Arial" w:cs="Arial" w:eastAsia="Arial" w:hAnsi="Arial"/>
          <w:sz w:val="17"/>
          <w:szCs w:val="17"/>
          <w:i w:val="1"/>
          <w:iCs w:val="1"/>
          <w:color w:val="auto"/>
        </w:rPr>
        <w:t>in vitro</w:t>
      </w:r>
      <w:r>
        <w:rPr>
          <w:rFonts w:ascii="Arial" w:cs="Arial" w:eastAsia="Arial" w:hAnsi="Arial"/>
          <w:sz w:val="17"/>
          <w:szCs w:val="17"/>
          <w:color w:val="auto"/>
        </w:rPr>
        <w:t>. SHM is a critical, endogenous process that generates the essential antibody diversity required to develop a natural immune response to pathogens. Our genomes encode a limited number of antibody genes, which are insufficient to generate antibodies against the wide variety of foreign pathogens encountered from the external environment. SHM enables our immune system to expand the limited diversity encoded within our genomes to the billions of antibody specificities required to defend ourselves against external pathogens.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5248275" cy="18611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48275" cy="186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Figure 10. Mechanism of SHM. SHM is initiated by the Activation-Induced Cytidine Deaminase, or AID, which converts cytidine to uracil at key positions, resulting in subsequent replication, DNA repair and base excision processes that generate either wild-type (wt) or mutant DNA molecules.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The key enzyme required for SHM is called activation-induced cytidine deaminase, or AID. AID has been genetically conserved throughout mammalian biology and is required for the non-random mutagenesis pattern associated with SHM. AID is specifically expressed by B cells after contact with a foreign pathogen and modifies antibody sequences in a non-random fashion. Through SHM, B cells evolve antibodies with the potency and specificity required to clear the foreign pathogen. However, within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SHM does not generally progress to the creation of high potency antibodies or develop antibodies against the body’s own proteins.</w:t>
      </w:r>
    </w:p>
    <w:p>
      <w:pPr>
        <w:spacing w:after="0" w:line="18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By coupling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SHM with our mammalian cell system that simultaneously displays and secretes antibodies, we believe SHM-XEL is able to rapidly identify and mature antibodies with desired functional activity to high potency while simultaneously mitigating the risks associated with manufacturing. We introduce AID into mammalian cells to replicate the non-random mutagenesis SHM pattern observed within B cells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Starting with a library of either fully-human or humanized antibodies, our platform generates AID-based variants of the starting antibody library throughout the process. We have demonstrated that the pattern of mutagenesis we observe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using our platform technology closely mimics the pattern observed among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generated antibodies, thereby increasing confidence that antibodies generated by our platform will be tolerated when used as therapeutic drugs in humans.</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By selecting antibodies based on their antigen binding from the broad antibody library population SHM-XEL develops, we are able to evolve in an iterative fashion the binding potency and function of antibodies to levels that we believe will be required for therapeutic use. We believe this approach allows us to rapidly generate antibodies with high binding potency against a target. Through this approach, we have successfully generated therapeutic antibody product candidates to more than 25 targets, including targets that have been challenging for competing antibody technology platforms to generate such as IL-33 and TIM-3.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1672590</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146050</wp:posOffset>
            </wp:positionV>
            <wp:extent cx="2864485" cy="14408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64485" cy="144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300"/>
        <w:spacing w:after="0" w:line="259" w:lineRule="auto"/>
        <w:rPr>
          <w:sz w:val="20"/>
          <w:szCs w:val="20"/>
          <w:color w:val="auto"/>
        </w:rPr>
      </w:pPr>
      <w:r>
        <w:rPr>
          <w:rFonts w:ascii="Arial" w:cs="Arial" w:eastAsia="Arial" w:hAnsi="Arial"/>
          <w:sz w:val="14"/>
          <w:szCs w:val="14"/>
          <w:b w:val="1"/>
          <w:bCs w:val="1"/>
          <w:color w:val="auto"/>
        </w:rPr>
        <w:t>Figure 11. SHM-XEL Antibody Generation Process. Our platform initiates antibody selection from starting libraries of human and non-human diversity, which is further optimized through iterative rounds of SHM and selection.</w:t>
      </w:r>
    </w:p>
    <w:p>
      <w:pPr>
        <w:spacing w:after="0" w:line="17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evolving antibody is expressed within the SHM-active mammalian cell to concurrently (i) display the evolved antibody on the cell surface to permit cell sorting selection for potency properties while (ii) the same antibody is secreted into the extracellular media at sufficient quantities to permit functional assays to be conducted. In this manner, the evolving antibodies expressed by each transfected cell are assessed in a high-throughput fashion for the desired functional activity relevant to the therapeutic mechanism.</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antibody discovery platform, as described above, has the following advantages over competing approaches:</w:t>
      </w:r>
    </w:p>
    <w:p>
      <w:pPr>
        <w:spacing w:after="0" w:line="127" w:lineRule="exact"/>
        <w:rPr>
          <w:sz w:val="20"/>
          <w:szCs w:val="20"/>
          <w:color w:val="auto"/>
        </w:rPr>
      </w:pPr>
    </w:p>
    <w:p>
      <w:pPr>
        <w:ind w:left="900" w:right="300" w:hanging="325"/>
        <w:spacing w:after="0" w:line="266"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We are able to generate an unprecedented diversity of antibodies by applying SHM-based diversification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outside of the constraints of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environment. This enables us to develop antibodies against human targets that we believe have not otherwise been accessible to prior technologies.</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00" w:right="100" w:hanging="325"/>
        <w:spacing w:after="0" w:line="313"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High potency. </w:t>
      </w:r>
      <w:r>
        <w:rPr>
          <w:rFonts w:ascii="Arial" w:cs="Arial" w:eastAsia="Arial" w:hAnsi="Arial"/>
          <w:sz w:val="17"/>
          <w:szCs w:val="17"/>
          <w:color w:val="auto"/>
        </w:rPr>
        <w:t>Because our platform generates highly-potent antibodies, we are potentially able to modulate every extracellular target associated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human disease, and believe only small therapeutic doses may be required to mediate therapeutic effect </w:t>
      </w:r>
      <w:r>
        <w:rPr>
          <w:rFonts w:ascii="Arial" w:cs="Arial" w:eastAsia="Arial" w:hAnsi="Arial"/>
          <w:sz w:val="17"/>
          <w:szCs w:val="17"/>
          <w:i w:val="1"/>
          <w:iCs w:val="1"/>
          <w:color w:val="auto"/>
        </w:rPr>
        <w:t>in vivo</w:t>
      </w:r>
      <w:r>
        <w:rPr>
          <w:rFonts w:ascii="Arial" w:cs="Arial" w:eastAsia="Arial" w:hAnsi="Arial"/>
          <w:sz w:val="17"/>
          <w:szCs w:val="17"/>
          <w:color w:val="auto"/>
        </w:rPr>
        <w:t>.</w:t>
      </w:r>
    </w:p>
    <w:p>
      <w:pPr>
        <w:spacing w:after="0" w:line="43" w:lineRule="exact"/>
        <w:rPr>
          <w:rFonts w:ascii="Arial" w:cs="Arial" w:eastAsia="Arial" w:hAnsi="Arial"/>
          <w:sz w:val="17"/>
          <w:szCs w:val="17"/>
          <w:color w:val="auto"/>
        </w:rPr>
      </w:pPr>
    </w:p>
    <w:p>
      <w:pPr>
        <w:ind w:left="900" w:right="40" w:hanging="325"/>
        <w:spacing w:after="0" w:line="26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producing product candidates that are optimized for the desired therapeutic activity.</w:t>
      </w:r>
    </w:p>
    <w:p>
      <w:pPr>
        <w:spacing w:after="0" w:line="81" w:lineRule="exact"/>
        <w:rPr>
          <w:rFonts w:ascii="Arial" w:cs="Arial" w:eastAsia="Arial" w:hAnsi="Arial"/>
          <w:sz w:val="18"/>
          <w:szCs w:val="18"/>
          <w:color w:val="auto"/>
        </w:rPr>
      </w:pPr>
    </w:p>
    <w:p>
      <w:pPr>
        <w:ind w:left="900" w:right="300" w:hanging="325"/>
        <w:spacing w:after="0" w:line="26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Speed. </w:t>
      </w:r>
      <w:r>
        <w:rPr>
          <w:rFonts w:ascii="Arial" w:cs="Arial" w:eastAsia="Arial" w:hAnsi="Arial"/>
          <w:sz w:val="18"/>
          <w:szCs w:val="18"/>
          <w:color w:val="auto"/>
        </w:rPr>
        <w:t>Our platform technology enables us to generate therapeutic-grade antibodies and initiate subsequent preclinical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toxicology studies, typically in less than 12 months. We believe this timeline is significantly shorter than conventional approaches based upon mouse immunization and microbial display systems.</w:t>
      </w:r>
    </w:p>
    <w:p>
      <w:pPr>
        <w:spacing w:after="0" w:line="81" w:lineRule="exact"/>
        <w:rPr>
          <w:rFonts w:ascii="Arial" w:cs="Arial" w:eastAsia="Arial" w:hAnsi="Arial"/>
          <w:sz w:val="18"/>
          <w:szCs w:val="18"/>
          <w:color w:val="auto"/>
        </w:rPr>
      </w:pPr>
    </w:p>
    <w:p>
      <w:pPr>
        <w:ind w:left="900" w:right="160" w:hanging="325"/>
        <w:spacing w:after="0" w:line="26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utilizing our mammalian cell display system, we believe our approach increases the probability of success in</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and commercialization by mitigating the risks associated with antibody expression, formulation and stability during the antibody generation process.</w:t>
      </w:r>
    </w:p>
    <w:p>
      <w:pPr>
        <w:spacing w:after="0" w:line="81"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Bispecific antibodies. </w:t>
      </w:r>
      <w:r>
        <w:rPr>
          <w:rFonts w:ascii="Arial" w:cs="Arial" w:eastAsia="Arial" w:hAnsi="Arial"/>
          <w:sz w:val="16"/>
          <w:szCs w:val="16"/>
          <w:color w:val="auto"/>
        </w:rPr>
        <w:t>A bispecific antibody is a single therapeutic molecule designed to bind two different targets. Bispecific antibodies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advantage of combining two therapeutic mechanisms with the goal of increasing therapeutic efficacy, in comparison to monospecific antibodies that bind either of the targets individually. We believe our competitors’ bispecific strategies generally rely on proteins with non-natural formats, resulting in unpredictable pharmacokinetics and manufacturing properties. Our strategy is to develop bispecific antibodies that are composed of two different heavy chains with a common shared light chain that resemble the natural antibody structure and exhibit the desired functional activity to each target. Utilizing our proprietary SHM-XEL platform, we are able to generate a large diversity of heavy and light chain varieties against each therapeutic target, and then co-mature a common light chain in the context of two different heavy chains, which permits us to identify bispecific antibodies with sufficient potency against each of the two targets that we believe will provide greater therapeutic benefit.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March 2014, we entered into a collaboration and exclusive license agreement with TESARO. We executed an amendment in November 2014 to add an additional dual-reactive antibody product candidate. Under the terms of the amended agreement, we granted TESARO an exclusive, royalty-bearing, sublicensable worldwide license to research, develop, manufacture, market and sell products based on our proprietary technology for the discovery, generation and optimization of certain specified immunotherapy antibodies. Specifically, we granted TESARO exclusive rights to three monospecific antibody product candidates targeting TIM-3 (TSR-022), LAG-3 and PD-1 (TSR-042) and three bispecific antibody product candidates targeting PD-1/TIM-3, PD-1/LAG-3 and an undisclosed target. Under the amended agreement, we are responsible for performing initial discovery and development of therapeutic antibodies with the goal of generating immunotherapy antibodies for use in the treatment of cancer. TESARO is responsible for all subsequent preclinical, clinical, regulatory, manufacturing and other activities necessary to develop and commercialize antibodies selected under each of six development programs, and TESARO is obligated to use commercially reasonable efforts to research, develop and commercialize at least one product to each of the four targets. During the term, other than under the collaboration, both TESARO and we are prohibited from developing and commercializing, independently or with a third party, any agents targeting LAG-3, PD-1 or TIM-3, as single agents or in combination with other therapies.</w:t>
      </w:r>
    </w:p>
    <w:p>
      <w:pPr>
        <w:spacing w:after="0" w:line="173"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the terms of this agreement, TESARO made up-front, non-creditable and non-refundable cash payments aggregating $19.0 million to us during 2014. TESARO is also required to reimburse us on a quarterly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basis for specified costs incurred by us in our initial discovery and development activities covered by the agreement. For products to each of the four targets, TESARO is required to make milestone payments to us of up to $18.0 million if certain research and development milestone events are achieved, and up to an additional $90.0 million of milestone payments if certain U.S. and non-U.S. regulatory submissions and approvals occur in initial and subsequent indications. TESARO will also be required to pay us tiered single-digit royalties, on a product-by-product basis, on worldwide annual net sales, and additional commercial milestone payments if specified levels of annual net sales of a product are attained.</w:t>
      </w:r>
    </w:p>
    <w:p>
      <w:pPr>
        <w:spacing w:after="0" w:line="173"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This agreement expires when no further payments are due to us, unless earlier terminated. Either party may terminate the agreement in the event of an uncured material breach by the other party. TESARO may terminate the agreement at any time upon 90 days’ prior written notice to 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w:t>
      </w:r>
    </w:p>
    <w:p>
      <w:pPr>
        <w:spacing w:after="0" w:line="11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December 2011, we entered into a collaboration agreement with Celgene, or the Collaboration Agreement, to develop human therapeutic antibodies against multiple biological targets. We completed our responsibilities under the terms of the agreement to generate antibodies against various mutually agreed biological targets. On a target-by-target basis, we provided Celgene an option to obtain rights to develop and commercialize a defined number of antibodies against each target. We were successful in generating antibodies against multiple targets and Celgene has exercised its option with respect to antibodies against three targets. Celgene is currently advancing two anti-flammatory antibodies to the clinic.</w:t>
      </w:r>
    </w:p>
    <w:p>
      <w:pPr>
        <w:spacing w:after="0" w:line="17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Upon execution of the Collaboration Agreement in 2011, Celgene paid us a one-time, non-refundable, non-creditable initial fee of $6.0 million. Celgene has reimbursed us for specified research costs in accordance with the research plans. Celgene is also obligated, on a project-by-project basis, to pay us up to a total of an additional $18.0 million if certain research and development milestone events are achieved under such project and up to a total of an additional $35.0 million if certain regulatory milestone events are achieved under such project. Celgene will also be required to pay us single digit royalties on net sales of products containing the delivered antibodies on a product-by-product and country-by-country basis until the later of the expiration of the last patent right that covers manufacture, use or sale of such product in such country, and in any case at least ten years after the first commercial sale of the product in such country.</w:t>
      </w:r>
    </w:p>
    <w:p>
      <w:pPr>
        <w:spacing w:after="0" w:line="189"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Collaboration Agreement continues until our royalty rights on any Celgene product resulting from the collaboration expire, which period will last at least ten years after any such product first goes to market. Either we or Celgene may terminate the agreement in the event of an uncured material breach by the other party. Celgene may also terminate the agreement at any time prior to the delivery of any of the contemplated antibodies upon 90 days’ prior written notice to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In-Licensing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MRC</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 2006, we entered into an exclusive worldwide license agreement with the Medical Research Council, or MRC, to obtain rights to multiple patents and patent applications relating to fundamental discoveries with respect to SHM and AID by Dr. Michael Neuberger and his colleagues. We since amended this license agreement to include additional subject matter. Under the terms of the agreement, or the MRC Agreement, we obtained an exclusive, worldwide, sublicensable license under specified patent rights to manufacture, use, sell and commercialize products and methods covered by such patents for all fields of use. We are responsible for prosecution of the licensed patents and the development of therapeutic products covered by the intellectual property. We are obligated to research and develop licensed methods and licensed products for the purpose of commercializing such methods and products at least as diligently as we research and develop our other products of similar market potential and stages of development.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responsible for paying MRC an annual fee of $55,000. Additionally, for each product developed and commercialized under the MRC Agreement, we are obligated to pay MRC up to an additional $175,000 upon the achievement of specified development milestone events and up to an additional $275,000 upon the achievement of specified regulatory milestone events. In addition we owe MRC royalties at 0.25% of annual net sales for worldwide sales on a product-by-product at or below $750 million and 1% of annual net sales of products worldwide above $750 million, payable on a country-by-country basis until the expiration of the last licensed patent covering such product in such country. Under this license agreement, we have rights to 16 patents and seven pending patent applications worldwide.</w:t>
      </w:r>
    </w:p>
    <w:p>
      <w:pPr>
        <w:spacing w:after="0" w:line="19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Unless earlier terminated, the MRC Agreement will expire upon expiration of all royalty payment obligations under the MRC Agreement. Either party may terminate the MRC Agreement in the event of an uncured material breach by the other party or upon the occurrence of specified bankruptcy events for the other party. We may terminate the MRC Agreement upon 60 days’ notice to MRC.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Millipore</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May 2009, we signed a non-exclusive research and commercial license agreement with Millipore Corporation, or Millipore, to obtain a non-exclusive license to patents and patent applications directed to the ubiquitous chromatin opening elements technology for the expression of proteins, particularly antibodies, generated by us, which license may be sublicensed to our contractors and partners. Under the terms of the agreement, or the Millipore Agreement, we are obligated to pay Millipore $87,500 in annual license fees. Additionally, for each product developed and commercialized under the Millipore Agreement, we are obligated to pay Millipore up to an additional $75,000 upon the achievement of specified development milestone events and up to an additional $4.4 million upon the achievement of specified commercial milestone events. We do not owe Millipore any royalties on net sales of products commercialized under the Millipore Agreement.</w:t>
      </w:r>
    </w:p>
    <w:p>
      <w:pPr>
        <w:spacing w:after="0" w:line="189"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Unless affirmatively terminated by one of the parties, the Millipore Agreement will continue in effect. Either party may terminate the Millipore Agreement in the event of an uncured material breach by the other party. We may terminate the Millipore Agreement upon 90 days’ notice to Millipore.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Australian Operations</w:t>
      </w:r>
    </w:p>
    <w:p>
      <w:pPr>
        <w:spacing w:after="0" w:line="121" w:lineRule="exact"/>
        <w:rPr>
          <w:sz w:val="20"/>
          <w:szCs w:val="20"/>
          <w:color w:val="auto"/>
        </w:rPr>
      </w:pPr>
    </w:p>
    <w:p>
      <w:pPr>
        <w:ind w:right="220" w:firstLine="456"/>
        <w:spacing w:after="0" w:line="284" w:lineRule="auto"/>
        <w:rPr>
          <w:sz w:val="20"/>
          <w:szCs w:val="20"/>
          <w:color w:val="auto"/>
        </w:rPr>
      </w:pPr>
      <w:r>
        <w:rPr>
          <w:rFonts w:ascii="Arial" w:cs="Arial" w:eastAsia="Arial" w:hAnsi="Arial"/>
          <w:sz w:val="16"/>
          <w:szCs w:val="16"/>
          <w:color w:val="auto"/>
        </w:rPr>
        <w:t>In March 2015, we established a wholly-owned Australian subsidiary called AnaptysBio Pty. Ltd, in order to conduct various preclinical and clinical activities for ANB020 and ANB019. We believe our Australian subsidiary will be eligible for certain financial incentives made available by the Australian government for biotech research and development expenses. Specifically, Australia provides a refundable tax credit in the form of a cash rebate equal to 43.5% of qualified expenditures on biotech research and development projects to Australian companies that operate the majority of their research and development activities associated with such projects in Australia. A wholly-owned Australian subsidiary of a non-Australian parent company is eligible to receive the refundable tax credit, provided that the Australian subsidiary retains the rights to the data and intellectual property generated in Australia, and provided that the total revenues of the parent company and its consolidated subsidiaries during the period for which the refundable tax credit is claimed are less than $20.0 million Australian dollars. For the preclinical and clinical activities currently planned in Australia, we anticipate receiving between</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$1.0 million and $2.0 million in Australian refundable tax credits over the next 24 months, assuming our revenues do not exceed $20.0 million Australian dollars in any annual tax period and we comply with the other requirements described above.</w:t>
      </w:r>
    </w:p>
    <w:p>
      <w:pPr>
        <w:spacing w:after="0" w:line="18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addition, by establishing operations in Australia, we are able to access an established network of manufacturing and clinical development support contractors located in Australia and benefit from Australia’s streamlined approval processes for the initiation of first-in human studies. We do not have any employees with experience advancing product candidates through the Australian regulatory review process. However, we have engaged Australian consultants with expertise in the regulatory requirements and clinical development of therapeutic products in Australia, and we plan to work with established manufacturing and clinical development support contractors located in Australia, who are also familiar with Australian regulatory and product development processes.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right="160" w:firstLine="456"/>
        <w:spacing w:after="0" w:line="302" w:lineRule="auto"/>
        <w:rPr>
          <w:sz w:val="20"/>
          <w:szCs w:val="20"/>
          <w:color w:val="auto"/>
        </w:rPr>
      </w:pPr>
      <w:r>
        <w:rPr>
          <w:rFonts w:ascii="Arial" w:cs="Arial" w:eastAsia="Arial" w:hAnsi="Arial"/>
          <w:sz w:val="16"/>
          <w:szCs w:val="16"/>
          <w:color w:val="auto"/>
        </w:rPr>
        <w:t>Our intellectual property is critical to our business and we strive to protect it, including by obtaining and maintaining patent protection in the United States and internationally for our technology platform, product candidates, novel biological discoveries, epitopes, new therapeutic approaches and potential indications, and other inventions that are important to our business. In total, our patent portfolio, including patents to our technology platform licensed from MRC and patents licensed from Kyoto University, consisted of 29 issued patents and 41 pending patent applications as of December 31, 2015.</w:t>
      </w:r>
    </w:p>
    <w:p>
      <w:pPr>
        <w:spacing w:after="0" w:line="15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our product candidates, generally we initially pursue patent protection covering compositions of matter, antibody sequence diversity, epitopes, functional activity and methods of use. Throughout the development of our product candidates, we seek to identify additional means of obtaining patent protection that would potentially enhance commercial success, including through additional methods of use and biomarker and companion diagnostic related claims.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portfolios for our two internal programs and platform technology are outlined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ANB020</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of December 31, 2015, we owned one international patent application, filed under the Patent Cooperation Treaty, or PCT, which is directed to the antibody sequence of ANB020 and its variants, epitopes, methods of use and related matters. We intend to prosecute the pending international application and pursue patent issuance and protection in key commercial markets where significant product sales may occur. Patents that may issue from this pending international application would provide protection until January 2035.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ANB019</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As of December 31, 2015, we owned one U.S. provisional patent application, which is directed to the antibody sequence of ANB019 and its variants, epitopes, methods of use and related matters. We intend to pursue an international patent application, filed under the PCT in due course, based on the pending U.S. provisional patent application, and pursue patent issuance and protection in key commercial markets where significant product sales may occur. Patents that may issue from the expected international application would provide protection until April 2036.</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Platform Technology</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platform technology is covered by U.S. and foreign issued patents and pending patent applications, emanating from our in-licensed portfolio and wholly owned portfolio, currently under prosecution in various jurisdictions.</w:t>
      </w:r>
    </w:p>
    <w:p>
      <w:pPr>
        <w:spacing w:after="0" w:line="17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wholly owned portfolio includes patents and patent applications directed to platform technology related inventions associated with antibody library design, antibody humanization, mammalian cell display and secretion, and other technical attributes relating to the discovery, maturation and optimization of antibodies using our technology platform. Patents relating to our platform technology that have been issued to date provide protection through 2028.</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from competitors. Any patents that we hold may be challenged, circumvented or invalidated by third parties. For a more comprehensive discussion of the risks related to our intellectual property, please see “Risk Factors—Risks Related to Our Intellectual Property.”</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PTA under certain circumstances to compensate for delays in obtaining the patent from the USPTO. In some instances, such a PTA may result in a U.S. patent term extending beyond 20 years from the earliest date of filing a non-provisional patent application related to the U.S. patent. In addition, in the United States,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spacing w:after="0" w:line="18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also rely on trade secrets relating to our technology platform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must manufacture drug product for clinical trial use in compliance with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FDA satisfaction before any product is approved and we can manufacture commercial products. Our third-party manufacturers will also be subject to periodic inspections of facilities by the FDA and other authorities, including procedures and operations used in the testing and manufacture of our products to assess our compliance with applicable regulations.</w:t>
      </w:r>
    </w:p>
    <w:p>
      <w:pPr>
        <w:spacing w:after="0" w:line="16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Our internal manufacturing capabilities include non-cGMP antibody and reagent production using small scale quantities for characterization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and</w:t>
      </w:r>
      <w:r>
        <w:rPr>
          <w:rFonts w:ascii="Arial" w:cs="Arial" w:eastAsia="Arial" w:hAnsi="Arial"/>
          <w:sz w:val="18"/>
          <w:szCs w:val="18"/>
          <w:i w:val="1"/>
          <w:iCs w:val="1"/>
          <w:color w:val="auto"/>
        </w:rPr>
        <w:t xml:space="preserve"> in vivo </w:t>
      </w:r>
      <w:r>
        <w:rPr>
          <w:rFonts w:ascii="Arial" w:cs="Arial" w:eastAsia="Arial" w:hAnsi="Arial"/>
          <w:sz w:val="18"/>
          <w:szCs w:val="18"/>
          <w:color w:val="auto"/>
        </w:rPr>
        <w:t>preclinical assessment of product candidates. We do not have and we do not currently plan to acquire or develop the facilities or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manufacture cGMP drug substance or filled drug product for use in human clinical trials.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rely on third-party manufacturers to generate cGMP-grade cell lines and will rely on them to produce cGMP drug product required for our planned clinical trials, and expect to continue to rely on third parties to manufacture clinical trial drug supplies for the foreseeable future. We also contract with additional third parties for the filling, labeling, packaging, storage and distribution of investigational drug products. We have personnel with significant technical, manufacturing, analytical, quality, including cGMP, and project management experience to oversee our third-party manufacturers and to manage manufacturing and quality data and information for regulatory compliance purposes. While our contract manufacturers have not yet produced cGMP batches of our product candidates, they have previously produced batches for other companies in compliance with cGMP and have been previously inspected by regulatory authorities for compliance with cGMP standards. Similarly, our personnel have had experience with cGMP at previous positions.</w:t>
      </w:r>
    </w:p>
    <w:p>
      <w:pPr>
        <w:spacing w:after="0" w:line="16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Contract manufacturers often encounter difficulties involving production yields, quality control and quality assurance, as well as shortages of qualified personnel.</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82"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5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Specifically, there are several companies developing or marketing treatments that may be approved for the same indications and/or diseases as our lead product candidates, ANB019 and ANB020, including major pharmaceutical companies.</w:t>
      </w:r>
    </w:p>
    <w:p>
      <w:pPr>
        <w:spacing w:after="0" w:line="170"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For asthma, our competitors include omalizumab (Xolair; Roche), which has received FDA approval and functions by inhibiting the binding between free IgE and FceRI; antibodies that bind IL-5 and inhibit its interaction with the IL-5 receptor such as mepolizumab (Glaxosmithkline), which the FDA recently approved for the add-on maintenance treatment in patients aged 12 years or older with severe eosinophilic asthma, and reslizumab (Teva), which the FDA’s Pulmonary-Allergy Drugs Advisory Committee recommended for approval in adult patients aged 18 years and older for the treatment of inadequately controlled asthma in patients with elevated eosinophils, despite an inhaled corticosteroids treatment regimen; antibodies, such as benralizumab</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(AstraZeneca) that bind the IL-5 receptor; antibodies that bind to IL-13 such as lebrikizumab (Roche), tralokinumab (AstraZeneca) and anrukinzumab (Pfizer) which are in clinical testing; antibodies that bind the IL-4 receptor alpha chain such as dupilumab (Regeneron) and AMG 317 (Amgen) each in clinical testing; and an ST2-binding antibody which Roche has in-licensed from Amgen (previously known as AMG 282) and plans to advance into Phase 2 clinical trials.</w:t>
      </w:r>
    </w:p>
    <w:p>
      <w:pPr>
        <w:spacing w:after="0" w:line="18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For peanut allergy, our competitors include DBV Technologies, which is developing transdermal products for tolerization of food allergies, while Aimmune Therapeutics is developing oral products for peanut allergy desensitization. For GPP and PPP, our competitors include marketed therapies such as secukinumab (Cosentyx; Novartis) which binds IL-17A, ustekinumab (Stelara; Janssen) which blocks IL-12 and 23 cytokine function; and acitretin (Soriatane; Glaxosmithkline), as well as therapies in development such as guselkumab (Janssen) which blocks IL-23 cytokine function and gevokizumab (Xoma 052) which binds IL-1 beta.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or the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or NDAs. Biological products are approved for marketing under provisions of the Public Health Service Act, or PHSA, via a Biologics License Application, or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7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Biological product development for a new product or certain changes to an approved product in the United States typically involves preclinical laboratory and animal tests, the submission to the FDA of an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w:t>
      </w:r>
    </w:p>
    <w:p>
      <w:pPr>
        <w:spacing w:after="0" w:line="2" w:lineRule="exact"/>
        <w:rPr>
          <w:sz w:val="20"/>
          <w:szCs w:val="20"/>
          <w:color w:val="auto"/>
        </w:rPr>
      </w:pPr>
    </w:p>
    <w:p>
      <w:pPr>
        <w:jc w:val="both"/>
        <w:ind w:right="60" w:firstLine="8"/>
        <w:spacing w:after="0" w:line="254" w:lineRule="auto"/>
        <w:tabs>
          <w:tab w:leader="none" w:pos="2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compliance with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19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or IRB, for approval. An IRB may also require the clinical trial at the site to be halted, either temporarily or permanently, for failure to comply with the IRB’s requirements, or may impose other conditions.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trial with other confirmatory evidence may be sufficient in rare instances where the trial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accepted for filing, the FDA begins an in-depth review. The FDA has agreed to certain performance goals in the review of BLAs. Most such applications for standard review biologic products are reviewed within ten months of the date the FDA files the BLA; most applications for priority review biologics are reviewed within six months of the date the FDA files the BLA.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current good manufacturing practice, or cGMP, is satisfactory and the BLA contains data that provide substantial evidence that the biologic is safe, pure, potent and effective in the indication studied.</w:t>
      </w:r>
    </w:p>
    <w:p>
      <w:pPr>
        <w:spacing w:after="0" w:line="18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REMS to help ensure that the benefits of the biologic outweigh the potential risks.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clinical studies to support an IND</w:t>
      </w:r>
    </w:p>
    <w:p>
      <w:pPr>
        <w:spacing w:after="0" w:line="117"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52"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investigator’s qualifications;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the research facilities;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detailed summary of the protocol and study results and, if requested, case records or additional background data;</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description of the drug substance and drug product, including the components, formulation, specifications, and, if available, the bioavailability of the drug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information showing that the study is adequate and well controlled;</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 and address of the independent ethics committee that reviewed the study and a statement that the independent ethics committee meets the required definition;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 summary of the independent ethics committee’s decision to approve or modify and approve the study, or to provide a favorable opinion;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description of how informed consent was obtained;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description of what incentives, if any, were provided to subjects to participate;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description of how the sponsors monitored the study and ensured that the study was consistent with the protocol;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description of how investigators were trained to comply with GCP and to conduct the study in accordance with the study protocol;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statement on whether written commitments by investigators to comply with GCP and the protocol were obtained.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Under the Orphan Drug Act, the FDA may grant orphan drug designation to biological products intended to treat a rare disease or condition—generally a disease or condition that affects fewer than 200,000 individuals in the United States, or if it affects more than 200,000 individuals in the United States, there is no reasonable expectation that the cost of developing and making a product available in the United States for such disease or condition will be recovered from sales of the product.</w:t>
      </w:r>
    </w:p>
    <w:p>
      <w:pPr>
        <w:spacing w:after="0" w:line="18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Orphan drug designation must be requested before submitting a BLA. After the FDA grants orphan drug designation, the generic identity of the biological product and its potential orphan use are disclosed publicly by the FDA. Orphan drug designation does not convey any advantage in, or shorten the duration of, the regulatory review and approval process. The first BLA applicant to receive FDA approval for a biological product containing a particular active moiety to treat a particular disease with FDA orphan drug designation is entitled to a seven-year exclusive marketing period in the United States for that product for that indication. During the seven-year exclusivity period, the FDA may not approve any other applications to market a biological product containing the same active moiety for the same disease, except in limited circumstances, such as a showing of clinical superiority to the product with orphan drug exclusivity. A product is clinically superior if it is safer, more effective or makes a major contribution to patient care. Orphan drug exclusivity does not prevent the FDA from approving a different drug or biological product for the same disease or condition, or the same biological product for a different disease or condition. Among the other benefits of orphan drug designation are tax credits for certain research and a waiver of the BLA user fee.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 Competitors may use this publicly available information to gain knowledge regarding the progress of development programs.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Under the Pediatric Research Equity Act, or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does not apply to any biological product for an indication for which orphan designation has been granted.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controls for biologics</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54"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1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 restoration</w:t>
      </w:r>
    </w:p>
    <w:p>
      <w:pPr>
        <w:spacing w:after="0" w:line="11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United States Patent and Trademark Office must determine that approval of the drug covered by the patent for which a patent extension is being sought is likely. Interim patent extensions are not available for a drug or biologic for which an NDA or BLA has not been submitted.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Biosimilars</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Biologics Price Competition and Innovation Act of 2009, or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On March 6, 2015, the FDA approved the first biosimilar product under the BPCIA. Complexities associated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with the larger, and often more complex, structures of biological products, as well as the process by which such products are manufactured, pose significant hurdles to implementation, which is still being evaluated by the FDA.</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 Biologics may be marketed only for the approved indications and in accordance with the provisions of the approved labeling.</w:t>
      </w:r>
    </w:p>
    <w:p>
      <w:pPr>
        <w:spacing w:after="0" w:line="18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Adverse event reporting and submission of periodic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If use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is essential to safe and effective use of a drug or biologic product, then the FDA generally will require approval or clearance of the diagnostic, known as a companion diagnostic, at the same time that the FDA approves the therapeutic product. The review of an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 in conjunction with the review of a biologic involves coordination of review by the FDA’s Center for Biologics Evaluation and Research and by the FDA’s Center for Devices and Radiological Health. 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which exceeds $250,000 for most PMAs.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produces reproducible results when the same sample is tested multiple times by multiple users at multiple laboratories. As part of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PMA review, the FDA will typically inspect the manufacturer’s facilities for compliance with the Quality System Regulation, or QSR, which imposes elaborate testing, control, documentation and other quality assurance requirements.</w:t>
      </w:r>
    </w:p>
    <w:p>
      <w:pPr>
        <w:spacing w:after="0" w:line="17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 healthcare laws and compliance requirements</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the United States, our activities are potentially subject to regulation by various federal, state and local authorities in addition to the FDA, including but not limited to, the Centers for Medicare and Medicaid Services, or CMS, other divisions of the U.S. Department of Health and Human Services (such as the Office of Inspector General), the U.S. Department of Justice, or DOJ, and individual U.S. Attorney offices within the DOJ, and state and local governments. For example, sales, marketing and scientific/educational grant programs may have to comply with the anti-fraud and abuse provisions of the Social Security Act, the false claims laws, the privacy and security provisions of the Health Insurance Portability and Accountability Act, or HIPAA, and similar state laws, each as amended, as applicable.</w:t>
      </w:r>
    </w:p>
    <w:p>
      <w:pPr>
        <w:spacing w:after="0" w:line="19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Additionally, the intent standard under the Anti-Kickback Statute was amended by the Patient Protection and Affordable Care Act, or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18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81"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192"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ACA amended the intent standard for certain healthcare fraud statutes under HIPAA such that a person or entity no longer needs to have actual knowledge of the statute or specific intent to violate it in order to have committed a violation.</w:t>
      </w:r>
    </w:p>
    <w:p>
      <w:pPr>
        <w:spacing w:after="0" w:line="178"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182"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Additionally, the federal Physician Payments Sunshine Act within the ACA, and its implementing regulations, require that certain manufacturers of drugs, devices, biological and medical supplies for which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00"/>
          </w:cols>
          <w:pgMar w:left="240" w:top="459" w:right="2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19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our operations are found to be in violation of any of the federal and state healthcare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pricing and reimbursement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The process for determining whether a third-party payor will provide coverage for a product may be separate from the process for setting the price of a product or for establishing the reimbursement rate that such a payor will pay for the product. Third-party payors may limit coverage to specific products on an approved list, also known as a formulary, which might not include all of the FDA-approved products for a particular indication. Third-party payors are increasingly challenging the price, examining the medical necessity and reviewing the cost-effectiveness of medical products, therapies and services, in addition to questioning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our investment in product development.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6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in the United States has increased and we expect will continue to increase the pressure on healthcare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March 2010, President Obama enacted the ACA, which has the potential to substantially change healthcare financing and delivery by both governmental and private insurers, and significantly impact the pharmaceutical and biotechnology industry.</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Among the ACA provisions of importance to the pharmaceutical and biotechnology industries, in addition to those otherwise described above, are the following:</w:t>
      </w:r>
    </w:p>
    <w:p>
      <w:pPr>
        <w:spacing w:after="0" w:line="76" w:lineRule="exact"/>
        <w:rPr>
          <w:sz w:val="20"/>
          <w:szCs w:val="20"/>
          <w:color w:val="auto"/>
        </w:rPr>
      </w:pPr>
    </w:p>
    <w:p>
      <w:pPr>
        <w:ind w:left="900" w:right="680" w:hanging="325"/>
        <w:spacing w:after="0" w:line="34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certain specified branded prescription drugs and biologic agents apportioned among these entities according to their market share in some government healthcare programs that began in 2011;</w:t>
      </w:r>
    </w:p>
    <w:p>
      <w:pPr>
        <w:spacing w:after="0" w:line="29" w:lineRule="exact"/>
        <w:rPr>
          <w:rFonts w:ascii="Arial" w:cs="Arial" w:eastAsia="Arial" w:hAnsi="Arial"/>
          <w:sz w:val="16"/>
          <w:szCs w:val="16"/>
          <w:color w:val="auto"/>
        </w:rPr>
      </w:pPr>
    </w:p>
    <w:p>
      <w:pPr>
        <w:ind w:left="900" w:right="10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23.1% and 13% of the average manufacturer price for most branded and generic drugs, respectively and capped the total rebate amount for innovator drugs at 100% of the Average Manufacturer Price, or AMP;</w:t>
      </w:r>
    </w:p>
    <w:p>
      <w:pPr>
        <w:spacing w:after="0" w:line="86"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8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requirements to report certain financial arrangements with physicians and teaching hospitals;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 requirement to annually report certain information regarding drug samples that manufacturers and distributors provide to physicians.</w:t>
      </w:r>
    </w:p>
    <w:p>
      <w:pPr>
        <w:spacing w:after="0" w:line="2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anticipate that the ACA will result in additional downward pressure on coverage and the price that we receive for any approved product, and could seriously harm our business.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revenues from product candidates that we may successfully develop and for which we may obtain regulatory approval and may affect our overall financial condition and ability to develop product candidates. In addition, it is possible that there will be further legislation or regulation that could harm our business, financial condition and results of operations.</w:t>
      </w:r>
    </w:p>
    <w:p>
      <w:pPr>
        <w:spacing w:after="0" w:line="189"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For example, in August 2011, the President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fiscal years 2012 through 2021, triggering the legislation’s automatic reduction to several government programs. This includes aggregate reductions to Medicare payments to providers of up to 2% per fiscal year, which went into effect beginning on April 1, 2013 and will stay in effect through 2025 unless additional Congressional action is taken. Additionally, in January 2013, the American Taxpayer Relief Act of 2012 was signed into law, which, among other things, reduced Medicare payments to several providers, including hospitals and imaging centers. These new laws may result in additional reductions in Medicare and other healthcare funding, which could have a material adverse effect on customers for our drugs, if approved, and, accordingly, our financial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 / rest of world government regulation</w:t>
      </w:r>
    </w:p>
    <w:p>
      <w:pPr>
        <w:spacing w:after="0" w:line="11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clinical trial application must be submitted to each country’s national health authority and an independent ethics committee, much like the FDA and IRB, respectively. Once the clinical trial application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obtain regulatory approval of an investigational drug or biological product under EU regulatory systems, we must submit a marketing authorization application. The application used to file the BLA in the United States is similar to that required in the EU, with the exception of, among other things, country-specific document requirements. For other countries outside of the EU,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58"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Conducting clinical trials for therapeutic drug candidates in Australia is subject to regulation by Australian governmental entities. Approval for inclusion in the Australian Register of Therapeutic Goods, or the ARTG, is required before a pharmaceutical drug product may be marketed in Australia.</w:t>
      </w:r>
    </w:p>
    <w:p>
      <w:pPr>
        <w:spacing w:after="0" w:line="124"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Typically, the process of obtaining approval of a new therapeutic drug product for inclusion in the ARTG requires compilation of clinical trial data. Clinical trials conducted using “unapproved therapeutic goods” in Australia, being those which have not yet been evaluated by the TGA for quality, safety and efficacy must occur pursuant to either the Clinical Trial Notification, or CTN, or Clinical Trial Exemption, or CTX, process.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CTN process broadly involves:</w:t>
      </w:r>
    </w:p>
    <w:p>
      <w:pPr>
        <w:spacing w:after="0" w:line="131"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submission to a Human Research Ethics Committee, or the HREC, of all material relating to the proposed clinical trial, including the trial protocol. The TGA does not review any data relating to the clinical trial;</w:t>
      </w:r>
    </w:p>
    <w:p>
      <w:pPr>
        <w:spacing w:after="0" w:line="75"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institution or organisation at which the trial will be conducted, referred to as the “Approving Authority” gives the final approval for the conduct of the trial at the site, having due regard to the advice from the HREC;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CTN trials cannot commence until the trial has been notified to the TGA.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CTX process:</w:t>
      </w:r>
    </w:p>
    <w:p>
      <w:pPr>
        <w:spacing w:after="0" w:line="131"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sponsor submits an application to conduct a clinical trial to the TGA for evaluation and comment; and</w:t>
      </w:r>
    </w:p>
    <w:p>
      <w:pPr>
        <w:spacing w:after="0" w:line="130" w:lineRule="exact"/>
        <w:rPr>
          <w:rFonts w:ascii="Arial" w:cs="Arial" w:eastAsia="Arial" w:hAnsi="Arial"/>
          <w:sz w:val="18"/>
          <w:szCs w:val="18"/>
          <w:color w:val="auto"/>
        </w:rPr>
      </w:pPr>
    </w:p>
    <w:p>
      <w:pPr>
        <w:ind w:left="900" w:right="440" w:hanging="325"/>
        <w:spacing w:after="0" w:line="308"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sponsor cannot commence a CTX trial until written advice has been received from the TGA regarding the application and approval for the conduct of the trial has been obtained from an ethics committee and the institution at which the trial will be conducted.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it is required that:</w:t>
      </w:r>
    </w:p>
    <w:p>
      <w:pPr>
        <w:spacing w:after="0" w:line="131"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adequate and well-controlled clinical trials demonstrate the quality, safety and efficacy of the therapeutic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evidence is compiled which demonstrates that the manufacture of the therapeutic drug product complies with the principles of cGMP;</w:t>
      </w:r>
    </w:p>
    <w:p>
      <w:pPr>
        <w:spacing w:after="0" w:line="142" w:lineRule="exact"/>
        <w:rPr>
          <w:rFonts w:ascii="Arial" w:cs="Arial" w:eastAsia="Arial" w:hAnsi="Arial"/>
          <w:sz w:val="17"/>
          <w:szCs w:val="17"/>
          <w:color w:val="auto"/>
        </w:rPr>
      </w:pPr>
    </w:p>
    <w:p>
      <w:pPr>
        <w:ind w:left="900" w:right="200" w:hanging="325"/>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manufacturing and clinical data is derived to submit to the Australian Committee on Prescription Medicines, which makes recommendations to the TGA as to whether or not to grant approval to include the therapeutic drug product in the ARTG;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ultimate decision is made by the TGA whether to include the therapeutic drug product in the ARTG.</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Pre-clinical studies include laboratory evaluation of the therapeutic drug product as well as animal studies to assess the potential safety and efficacy of the drug. The results of the pre-clinical studies form part of the materials submitted to the investigators HREC in the case of a CTN trial and part of the application to the TGA in the case of a CTX trial.</w:t>
      </w:r>
    </w:p>
    <w:p>
      <w:pPr>
        <w:spacing w:after="0" w:line="181"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Clinical trials involve administering the investigational product to healthy volunteers or patients under the supervision of a qualified principal investigator. The TGA has developed guidelines for a CTN. Under the CTN process, all material relating to the proposed trial is submitted directly to the HREC of each institution at which the trial is to be conducted. An HREC is an independent review committee set up under guidelines of the Australian National Health and Medical Research Council. The role of an HREC is to ensure the protection of rights, safety and wellbeing of human subjects involved in a clinical trial by, among other things, reviewing, approving and providing continuing review of trial protocols and amendments, and of the methods and material to be used in obtaining and documenting informed consent of the trial subjects. The TGA is formally notified by submission of a CTN application but does not review the safety of the drug or any aspect of the proposed trial. The approving authority of each institution gives the final approval for the conduct of the clinical trial, having due regard to advice from the HREC. Following approval, responsibility for all aspects of the trial conducted under a CTN application remains with the HREC of each investigator’s institution.</w:t>
      </w:r>
    </w:p>
    <w:p>
      <w:pPr>
        <w:spacing w:after="0" w:line="182"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standards for clinical research in Australia are set by the TGA and the National Health and Medical Research Council, and compliance with GCP is mandatory. Guidelines, such as those promulgated by the International Conference on Harmonization of Technical Requirements for Registration of Pharmaceuticals for Human Use, or ICH, are required across all fields, including those related to pharmaceutical quality, nonclinical and clinical data requirements and study designs. The basic requirements for preclinical data to support a first-in-human study under ICH guidelines are applicable in Australia. Requirements related to adverse event reporting in Australia are similar to those required in other major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December 31, 2015, we had 47 full-time employees and one part-time employee. Of these employees, 38 were primarily engaged in research and development activities and 11 have an M.D. or a Ph.D. None of our employees are represented by a labor union or covered by collective bargaining agreements, and we believe our relationship with our employees is good.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 and Facilities</w:t>
      </w:r>
    </w:p>
    <w:p>
      <w:pPr>
        <w:spacing w:after="0" w:line="12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Our principal executive office is located in San Diego, California, and consists of approximately 25,000 square feet of leased office and laboratory space under a lease which will expire on August 31, 2021. We use these facilities for our administrative, research and development and other activities.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facilities are adequate to meet our needs for the foreseeable future.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executive officers and directors as of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4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30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940" w:type="dxa"/>
            <w:vAlign w:val="bottom"/>
          </w:tcPr>
          <w:p>
            <w:pPr>
              <w:spacing w:after="0"/>
              <w:rPr>
                <w:sz w:val="16"/>
                <w:szCs w:val="16"/>
                <w:color w:val="auto"/>
              </w:rPr>
            </w:pPr>
          </w:p>
        </w:tc>
      </w:tr>
      <w:tr>
        <w:trPr>
          <w:trHeight w:val="182"/>
        </w:trPr>
        <w:tc>
          <w:tcPr>
            <w:tcW w:w="48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Executive Officers:</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940" w:type="dxa"/>
            <w:vAlign w:val="bottom"/>
          </w:tcPr>
          <w:p>
            <w:pPr>
              <w:spacing w:after="0"/>
              <w:rPr>
                <w:sz w:val="15"/>
                <w:szCs w:val="15"/>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Hamza Suria.</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Marco Londei, M.D.</w:t>
            </w:r>
          </w:p>
        </w:tc>
        <w:tc>
          <w:tcPr>
            <w:tcW w:w="260" w:type="dxa"/>
            <w:vAlign w:val="bottom"/>
          </w:tcPr>
          <w:p>
            <w:pPr>
              <w:jc w:val="right"/>
              <w:spacing w:after="0"/>
              <w:rPr>
                <w:sz w:val="20"/>
                <w:szCs w:val="20"/>
                <w:color w:val="auto"/>
              </w:rPr>
            </w:pPr>
            <w:r>
              <w:rPr>
                <w:rFonts w:ascii="Arial" w:cs="Arial" w:eastAsia="Arial" w:hAnsi="Arial"/>
                <w:sz w:val="18"/>
                <w:szCs w:val="18"/>
                <w:color w:val="auto"/>
              </w:rPr>
              <w:t>59</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Chief Development Officer</w:t>
            </w:r>
          </w:p>
        </w:tc>
      </w:tr>
      <w:tr>
        <w:trPr>
          <w:trHeight w:val="23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Robert E. Hoffman</w:t>
            </w:r>
          </w:p>
        </w:tc>
        <w:tc>
          <w:tcPr>
            <w:tcW w:w="260" w:type="dxa"/>
            <w:vAlign w:val="bottom"/>
          </w:tcPr>
          <w:p>
            <w:pPr>
              <w:jc w:val="right"/>
              <w:spacing w:after="0"/>
              <w:rPr>
                <w:sz w:val="20"/>
                <w:szCs w:val="20"/>
                <w:color w:val="auto"/>
              </w:rPr>
            </w:pPr>
            <w:r>
              <w:rPr>
                <w:rFonts w:ascii="Arial" w:cs="Arial" w:eastAsia="Arial" w:hAnsi="Arial"/>
                <w:sz w:val="18"/>
                <w:szCs w:val="18"/>
                <w:color w:val="auto"/>
              </w:rPr>
              <w:t>50</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w:t>
            </w: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Tiba Aynechi, Ph.D.*</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(1)(2)(3)</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(2)</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Hollings Renton</w:t>
            </w:r>
            <w:r>
              <w:rPr>
                <w:rFonts w:ascii="Arial" w:cs="Arial" w:eastAsia="Arial" w:hAnsi="Arial"/>
                <w:sz w:val="15"/>
                <w:szCs w:val="15"/>
                <w:color w:val="auto"/>
              </w:rPr>
              <w:t>(3)(4)</w:t>
            </w:r>
          </w:p>
        </w:tc>
        <w:tc>
          <w:tcPr>
            <w:tcW w:w="260" w:type="dxa"/>
            <w:vAlign w:val="bottom"/>
          </w:tcPr>
          <w:p>
            <w:pPr>
              <w:jc w:val="right"/>
              <w:spacing w:after="0"/>
              <w:rPr>
                <w:sz w:val="20"/>
                <w:szCs w:val="20"/>
                <w:color w:val="auto"/>
              </w:rPr>
            </w:pPr>
            <w:r>
              <w:rPr>
                <w:rFonts w:ascii="Arial" w:cs="Arial" w:eastAsia="Arial" w:hAnsi="Arial"/>
                <w:sz w:val="18"/>
                <w:szCs w:val="18"/>
                <w:color w:val="auto"/>
              </w:rPr>
              <w:t>69</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John P. Schmid</w:t>
            </w:r>
            <w:r>
              <w:rPr>
                <w:rFonts w:ascii="Arial" w:cs="Arial" w:eastAsia="Arial" w:hAnsi="Arial"/>
                <w:sz w:val="15"/>
                <w:szCs w:val="15"/>
                <w:color w:val="auto"/>
              </w:rPr>
              <w:t>(1)</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James A. Schoeneck</w:t>
            </w:r>
            <w:r>
              <w:rPr>
                <w:rFonts w:ascii="Arial" w:cs="Arial" w:eastAsia="Arial" w:hAnsi="Arial"/>
                <w:sz w:val="15"/>
                <w:szCs w:val="15"/>
                <w:color w:val="auto"/>
              </w:rPr>
              <w:t>(1)(2)</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4860" w:type="dxa"/>
            <w:vAlign w:val="bottom"/>
            <w:gridSpan w:val="2"/>
          </w:tcPr>
          <w:p>
            <w:pPr>
              <w:ind w:left="360"/>
              <w:spacing w:after="0"/>
              <w:rPr>
                <w:sz w:val="20"/>
                <w:szCs w:val="20"/>
                <w:color w:val="auto"/>
              </w:rPr>
            </w:pPr>
            <w:r>
              <w:rPr>
                <w:rFonts w:ascii="Arial" w:cs="Arial" w:eastAsia="Arial" w:hAnsi="Arial"/>
                <w:sz w:val="18"/>
                <w:szCs w:val="18"/>
                <w:color w:val="auto"/>
              </w:rPr>
              <w:t>James N. Topper, M.D., Ph.D.</w:t>
            </w:r>
            <w:r>
              <w:rPr>
                <w:rFonts w:ascii="Arial" w:cs="Arial" w:eastAsia="Arial" w:hAnsi="Arial"/>
                <w:sz w:val="15"/>
                <w:szCs w:val="15"/>
                <w:color w:val="auto"/>
              </w:rPr>
              <w:t>(3)(5)</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374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60" w:hanging="452"/>
        <w:spacing w:after="0" w:line="258" w:lineRule="auto"/>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Dr. Aynechi has notified us that she will resign from our board of directors contingent upon and effective immediately prior to the effectiveness of the registration statement of which this prospectus forms a part.</w:t>
      </w:r>
    </w:p>
    <w:p>
      <w:pPr>
        <w:spacing w:after="0" w:line="1" w:lineRule="exact"/>
        <w:rPr>
          <w:sz w:val="20"/>
          <w:szCs w:val="20"/>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Lead Independent Director.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Chairman of the Board of Directors.</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 xml:space="preserve">Hamza Suria </w:t>
      </w:r>
      <w:r>
        <w:rPr>
          <w:rFonts w:ascii="Arial" w:cs="Arial" w:eastAsia="Arial" w:hAnsi="Arial"/>
          <w:sz w:val="17"/>
          <w:szCs w:val="17"/>
          <w:color w:val="auto"/>
        </w:rPr>
        <w:t>has served as our President and Chief Executive Officer and a member of our board of directors since July 2011. From January 2009 to</w:t>
      </w:r>
      <w:r>
        <w:rPr>
          <w:rFonts w:ascii="Arial" w:cs="Arial" w:eastAsia="Arial" w:hAnsi="Arial"/>
          <w:sz w:val="17"/>
          <w:szCs w:val="17"/>
          <w:i w:val="1"/>
          <w:iCs w:val="1"/>
          <w:color w:val="auto"/>
        </w:rPr>
        <w:t xml:space="preserve"> </w:t>
      </w:r>
      <w:r>
        <w:rPr>
          <w:rFonts w:ascii="Arial" w:cs="Arial" w:eastAsia="Arial" w:hAnsi="Arial"/>
          <w:sz w:val="17"/>
          <w:szCs w:val="17"/>
          <w:color w:val="auto"/>
        </w:rPr>
        <w:t>June 2011 Mr. Suria served as Vice President of Corporate Development. Before joining our company in December 2008, Mr. Suria worked at Maxygen, Inc., a biopharmaceutical company, where he was responsible for partnering and alliance management of next-generation protein therapeutics in oncology supportive care, hematology and autoimmunity, including partnerships with healthcare and pharmaceutical companies, such as Roche, Sanofi S.A., Bayer Corporation and Astellas Pharma. Mr. Suria received his M.S. in immunology from the University of Western Ontario, his Executive M.B.A. from the Richard Ivey School of Business of the University of Western Ontario and his B.S. in biochemistry from Kalamazoo College.</w:t>
      </w:r>
    </w:p>
    <w:p>
      <w:pPr>
        <w:spacing w:after="0" w:line="178" w:lineRule="exact"/>
        <w:rPr>
          <w:sz w:val="20"/>
          <w:szCs w:val="20"/>
          <w:color w:val="auto"/>
        </w:rPr>
      </w:pPr>
    </w:p>
    <w:p>
      <w:pPr>
        <w:ind w:right="440" w:firstLine="456"/>
        <w:spacing w:after="0" w:line="258" w:lineRule="auto"/>
        <w:rPr>
          <w:sz w:val="20"/>
          <w:szCs w:val="20"/>
          <w:color w:val="auto"/>
        </w:rPr>
      </w:pPr>
      <w:r>
        <w:rPr>
          <w:rFonts w:ascii="Arial" w:cs="Arial" w:eastAsia="Arial" w:hAnsi="Arial"/>
          <w:sz w:val="18"/>
          <w:szCs w:val="18"/>
          <w:color w:val="auto"/>
        </w:rPr>
        <w:t>We believe that Mr. Suria’s thorough knowledge of our company and technology, and his scientific and business experience, provide him with the qualifications and skills to serve on our board of directors.</w:t>
      </w:r>
    </w:p>
    <w:p>
      <w:pPr>
        <w:spacing w:after="0" w:line="1" w:lineRule="exact"/>
        <w:rPr>
          <w:sz w:val="20"/>
          <w:szCs w:val="20"/>
          <w:color w:val="auto"/>
        </w:rPr>
      </w:pPr>
    </w:p>
    <w:p>
      <w:pPr>
        <w:ind w:right="40" w:firstLine="456"/>
        <w:spacing w:after="0" w:line="252" w:lineRule="auto"/>
        <w:rPr>
          <w:sz w:val="20"/>
          <w:szCs w:val="20"/>
          <w:color w:val="auto"/>
        </w:rPr>
      </w:pPr>
      <w:r>
        <w:rPr>
          <w:rFonts w:ascii="Arial" w:cs="Arial" w:eastAsia="Arial" w:hAnsi="Arial"/>
          <w:sz w:val="18"/>
          <w:szCs w:val="18"/>
          <w:i w:val="1"/>
          <w:iCs w:val="1"/>
          <w:color w:val="auto"/>
        </w:rPr>
        <w:t xml:space="preserve">Marco Londei, M.D. </w:t>
      </w:r>
      <w:r>
        <w:rPr>
          <w:rFonts w:ascii="Arial" w:cs="Arial" w:eastAsia="Arial" w:hAnsi="Arial"/>
          <w:sz w:val="18"/>
          <w:szCs w:val="18"/>
          <w:color w:val="auto"/>
        </w:rPr>
        <w:t>has served as our Chief Development Officer since October 2014. Before joining our company, Dr. Londei worked as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Area Head Immunosciences, at Bristol-Myers Squibb, a biopharmaceutical company, from November 2012 to September 2014. Before starting at Bristol-Myers Squibb, Dr. Londei served as Global Head Translational Medicine of the Autoimmunity, Transplantation &amp; Inflammation Department at Novartis AG and Translational Science Officer at the Genomics Institute of the Novartis Research Foundation from October 2005 to October 2012. Dr. Londei was Professor at the Kennedy Institute of Rheumatology, Imperial College School of Medicine, London, from July 1999 to July 2003 and then Professor and head of the gastroenterology unit at University College London, Medical School UK, from July 2003 through September 2007. Dr. Londei received his M.D. from Università di Bologna.</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Robert E. Hoffman </w:t>
      </w:r>
      <w:r>
        <w:rPr>
          <w:rFonts w:ascii="Arial" w:cs="Arial" w:eastAsia="Arial" w:hAnsi="Arial"/>
          <w:sz w:val="18"/>
          <w:szCs w:val="18"/>
          <w:color w:val="auto"/>
        </w:rPr>
        <w:t>has served as our Chief Financial Officer since July 2015. Before joining our company, Mr. Hoffman served as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Finance and Chief Financial Officer of Arena Pharmaceuticals, Inc., a biopharmaceutical company, from June 2012 to July 2015, as Vice President, Finance and Chief Financial Officer from August 2011 to June 2012 and December 2005 to March 2011. From March 2011 to August 2011, Mr. Hoffman served as Chief Financial Officer for Polaris Group, a biopharmaceutical drug company. Mr. Hoffman is a member of the board of directors of CombiMatrix Corporation, a molecular diagnostics company, Kura Oncology, Inc., a biotechnology company, and MabVax Therapeutics Holdings, Inc., a biopharmaceutical company. He also serves as a member of the Financial Accounting Standards Board’s Small Business Advisory Committee and the steering committee of the Association of Bioscience Financial Officers. Mr. Hoffman received his B.B.A. from St. Bonaventure University, and is licensed as a C.P.A. (inactive) in the State of California.</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Tiba Aynechi, Ph.D. </w:t>
      </w:r>
      <w:r>
        <w:rPr>
          <w:rFonts w:ascii="Arial" w:cs="Arial" w:eastAsia="Arial" w:hAnsi="Arial"/>
          <w:sz w:val="18"/>
          <w:szCs w:val="18"/>
          <w:color w:val="auto"/>
        </w:rPr>
        <w:t>has served as a member of our board of directors since April 2015. Dr. Aynechi is employed as a Partner at Novo Ventures (US)</w:t>
      </w:r>
      <w:r>
        <w:rPr>
          <w:rFonts w:ascii="Arial" w:cs="Arial" w:eastAsia="Arial" w:hAnsi="Arial"/>
          <w:sz w:val="18"/>
          <w:szCs w:val="18"/>
          <w:i w:val="1"/>
          <w:iCs w:val="1"/>
          <w:color w:val="auto"/>
        </w:rPr>
        <w:t xml:space="preserve"> </w:t>
      </w:r>
      <w:r>
        <w:rPr>
          <w:rFonts w:ascii="Arial" w:cs="Arial" w:eastAsia="Arial" w:hAnsi="Arial"/>
          <w:sz w:val="18"/>
          <w:szCs w:val="18"/>
          <w:color w:val="auto"/>
        </w:rPr>
        <w:t>Inc., which provides certain consultancy services to Novo A/S, a Danish limited liability company that manages investments and financial assets. Prior to joining Novo Ventures (US) Inc. in March 2010, Dr. Aynechi was employed from June 2006 to March 2010 by Burrill &amp; Company, a private financial firm specializing in biotechnology and life sciences investment, in various positions, including from January 2009 to March 2010 as a Director in Merchant Banking where she was responsible for regional and cross-border mergers and acquisitions, licensing, and financing transactions. Dr. Aynechi has served as a member of the board of directors of several private biotechnology and medical device companies. Dr. Aynechi received her Ph.D. in biophysics from the University of California, San Francisco, where her research involved developing computational methods for drug discovery. She received her B.S. in physics from the University of California, Irvine.</w:t>
      </w:r>
    </w:p>
    <w:p>
      <w:pPr>
        <w:spacing w:after="0" w:line="192"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believe that Dr. Aynechi’s extensive experience in the biotechnology and pharmaceutical industries, makes her qualified to serve on our own board of directors.</w:t>
      </w:r>
    </w:p>
    <w:p>
      <w:pPr>
        <w:spacing w:after="0" w:line="170" w:lineRule="exact"/>
        <w:rPr>
          <w:sz w:val="20"/>
          <w:szCs w:val="20"/>
          <w:color w:val="auto"/>
        </w:rPr>
      </w:pPr>
    </w:p>
    <w:p>
      <w:pPr>
        <w:ind w:right="320" w:firstLine="456"/>
        <w:spacing w:after="0" w:line="285" w:lineRule="auto"/>
        <w:rPr>
          <w:sz w:val="20"/>
          <w:szCs w:val="20"/>
          <w:color w:val="auto"/>
        </w:rPr>
      </w:pPr>
      <w:r>
        <w:rPr>
          <w:rFonts w:ascii="Arial" w:cs="Arial" w:eastAsia="Arial" w:hAnsi="Arial"/>
          <w:sz w:val="16"/>
          <w:szCs w:val="16"/>
          <w:i w:val="1"/>
          <w:iCs w:val="1"/>
          <w:color w:val="auto"/>
        </w:rPr>
        <w:t xml:space="preserve">Carol G. Gallagher, Pharm.D. </w:t>
      </w:r>
      <w:r>
        <w:rPr>
          <w:rFonts w:ascii="Arial" w:cs="Arial" w:eastAsia="Arial" w:hAnsi="Arial"/>
          <w:sz w:val="16"/>
          <w:szCs w:val="16"/>
          <w:color w:val="auto"/>
        </w:rPr>
        <w:t>has served as a member of our board of directors since October 2011. Dr. Gallagher has been a partner at New</w:t>
      </w:r>
      <w:r>
        <w:rPr>
          <w:rFonts w:ascii="Arial" w:cs="Arial" w:eastAsia="Arial" w:hAnsi="Arial"/>
          <w:sz w:val="16"/>
          <w:szCs w:val="16"/>
          <w:i w:val="1"/>
          <w:iCs w:val="1"/>
          <w:color w:val="auto"/>
        </w:rPr>
        <w:t xml:space="preserve"> </w:t>
      </w:r>
      <w:r>
        <w:rPr>
          <w:rFonts w:ascii="Arial" w:cs="Arial" w:eastAsia="Arial" w:hAnsi="Arial"/>
          <w:sz w:val="16"/>
          <w:szCs w:val="16"/>
          <w:color w:val="auto"/>
        </w:rPr>
        <w:t>Enterprise Associates, a venture-capital firm, since October 2014. She has served as a director at Atara Biotherapeutics, Inc., a public biopharmaceutical company, since February 2013 and she became lead director in October 2014. She has also served as a director at Atterocor, Inc. since October 2012, as chairperson of the board of directors of eFFECTOR Therapeutics, Inc. from October 2012 to 2014 and as a director of Aragon Pharmaceuticals, Inc. from February 2012 to July 2013. Dr. Gallagher was a venture partner with Frazier Healthcare, a venture-capital firm, from November 2013 to July 2014.</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Dr. Gallagher served as the President and Chief Executive Officer of Calistoga Pharmaceuticals, a biopharmaceutical company, from September 2008 to April 2011, when the company was acquired by Gilead Sciences. From 2007 to 2008, Dr. Gallagher was the President and Chief Executive Officer of Metastatix, Inc., a biopharmaceutical company. Dr. Gallagher attended Vanderbilt University and received her B.S. and Pharm.D. degrees from the University of Kentucky.</w:t>
      </w:r>
    </w:p>
    <w:p>
      <w:pPr>
        <w:spacing w:after="0" w:line="19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Dr. Gallagher’s extensive experience in the life sciences industry and as a chief executive officer provide her with the qualifications and skills to serve on our board of directors.</w:t>
      </w:r>
    </w:p>
    <w:p>
      <w:pPr>
        <w:spacing w:after="0" w:line="170"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i w:val="1"/>
          <w:iCs w:val="1"/>
          <w:color w:val="auto"/>
        </w:rPr>
        <w:t xml:space="preserve">Nicholas B. Lydon, Ph.D., FRS </w:t>
      </w:r>
      <w:r>
        <w:rPr>
          <w:rFonts w:ascii="Arial" w:cs="Arial" w:eastAsia="Arial" w:hAnsi="Arial"/>
          <w:sz w:val="16"/>
          <w:szCs w:val="16"/>
          <w:color w:val="auto"/>
        </w:rPr>
        <w:t>is a co-founder of our company and has served on our board of directors since our company was founded in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2005. Dr. Lydon also co-founded and has served on the board of directors of BluePrint Medicines Inc. since April 2011. Since 2011, Dr. Lydon has served as Managing Member at Staurus Pharma, LLC, a biotechnology company. Dr. Lydon is also the founder of Granite Biopharma LLC, a consulting company, and has served as sole member of Granite Biopharma since 2003. Dr. Lydon also previously served as Vice President, Small Molecule Drug Discovery at Amgen Inc. from 2000 to 2002. Prior to joining Amgen, he was the Chief Executive Officer and founder of Kinetix Pharmaceuticals, Inc., a biotechnology company focused on the discovery and development of selective protein kinase inhibitors, from 1997 to 2000. Kinetix Pharmaceuticals was acquired by</w:t>
      </w:r>
    </w:p>
    <w:p>
      <w:pPr>
        <w:spacing w:after="0" w:line="5"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Amgen in 2000. Prior to joining Kinetix, Dr. Lydon worked at CIBA-GEIGY, AG (Novartis) in Basel, Switzerland from 1985 to 1997, where he was responsible for the protein kinase inhibitor program, including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discovery and preclinical development of Imatinib (Gleevec). Dr. Lydon began his pharmaceutical career at Schering-Plough Corporation from 1982 to 1985 where his research involved studies on recombinant interferons. Dr. Lydon has been awarded the Lasker~DeBakey Clinical Medical Research Award and the Japan Prize for his work on Imatinib. Other awards include the Warren Alpert Foundation Prize, the AACR Bruce F. Cain Memorial Award and the Charles F. Kettering Prize from the General Motors Cancer Research Foundation. Dr. Lydon earned his B.S. in Biochemistry and Zoology from the University of Leeds, England, and received his Ph.D. in Biochemistry from the Medical Sciences Institute, University of Dundee, Scotland.</w:t>
      </w:r>
    </w:p>
    <w:p>
      <w:pPr>
        <w:spacing w:after="0" w:line="15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believe that Dr. Lydon’s extensive industry experience and significant knowledge of scientific matters provide him with the qualifications and skills to serve on our board of directors.</w:t>
      </w:r>
    </w:p>
    <w:p>
      <w:pPr>
        <w:spacing w:after="0" w:line="170" w:lineRule="exact"/>
        <w:rPr>
          <w:sz w:val="20"/>
          <w:szCs w:val="20"/>
          <w:color w:val="auto"/>
        </w:rPr>
      </w:pPr>
    </w:p>
    <w:p>
      <w:pPr>
        <w:ind w:right="140" w:firstLine="456"/>
        <w:spacing w:after="0" w:line="270" w:lineRule="auto"/>
        <w:rPr>
          <w:sz w:val="20"/>
          <w:szCs w:val="20"/>
          <w:color w:val="auto"/>
        </w:rPr>
      </w:pPr>
      <w:r>
        <w:rPr>
          <w:rFonts w:ascii="Arial" w:cs="Arial" w:eastAsia="Arial" w:hAnsi="Arial"/>
          <w:sz w:val="17"/>
          <w:szCs w:val="17"/>
          <w:i w:val="1"/>
          <w:iCs w:val="1"/>
          <w:color w:val="auto"/>
        </w:rPr>
        <w:t xml:space="preserve">Hollings Renton </w:t>
      </w:r>
      <w:r>
        <w:rPr>
          <w:rFonts w:ascii="Arial" w:cs="Arial" w:eastAsia="Arial" w:hAnsi="Arial"/>
          <w:sz w:val="17"/>
          <w:szCs w:val="17"/>
          <w:color w:val="auto"/>
        </w:rPr>
        <w:t>has served as a member of our board of directors since June 2015. Mr. Renton previously served as the Chief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Onyx Pharmaceuticals, Inc. from 1993 to 2008 and as the chairperson of the board of directors from 2000 to 2008. Before joining Onyx Pharmaceuticals, Mr. Renton worked for Chiron Corporation, a pharmaceutical company, as President and Chief Operating Officer from 1991 to 1993, following its acquisition of Cetus Corporation. Before joining Onyx Pharmaceuticals, Mr. Renton worked for Cetus Corporation as President from 1990 to 1991, as Chief Operating Officer from 1987 to 1990, and as Chief Financial Officer from 1983 to 1987. Mr. Renton currently serves as a director of multiple life sciences companies, including as chairperson of the board of directors of Portola Pharmaceuticals, Inc., and is a member of the board of directors of Cepheid Inc. and Kythera Biopharmaceuticals, Inc. He previously served on the boards of directors of Rigel Pharmaceuticals, Inc., Affymax Inc., Sangstat Medical Corporation, Special Olympics Northern California and the Biotechnology Industry Organization. Mr. Renton received his M.B.A. from the University of Michigan and his B.S. in Mathematics from Colorado State University.</w:t>
      </w:r>
    </w:p>
    <w:p>
      <w:pPr>
        <w:spacing w:after="0" w:line="182"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believe that Mr. Renton’s extensive industry experience and board memberships provide him with the qualifications and skills to serve on our board of directors.</w:t>
      </w:r>
    </w:p>
    <w:p>
      <w:pPr>
        <w:spacing w:after="0" w:line="17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John P. Schmid </w:t>
      </w:r>
      <w:r>
        <w:rPr>
          <w:rFonts w:ascii="Arial" w:cs="Arial" w:eastAsia="Arial" w:hAnsi="Arial"/>
          <w:sz w:val="16"/>
          <w:szCs w:val="16"/>
          <w:color w:val="auto"/>
        </w:rPr>
        <w:t>has served as a member of our board of directors since June 2015. Mr. Schmid served as Chief Financial Officer of Auspex</w:t>
      </w:r>
      <w:r>
        <w:rPr>
          <w:rFonts w:ascii="Arial" w:cs="Arial" w:eastAsia="Arial" w:hAnsi="Arial"/>
          <w:sz w:val="16"/>
          <w:szCs w:val="16"/>
          <w:i w:val="1"/>
          <w:iCs w:val="1"/>
          <w:color w:val="auto"/>
        </w:rPr>
        <w:t xml:space="preserve"> </w:t>
      </w:r>
      <w:r>
        <w:rPr>
          <w:rFonts w:ascii="Arial" w:cs="Arial" w:eastAsia="Arial" w:hAnsi="Arial"/>
          <w:sz w:val="16"/>
          <w:szCs w:val="16"/>
          <w:color w:val="auto"/>
        </w:rPr>
        <w:t>Pharmaceuticals, Inc. from September 2013 to June 2015. Before joining Auspex Pharmaceuticals, Mr. Schmid co-founded Trius Therapeutics, Inc., a publicly traded biopharmaceutical company, where he served as the Chief Financial Officer from June 2004 until its merger with Cubist Pharmaceuticals, Inc., in September 2013. Before he joined Trius Therapeutics, Inc., Mr. Schmid served as the Chief Financial Officer at GeneFormatics, Inc., a private biotechnology company, from 1998 to 2003, and at Endonetics, Inc., a private medical device company, from 1995 to 1998. Mr. Schmid currently serves a member of the board of directors of Neos Therapeutics, Inc., a pharmaceutical company, and as the chairman of the board of directors of Speak, Inc., a speakers bureau, which he helped found in 1989. Mr. Schmid received his M.B.A. from the University of San Diego and his B.A. from Wesleyan University.</w:t>
      </w:r>
    </w:p>
    <w:p>
      <w:pPr>
        <w:spacing w:after="0" w:line="16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believe that Mr. Schmid’s extensive industry experience and executive positions at multiple biopharmaceutical companies qualify him to serve on our board of directors.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James A. Schoeneck </w:t>
      </w:r>
      <w:r>
        <w:rPr>
          <w:rFonts w:ascii="Arial" w:cs="Arial" w:eastAsia="Arial" w:hAnsi="Arial"/>
          <w:sz w:val="18"/>
          <w:szCs w:val="18"/>
          <w:color w:val="auto"/>
        </w:rPr>
        <w:t>has served as a member of our board of directors since November 2015. Mr. Schoeneck has served as the President and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of Depomed, Inc. since April 2011 and as a director of Depomed since December 2007. Before joining Depomed, Mr. Schoeneck served as Chief Executive Officer of BrainCells Inc., a private biopharmaceutical company in San Diego, from September 2005 to April 2011. Mr. Schoeneck has served as a director of FibroGen, Inc., a public biopharmaceutical company since June 2010. Mr. Schoeneck received his B.S. in Education from Jacksonville State University.</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believe that Mr. Schoeneck’s extensive industry and leadership experience provide him with the qualifications and skills to serve on our board of directors.</w:t>
      </w:r>
    </w:p>
    <w:p>
      <w:pPr>
        <w:spacing w:after="0" w:line="17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i w:val="1"/>
          <w:iCs w:val="1"/>
          <w:color w:val="auto"/>
        </w:rPr>
        <w:t xml:space="preserve">James N. Topper, M.D., Ph.D. </w:t>
      </w:r>
      <w:r>
        <w:rPr>
          <w:rFonts w:ascii="Arial" w:cs="Arial" w:eastAsia="Arial" w:hAnsi="Arial"/>
          <w:sz w:val="18"/>
          <w:szCs w:val="18"/>
          <w:color w:val="auto"/>
        </w:rPr>
        <w:t>has served as a member of our board of directors since November 2007. Dr. Topper has been a partner with Frazier</w:t>
      </w:r>
      <w:r>
        <w:rPr>
          <w:rFonts w:ascii="Arial" w:cs="Arial" w:eastAsia="Arial" w:hAnsi="Arial"/>
          <w:sz w:val="18"/>
          <w:szCs w:val="18"/>
          <w:i w:val="1"/>
          <w:iCs w:val="1"/>
          <w:color w:val="auto"/>
        </w:rPr>
        <w:t xml:space="preserve"> </w:t>
      </w:r>
      <w:r>
        <w:rPr>
          <w:rFonts w:ascii="Arial" w:cs="Arial" w:eastAsia="Arial" w:hAnsi="Arial"/>
          <w:sz w:val="18"/>
          <w:szCs w:val="18"/>
          <w:color w:val="auto"/>
        </w:rPr>
        <w:t>Healthcare since August 2003, serving as General Partner since 2005.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including Amicus Therapeutics, Inc. and Portola Pharmaceuticals, Inc. Dr. Topper received his M.D. and Ph.D. in biophysics from Stanford University and his B.S. in biology from the University of Michigan.</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12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Our executive officers are appointed by, and serve at the discretion of, our board of directors. There are no family relationships among any of our directors or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board of directors has adopted a code of business conduct and ethics that applies to all of our employees, officers and directors, including our Chief Executive Officer, Chief Financial Officer and other executive and senior officers.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code of conduct, or waivers of these provisions, on our website or in public filings.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eight members. Our current certificate of incorporation and a voting agreement by and among us and certain of our investors provide for up to eight directors, of which (i) up to two directors are designated by holders of our Series B, Series B-1 and Series B-2 Preferred Stock, voting together as a single class on an as-converted basis, (ii) one director is designed by holders of our common stock, voting as a separate class and (iii) all remaining directors are designated by the holders of our common stock and convertible preferred stock, voting together as a single class on an as-converted basis. Drs. Aynechi and Topper are the current designees of holders of our Series B, Series B-1 and Series B-2 convertible preferred stock, voting together as a single class on an as-converted basis. Mr. Suria is the current designee of holders of our common stock. Dr. Gallagher, Dr. Lydon, Mr. Renton and Mr. Schmid are the current designees of holders of our common stock and convertible preferred stock, voting together as a single class on an as-converted basis.</w:t>
      </w:r>
    </w:p>
    <w:p>
      <w:pPr>
        <w:spacing w:after="0" w:line="179"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voting agreement and the provisions of our certificate of incorporation that govern the election and designation of our directors will terminate in connection with our initial public offering, after which no contractual obligations will concern the election of our directors. Each of our current directors will continue to serve until the election and qualification of his or her successor, or until his or her earlier death, resignation or removal.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Classified Board of Directors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Upon completion of this offering, our board of directors will be divided into three staggered classes of directors. At each annual meeting of stockholders, a class of directors will be subject to re-election for a three-year term.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92" w:lineRule="exact"/>
        <w:rPr>
          <w:sz w:val="20"/>
          <w:szCs w:val="20"/>
          <w:color w:val="auto"/>
        </w:rPr>
      </w:pPr>
    </w:p>
    <w:p>
      <w:pPr>
        <w:ind w:left="5580" w:right="300" w:hanging="5005"/>
        <w:spacing w:after="0" w:line="449" w:lineRule="auto"/>
        <w:tabs>
          <w:tab w:leader="none" w:pos="89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Class I directors will be Dr. Gallagher and Dr. Topper and their terms will expire at the annual meeting of stockholders to be held in 2017; 117</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Class II directors will be Mr. Suria and Dr. Lydon and their terms will expire at the annual meeting of stockholders to be held in 2018; and</w:t>
      </w:r>
    </w:p>
    <w:p>
      <w:pPr>
        <w:spacing w:after="0" w:line="153" w:lineRule="exact"/>
        <w:rPr>
          <w:rFonts w:ascii="Arial" w:cs="Arial" w:eastAsia="Arial" w:hAnsi="Arial"/>
          <w:sz w:val="16"/>
          <w:szCs w:val="16"/>
          <w:color w:val="auto"/>
        </w:rPr>
      </w:pPr>
    </w:p>
    <w:p>
      <w:pPr>
        <w:ind w:left="900" w:right="10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Class III directors will be Mr. Renton, Mr. Schmid and Mr. Schoeneck and their terms will expire at the annual meeting of stockholders to be held in 2019.</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director’s term continues until the election and qualification of his or her successor, or his or her earlier death, resignation or removal. Our restated certificate of incorporation and restated bylaws that will be in effect upon the closing of this offering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“Description of Capital Stock—Anti-Takeover Provisions—Restated Certificate of Incorporation and Restated Bylaw Provisions.”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this offering, our common stock has been approved for listing on the NASDAQ Global Select Market. Under the rules of the NASDAQ Stock Market, or NASDAQ, independent directors must comprise a majority of a listed company’s board of directors within a specified period of the closing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initial public offering. Additionally, compensation committee members must not have a relationship with us that is material to the director’s ability to be independent from management in connection with the duties of a compensation committee member.</w:t>
      </w:r>
    </w:p>
    <w:p>
      <w:pPr>
        <w:spacing w:after="0" w:line="189"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Our board of directors has undertaken a review of the independence of each director and considered whether each director has a material relationship with us that could compromise his ability to exercise independent judgment in carrying out his responsibilities. As a result of this review, our board of directors determined that all of our directors, except for Mr. Suria, are “independent directors” as defined under the applicable rules and regulations of the Securities and Exchange Commission, or SEC, and the listing requirements and rules of NASDAQ.</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as of the closing of our initial public offering. Members serve on these committees until their resignation or until otherwise determined by our board of directors.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Our audit committee is comprised of Dr. Gallagher, Mr. Schoeneck and Mr. Schmid, with Mr. Schmid as the chairman of our audit committee. The composition of our audit committee meets the requirements for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independence under the current NASDAQ and SEC rules and regulations. In addition, our board of directors has determined that Mr. Schmid is an “audit committee financial expert” as defined in Item 407(d)(5)(ii) of Regulation S-K promulgated under the Securities Act. This designation does not impose on him any duties, obligations or liabilities that are greater than are generally imposed on members of our audit committee and our board of directors. Our audit committee is directly responsible for, among other things:</w:t>
      </w:r>
    </w:p>
    <w:p>
      <w:pPr>
        <w:spacing w:after="0" w:line="92"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selecting a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ensuring the independence of the independent registered public accounting firm;</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that firm, our interim and year-end operating results;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establishing procedures for employees to anonymously submit concerns about questionable accounting or audit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considering the adequacy of our internal controls;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reviewing material related party transactions or those that require disclosure;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non-audit services to be performed by the independent registered public accounting firm.</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compensation committee is comprised of Dr. Gallagher, Dr. Lydon and Mr. Schoeneck, with Dr. Gallagher as the chairperson of our compensation committee. Each member of this committee is a non-employee director, as defined by Rule 16b-3 promulgated under the Exchange Act, and an outside director, as defined pursuant to Section 162(m) of the Internal Revenue Code of 1984, as amended, or the Code, and meets the requirements for independence under the current NASDAQ listing standards and SEC rules and regulations. Our compensation committee is responsible for, among other things:</w:t>
      </w:r>
    </w:p>
    <w:p>
      <w:pPr>
        <w:spacing w:after="0" w:line="60" w:lineRule="exact"/>
        <w:rPr>
          <w:sz w:val="20"/>
          <w:szCs w:val="20"/>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terms of any compensatory agreements with our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reviewing and approving, or making recommendations to our board of directors with respect to, incentive compensation and equity plans;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117"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Our nominating and governance committee is comprised of Dr. Gallagher, Mr. Renton and Dr. Topper, with Mr. Renton as the chairman of our nominating and governance committee. Each member of the Committee meets the requirements for independence under the current NASDAQ listing standards. Our nominating and governance committee is responsible for, among other things:</w:t>
      </w:r>
    </w:p>
    <w:p>
      <w:pPr>
        <w:spacing w:after="0" w:line="87" w:lineRule="exact"/>
        <w:rPr>
          <w:sz w:val="20"/>
          <w:szCs w:val="20"/>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 of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recommending directors to serve on board committees;</w:t>
      </w:r>
    </w:p>
    <w:p>
      <w:pPr>
        <w:spacing w:after="0" w:line="130" w:lineRule="exact"/>
        <w:rPr>
          <w:rFonts w:ascii="Arial" w:cs="Arial" w:eastAsia="Arial" w:hAnsi="Arial"/>
          <w:sz w:val="18"/>
          <w:szCs w:val="18"/>
          <w:color w:val="auto"/>
        </w:rPr>
      </w:pPr>
    </w:p>
    <w:p>
      <w:pPr>
        <w:ind w:left="5580" w:right="4700" w:hanging="5005"/>
        <w:spacing w:after="0" w:line="449" w:lineRule="auto"/>
        <w:tabs>
          <w:tab w:leader="none" w:pos="897"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reviewing and recommending our corporate governance guidelines and policies; 119</w:t>
      </w:r>
    </w:p>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evaluating, and overseeing the process of evaluating, the performance of our board of directors and individual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assisting our board of directors on corporate governance matters.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None of our executive officers has served as a member of our board of directors, or as a member of our compensation or similar committee, of any entity that has one or more executive officers who served on our board of directors or compensation committee during the year ended December 31, 2015. Prior to establishing the compensation committee, our full board of directors made decisions relating to the compensation of our officers. For a description of transactions between us and members of our compensation committee and affiliates of such members, please see “Certain Relationships and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following table presents the total compensation earned or paid in the year ended December 31, 2015 for each member of our board of directors, except for our President and Chief Executive Officer, Mr. Suria, who receives no additional compensation for his service as a director. Other than as described below, none of our non-employee directors received any fees or reimbursement of any expenses (other than customary expenses in connection with the attendance of meetings of our board of directors) or any equity or non-equity awards in the year ended December 31, 2015.</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Fees Earned</w:t>
            </w: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Option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60" w:type="dxa"/>
            <w:vAlign w:val="bottom"/>
            <w:vMerge w:val="restart"/>
          </w:tcPr>
          <w:p>
            <w:pPr>
              <w:spacing w:after="0"/>
              <w:rPr>
                <w:sz w:val="12"/>
                <w:szCs w:val="12"/>
                <w:color w:val="auto"/>
              </w:rPr>
            </w:pPr>
          </w:p>
        </w:tc>
        <w:tc>
          <w:tcPr>
            <w:tcW w:w="1780" w:type="dxa"/>
            <w:vAlign w:val="bottom"/>
          </w:tcPr>
          <w:p>
            <w:pPr>
              <w:spacing w:after="0"/>
              <w:rPr>
                <w:sz w:val="12"/>
                <w:szCs w:val="12"/>
                <w:color w:val="auto"/>
              </w:rPr>
            </w:pPr>
          </w:p>
        </w:tc>
        <w:tc>
          <w:tcPr>
            <w:tcW w:w="146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rPr>
              <w:t>or Paid in</w:t>
            </w: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Awards</w:t>
            </w:r>
            <w:r>
              <w:rPr>
                <w:rFonts w:ascii="Arial" w:cs="Arial" w:eastAsia="Arial" w:hAnsi="Arial"/>
                <w:sz w:val="12"/>
                <w:szCs w:val="12"/>
                <w:b w:val="1"/>
                <w:bCs w:val="1"/>
                <w:color w:val="auto"/>
                <w:w w:val="95"/>
              </w:rPr>
              <w:t>(2)(3)</w:t>
            </w:r>
          </w:p>
        </w:tc>
        <w:tc>
          <w:tcPr>
            <w:tcW w:w="300" w:type="dxa"/>
            <w:vAlign w:val="bottom"/>
          </w:tcPr>
          <w:p>
            <w:pPr>
              <w:spacing w:after="0"/>
              <w:rPr>
                <w:sz w:val="12"/>
                <w:szCs w:val="12"/>
                <w:color w:val="auto"/>
              </w:rPr>
            </w:pPr>
          </w:p>
        </w:tc>
        <w:tc>
          <w:tcPr>
            <w:tcW w:w="78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660" w:type="dxa"/>
            <w:vAlign w:val="bottom"/>
            <w:vMerge w:val="continue"/>
          </w:tcPr>
          <w:p>
            <w:pPr>
              <w:spacing w:after="0"/>
              <w:rPr>
                <w:sz w:val="15"/>
                <w:szCs w:val="15"/>
                <w:color w:val="auto"/>
              </w:rPr>
            </w:pPr>
          </w:p>
        </w:tc>
        <w:tc>
          <w:tcPr>
            <w:tcW w:w="1780" w:type="dxa"/>
            <w:vAlign w:val="bottom"/>
          </w:tcPr>
          <w:p>
            <w:pPr>
              <w:spacing w:after="0"/>
              <w:rPr>
                <w:sz w:val="15"/>
                <w:szCs w:val="15"/>
                <w:color w:val="auto"/>
              </w:rPr>
            </w:pPr>
          </w:p>
        </w:tc>
        <w:tc>
          <w:tcPr>
            <w:tcW w:w="1460" w:type="dxa"/>
            <w:vAlign w:val="bottom"/>
            <w:gridSpan w:val="3"/>
          </w:tcPr>
          <w:p>
            <w:pPr>
              <w:jc w:val="right"/>
              <w:ind w:right="760"/>
              <w:spacing w:after="0" w:line="158" w:lineRule="exact"/>
              <w:rPr>
                <w:sz w:val="20"/>
                <w:szCs w:val="20"/>
                <w:color w:val="auto"/>
              </w:rPr>
            </w:pPr>
            <w:r>
              <w:rPr>
                <w:rFonts w:ascii="Arial" w:cs="Arial" w:eastAsia="Arial" w:hAnsi="Arial"/>
                <w:sz w:val="14"/>
                <w:szCs w:val="14"/>
                <w:b w:val="1"/>
                <w:bCs w:val="1"/>
                <w:color w:val="auto"/>
                <w:w w:val="97"/>
              </w:rPr>
              <w:t>Cash</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xml:space="preserve"> ($)</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Carol G. Gallagher, Pharm.D</w:t>
            </w:r>
          </w:p>
        </w:tc>
        <w:tc>
          <w:tcPr>
            <w:tcW w:w="1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7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196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37,500</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37,500</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p>
        </w:tc>
        <w:tc>
          <w:tcPr>
            <w:tcW w:w="196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25,000</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$ 225,235</w:t>
            </w:r>
            <w:r>
              <w:rPr>
                <w:rFonts w:ascii="Arial" w:cs="Arial" w:eastAsia="Arial" w:hAnsi="Arial"/>
                <w:sz w:val="15"/>
                <w:szCs w:val="15"/>
                <w:color w:val="auto"/>
                <w:w w:val="93"/>
              </w:rPr>
              <w:t>(4)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250,235</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John P. Schmid</w:t>
            </w:r>
          </w:p>
        </w:tc>
        <w:tc>
          <w:tcPr>
            <w:tcW w:w="196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0"/>
              <w:spacing w:after="0"/>
              <w:rPr>
                <w:sz w:val="20"/>
                <w:szCs w:val="20"/>
                <w:color w:val="auto"/>
              </w:rPr>
            </w:pPr>
            <w:r>
              <w:rPr>
                <w:rFonts w:ascii="Arial" w:cs="Arial" w:eastAsia="Arial" w:hAnsi="Arial"/>
                <w:sz w:val="18"/>
                <w:szCs w:val="18"/>
                <w:color w:val="auto"/>
              </w:rPr>
              <w:t>23,333</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$ 174,888</w:t>
            </w:r>
            <w:r>
              <w:rPr>
                <w:rFonts w:ascii="Arial" w:cs="Arial" w:eastAsia="Arial" w:hAnsi="Arial"/>
                <w:sz w:val="15"/>
                <w:szCs w:val="15"/>
                <w:color w:val="auto"/>
                <w:w w:val="93"/>
              </w:rPr>
              <w:t>(5)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198,221</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Schoeneck</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$ 232,861</w:t>
            </w:r>
            <w:r>
              <w:rPr>
                <w:rFonts w:ascii="Arial" w:cs="Arial" w:eastAsia="Arial" w:hAnsi="Arial"/>
                <w:sz w:val="15"/>
                <w:szCs w:val="15"/>
                <w:color w:val="auto"/>
                <w:w w:val="93"/>
              </w:rPr>
              <w:t>(6)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232,861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460" w:hanging="452"/>
        <w:spacing w:after="0" w:line="271"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Dr. Gallagher was paid a $50,000 annual retainer fee in connection with her service on our board of directors. Dr. Lydon and Mr. Renton were each paid a prorated annual retainer fee of $50,000 in connection with their service on our board of directors. Mr. Schmid was paid a prorated annual retainer fee of $35,000 and $5,000 in connection with his service on our board of directors and audit committee, respectively.</w:t>
      </w:r>
    </w:p>
    <w:p>
      <w:pPr>
        <w:ind w:left="460" w:right="220" w:hanging="452"/>
        <w:spacing w:after="0" w:line="250"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amount reported in this column represents the aggregate grant date fair value of stock options as computed in accordance with FASB ASC Topic 718. The amounts reported in this column reflect the accounting cost for these stock options, and do not correspond to the actual economic value that may be received by the non-employee directors from the awards. The assumptions used in calculating the grant date fair value of the stock options reported in this column are set forth in Note 8 to our financial statements.</w:t>
      </w:r>
    </w:p>
    <w:p>
      <w:pPr>
        <w:spacing w:after="0" w:line="1" w:lineRule="exact"/>
        <w:rPr>
          <w:rFonts w:ascii="Arial" w:cs="Arial" w:eastAsia="Arial" w:hAnsi="Arial"/>
          <w:sz w:val="18"/>
          <w:szCs w:val="18"/>
          <w:color w:val="auto"/>
        </w:rPr>
      </w:pPr>
    </w:p>
    <w:p>
      <w:pPr>
        <w:ind w:left="460" w:right="380" w:hanging="452"/>
        <w:spacing w:after="0" w:line="290"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following table sets forth information on stock options granted to non-employee directors in 2015 as well as the expected aggregate number of shares of our common stock subject to outstanding stock options held by our non-employee directors as of December 31, 2015:</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4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w w:val="92"/>
              </w:rPr>
              <w:t>Number of Shares</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Number of Shares</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40" w:type="dxa"/>
            <w:vAlign w:val="bottom"/>
            <w:gridSpan w:val="2"/>
            <w:vMerge w:val="continue"/>
          </w:tcPr>
          <w:p>
            <w:pPr>
              <w:spacing w:after="0"/>
              <w:rPr>
                <w:sz w:val="12"/>
                <w:szCs w:val="12"/>
                <w:color w:val="auto"/>
              </w:rPr>
            </w:pPr>
          </w:p>
        </w:tc>
        <w:tc>
          <w:tcPr>
            <w:tcW w:w="12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2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3"/>
              </w:rPr>
              <w:t>Underlying Stock</w:t>
            </w:r>
          </w:p>
        </w:tc>
        <w:tc>
          <w:tcPr>
            <w:tcW w:w="12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Options Held as</w:t>
            </w:r>
          </w:p>
        </w:tc>
        <w:tc>
          <w:tcPr>
            <w:tcW w:w="0" w:type="dxa"/>
            <w:vAlign w:val="bottom"/>
          </w:tcPr>
          <w:p>
            <w:pPr>
              <w:spacing w:after="0"/>
              <w:rPr>
                <w:sz w:val="1"/>
                <w:szCs w:val="1"/>
                <w:color w:val="auto"/>
              </w:rPr>
            </w:pPr>
          </w:p>
        </w:tc>
      </w:tr>
      <w:tr>
        <w:trPr>
          <w:trHeight w:val="149"/>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4"/>
              </w:rPr>
              <w:t>Director Name</w:t>
            </w:r>
          </w:p>
        </w:tc>
        <w:tc>
          <w:tcPr>
            <w:tcW w:w="2780" w:type="dxa"/>
            <w:vAlign w:val="bottom"/>
            <w:vMerge w:val="restart"/>
          </w:tcPr>
          <w:p>
            <w:pPr>
              <w:spacing w:after="0"/>
              <w:rPr>
                <w:sz w:val="12"/>
                <w:szCs w:val="12"/>
                <w:color w:val="auto"/>
              </w:rPr>
            </w:pPr>
          </w:p>
        </w:tc>
        <w:tc>
          <w:tcPr>
            <w:tcW w:w="3340" w:type="dxa"/>
            <w:vAlign w:val="bottom"/>
          </w:tcPr>
          <w:p>
            <w:pPr>
              <w:spacing w:after="0"/>
              <w:rPr>
                <w:sz w:val="12"/>
                <w:szCs w:val="12"/>
                <w:color w:val="auto"/>
              </w:rPr>
            </w:pPr>
          </w:p>
        </w:tc>
        <w:tc>
          <w:tcPr>
            <w:tcW w:w="224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94"/>
              </w:rPr>
              <w:t>Options Granted</w:t>
            </w: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of December 31,</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vMerge w:val="continue"/>
          </w:tcPr>
          <w:p>
            <w:pPr>
              <w:spacing w:after="0"/>
              <w:rPr>
                <w:sz w:val="14"/>
                <w:szCs w:val="14"/>
                <w:color w:val="auto"/>
              </w:rPr>
            </w:pPr>
          </w:p>
        </w:tc>
        <w:tc>
          <w:tcPr>
            <w:tcW w:w="2780" w:type="dxa"/>
            <w:vAlign w:val="bottom"/>
            <w:tcBorders>
              <w:bottom w:val="single" w:sz="8" w:color="CCEEFF"/>
            </w:tcBorders>
            <w:vMerge w:val="continue"/>
          </w:tcPr>
          <w:p>
            <w:pPr>
              <w:spacing w:after="0"/>
              <w:rPr>
                <w:sz w:val="14"/>
                <w:szCs w:val="14"/>
                <w:color w:val="auto"/>
              </w:rPr>
            </w:pPr>
          </w:p>
        </w:tc>
        <w:tc>
          <w:tcPr>
            <w:tcW w:w="33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2015</w:t>
            </w:r>
          </w:p>
        </w:tc>
        <w:tc>
          <w:tcPr>
            <w:tcW w:w="112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G. Gallagher, Pharm.D.</w:t>
            </w:r>
          </w:p>
        </w:tc>
        <w:tc>
          <w:tcPr>
            <w:tcW w:w="3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684,057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Nicholas B. Lydon, Ph.D., FRS</w:t>
            </w:r>
          </w:p>
        </w:tc>
        <w:tc>
          <w:tcPr>
            <w:tcW w:w="3340" w:type="dxa"/>
            <w:vAlign w:val="bottom"/>
          </w:tcPr>
          <w:p>
            <w:pPr>
              <w:spacing w:after="0"/>
              <w:rPr>
                <w:sz w:val="18"/>
                <w:szCs w:val="18"/>
                <w:color w:val="auto"/>
              </w:rPr>
            </w:pPr>
          </w:p>
        </w:tc>
        <w:tc>
          <w:tcPr>
            <w:tcW w:w="2240" w:type="dxa"/>
            <w:vAlign w:val="bottom"/>
            <w:gridSpan w:val="2"/>
          </w:tcPr>
          <w:p>
            <w:pPr>
              <w:jc w:val="right"/>
              <w:ind w:right="1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217,088</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p>
        </w:tc>
        <w:tc>
          <w:tcPr>
            <w:tcW w:w="558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358,098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358,098</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John P. Schmid</w:t>
            </w:r>
          </w:p>
        </w:tc>
        <w:tc>
          <w:tcPr>
            <w:tcW w:w="5580" w:type="dxa"/>
            <w:vAlign w:val="bottom"/>
            <w:gridSpan w:val="3"/>
          </w:tcPr>
          <w:p>
            <w:pPr>
              <w:jc w:val="right"/>
              <w:ind w:right="1120"/>
              <w:spacing w:after="0"/>
              <w:rPr>
                <w:sz w:val="20"/>
                <w:szCs w:val="20"/>
                <w:color w:val="auto"/>
              </w:rPr>
            </w:pPr>
            <w:r>
              <w:rPr>
                <w:rFonts w:ascii="Arial" w:cs="Arial" w:eastAsia="Arial" w:hAnsi="Arial"/>
                <w:sz w:val="18"/>
                <w:szCs w:val="18"/>
                <w:color w:val="auto"/>
              </w:rPr>
              <w:t>296,370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296,370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Schoeneck</w:t>
            </w:r>
          </w:p>
        </w:tc>
        <w:tc>
          <w:tcPr>
            <w:tcW w:w="558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296,365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296,365</w:t>
            </w: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3340" w:type="dxa"/>
            <w:vAlign w:val="bottom"/>
          </w:tcPr>
          <w:p>
            <w:pPr>
              <w:jc w:val="right"/>
              <w:ind w:right="1570"/>
              <w:spacing w:after="0"/>
              <w:rPr>
                <w:sz w:val="20"/>
                <w:szCs w:val="20"/>
                <w:color w:val="auto"/>
              </w:rPr>
            </w:pPr>
            <w:r>
              <w:rPr>
                <w:rFonts w:ascii="Arial" w:cs="Arial" w:eastAsia="Arial" w:hAnsi="Arial"/>
                <w:sz w:val="18"/>
                <w:szCs w:val="18"/>
                <w:color w:val="auto"/>
              </w:rPr>
              <w:t>120</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53"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Mr. Renton was granted (i) an early-exercisable stock-option award on July 6, 2015 under our 2006 Equity Incentive Plan to purchase up to 286,478 shares of our common stock at a per-share price of $0.99. 1/36 of the shares underlying the option vested on July 23, 2015, and, thereafter, 1/36 of the underlying shares vest on the twenty-third day of each succeeding calendar month, starting August 23, 2015; and (ii) an early-exercisable stock-option award on August 14, 2015 under our 2006 Equity Incentive Plan to purchase up to 71,620 shares of our common stock at a per-share price of $0.99. 1/36 of the shares underlying the option vested on August 6, 2015, and, thereafter, 1/36 of the underlying shares vest on the sixth day of each succeeding calendar month, starting September 6, 2015.</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Mr. Schmid was granted (i) a stock-option award on June 10, 2015 under our 2006 Equity Incentive Plan to purchase up to 151,849 shares of our common stock at a per-share price of $0.65. 1/36 of the shares underlying the option vested on July 10, 2015, and, thereafter, 1/36 of the underlying shares vest on the tenth day of each succeeding calendar month, starting August 10, 2015; and (ii) an early-exercisable stock-option award on November 16, 2015 under our 2006 Equity Incentive Plan to purchase up to 144,521 shares of our common stock at a per-share price of $1.22. 1/36 of the shares underlying the option vest on December 16, 2015, and, thereafter, 1/36 of the underlying shares vest on the sixteenth day of each succeeding calendar month, starting January 16, 2016.</w:t>
      </w:r>
    </w:p>
    <w:p>
      <w:pPr>
        <w:spacing w:after="0" w:line="2" w:lineRule="exact"/>
        <w:rPr>
          <w:rFonts w:ascii="Arial" w:cs="Arial" w:eastAsia="Arial" w:hAnsi="Arial"/>
          <w:sz w:val="18"/>
          <w:szCs w:val="18"/>
          <w:color w:val="auto"/>
        </w:rPr>
      </w:pPr>
    </w:p>
    <w:p>
      <w:pPr>
        <w:ind w:left="460" w:right="80" w:hanging="452"/>
        <w:spacing w:after="0" w:line="277"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Mr. Schoeneck was granted an early-exercisable stock-option award on November 16, 2015 under our 2006 Equity Incentive Plan to purchase up to 296,365 shares of our common stock at a per-share price of $1.22. 1/36 of the shares underlying the option vest on December 16, 2015, and, thereafter, 1/36 of the underlying shares vest on the sixteenth day of each succeeding calendar month, starting January 16, 2016.</w:t>
      </w:r>
    </w:p>
    <w:p>
      <w:pPr>
        <w:spacing w:after="0" w:line="1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September 2015, our board of directors approved a non-employee director compensation policy, which will take effect following the completion of this offering. Pursuant to this policy, each of our non-employee directors will receive an annual retainer of $40,000. Additionally, a lead independent director will receive an additional annual payment of $20,000; the chairperson of our board of directors will receive an additional annual payment of $15,000 when a lead independent director is also serving and $30,000 when no lead independent director is serving; the chairpersons of our audit, compensation and nominating and corporate governance committees will receive an additional annual payment of $15,000, $10,000 and $7,500, respectively; and the members of our audit, compensation and nominating and corporate governance committees will receive an additional annual payment of $7,500, $5,000 and $3,750, respectively.</w:t>
      </w:r>
    </w:p>
    <w:p>
      <w:pPr>
        <w:spacing w:after="0" w:line="18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Beginning in 2016, each of our non-employee directors will also receive an annual option to purchase 100,000 shares of common stock, which will vest in a single installment 12 months after the grant date, subject to the applicable director’s continuous service through such date. Additionally, new non-employee directors will receive upon election to our board of directors, an option to purchase 200,000 shares of common stock, which will vest in 36 equal monthly installments after the grant date, subject to the applicable director’s continuous service through such date. The exercise price of such grants will be the fair market value as of the grant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The following tables and accompanying narrative disclosure set forth information about the compensation provided to our executive officers during the years ended December 31, 2014 and 2015. These executive officers, who include our principal executive officer and who we expect to be the two most highly-compensated executive officers (other than our principal executive officer) serving as executive officers as of December 31, 2015, were:</w:t>
      </w:r>
    </w:p>
    <w:p>
      <w:pPr>
        <w:spacing w:after="0" w:line="52"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Hamza Suria, President, Chief Executive Officer and Director;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Robert E. Hoffman, our Chief Financial Officer;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Marco Londei, Chief Development Officer.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refer to these individuals in this section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services rendered in all capacities that was awarded to and earned by our named executive officers during the years ended December 31, 2014 and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Fiscal</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9"/>
              </w:rPr>
              <w:t>Salary</w:t>
            </w:r>
          </w:p>
        </w:tc>
        <w:tc>
          <w:tcPr>
            <w:tcW w:w="10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2"/>
                <w:szCs w:val="12"/>
                <w:b w:val="1"/>
                <w:bCs w:val="1"/>
                <w:color w:val="auto"/>
              </w:rPr>
              <w:t>(1)</w:t>
            </w: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4"/>
                <w:szCs w:val="14"/>
                <w:color w:val="auto"/>
              </w:rPr>
            </w:pPr>
          </w:p>
        </w:tc>
        <w:tc>
          <w:tcPr>
            <w:tcW w:w="1080" w:type="dxa"/>
            <w:vAlign w:val="bottom"/>
            <w:gridSpan w:val="2"/>
          </w:tcPr>
          <w:p>
            <w:pPr>
              <w:jc w:val="right"/>
              <w:ind w:right="383"/>
              <w:spacing w:after="0"/>
              <w:rPr>
                <w:sz w:val="20"/>
                <w:szCs w:val="20"/>
                <w:color w:val="auto"/>
              </w:rPr>
            </w:pPr>
            <w:r>
              <w:rPr>
                <w:rFonts w:ascii="Arial" w:cs="Arial" w:eastAsia="Arial" w:hAnsi="Arial"/>
                <w:sz w:val="14"/>
                <w:szCs w:val="14"/>
                <w:b w:val="1"/>
                <w:bCs w:val="1"/>
                <w:color w:val="auto"/>
              </w:rPr>
              <w:t>All 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Awards</w:t>
            </w:r>
            <w:r>
              <w:rPr>
                <w:rFonts w:ascii="Arial" w:cs="Arial" w:eastAsia="Arial" w:hAnsi="Arial"/>
                <w:sz w:val="12"/>
                <w:szCs w:val="12"/>
                <w:b w:val="1"/>
                <w:bCs w:val="1"/>
                <w:color w:val="auto"/>
                <w:w w:val="91"/>
              </w:rPr>
              <w:t>(2)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Hamza Suria</w:t>
            </w:r>
          </w:p>
        </w:tc>
        <w:tc>
          <w:tcPr>
            <w:tcW w:w="420" w:type="dxa"/>
            <w:vAlign w:val="bottom"/>
            <w:tcBorders>
              <w:top w:val="single" w:sz="8" w:color="auto"/>
            </w:tcBorders>
            <w:shd w:val="clear" w:color="auto" w:fill="CCEEFF"/>
          </w:tcPr>
          <w:p>
            <w:pPr>
              <w:ind w:left="60"/>
              <w:spacing w:after="0" w:line="182" w:lineRule="exact"/>
              <w:rPr>
                <w:sz w:val="20"/>
                <w:szCs w:val="20"/>
                <w:color w:val="auto"/>
              </w:rPr>
            </w:pPr>
            <w:r>
              <w:rPr>
                <w:rFonts w:ascii="Arial" w:cs="Arial" w:eastAsia="Arial" w:hAnsi="Arial"/>
                <w:sz w:val="18"/>
                <w:szCs w:val="18"/>
                <w:color w:val="auto"/>
                <w:w w:val="84"/>
              </w:rPr>
              <w:t>2015</w:t>
            </w: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6"/>
              </w:rPr>
              <w:t>382,083</w:t>
            </w:r>
          </w:p>
        </w:tc>
        <w:tc>
          <w:tcPr>
            <w:tcW w:w="4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97,431</w:t>
            </w: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9"/>
              </w:rPr>
              <w:t>1,170,840</w:t>
            </w: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540</w:t>
            </w:r>
          </w:p>
        </w:tc>
        <w:tc>
          <w:tcPr>
            <w:tcW w:w="300" w:type="dxa"/>
            <w:vAlign w:val="bottom"/>
            <w:tcBorders>
              <w:top w:val="single" w:sz="8" w:color="CCEEFF"/>
            </w:tcBorders>
            <w:shd w:val="clear" w:color="auto" w:fill="CCEEFF"/>
          </w:tcPr>
          <w:p>
            <w:pPr>
              <w:jc w:val="right"/>
              <w:ind w:right="43"/>
              <w:spacing w:after="0"/>
              <w:rPr>
                <w:sz w:val="20"/>
                <w:szCs w:val="20"/>
                <w:color w:val="auto"/>
              </w:rPr>
            </w:pPr>
            <w:r>
              <w:rPr>
                <w:rFonts w:ascii="Arial" w:cs="Arial" w:eastAsia="Arial" w:hAnsi="Arial"/>
                <w:sz w:val="15"/>
                <w:szCs w:val="15"/>
                <w:color w:val="auto"/>
                <w:w w:val="87"/>
              </w:rPr>
              <w:t>(5)</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7"/>
              </w:rPr>
              <w:t>1,650,894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326,759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166,000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3"/>
              <w:spacing w:after="0" w:line="258" w:lineRule="exact"/>
              <w:rPr>
                <w:sz w:val="20"/>
                <w:szCs w:val="20"/>
                <w:color w:val="auto"/>
              </w:rPr>
            </w:pPr>
            <w:r>
              <w:rPr>
                <w:rFonts w:ascii="Arial" w:cs="Arial" w:eastAsia="Arial" w:hAnsi="Arial"/>
                <w:sz w:val="29"/>
                <w:szCs w:val="29"/>
                <w:color w:val="auto"/>
                <w:vertAlign w:val="subscript"/>
              </w:rPr>
              <w:t>621</w:t>
            </w:r>
            <w:r>
              <w:rPr>
                <w:rFonts w:ascii="Arial" w:cs="Arial" w:eastAsia="Arial" w:hAnsi="Arial"/>
                <w:sz w:val="13"/>
                <w:szCs w:val="13"/>
                <w:color w:val="auto"/>
              </w:rPr>
              <w:t>(5)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547,211</w:t>
            </w:r>
          </w:p>
        </w:tc>
        <w:tc>
          <w:tcPr>
            <w:tcW w:w="0" w:type="dxa"/>
            <w:vAlign w:val="bottom"/>
          </w:tcPr>
          <w:p>
            <w:pPr>
              <w:spacing w:after="0"/>
              <w:rPr>
                <w:sz w:val="1"/>
                <w:szCs w:val="1"/>
                <w:color w:val="auto"/>
              </w:rPr>
            </w:pPr>
          </w:p>
        </w:tc>
      </w:tr>
      <w:tr>
        <w:trPr>
          <w:trHeight w:val="202"/>
        </w:trPr>
        <w:tc>
          <w:tcPr>
            <w:tcW w:w="5160" w:type="dxa"/>
            <w:vAlign w:val="bottom"/>
          </w:tcPr>
          <w:p>
            <w:pPr>
              <w:spacing w:after="0" w:line="201" w:lineRule="exact"/>
              <w:rPr>
                <w:sz w:val="20"/>
                <w:szCs w:val="20"/>
                <w:color w:val="auto"/>
              </w:rPr>
            </w:pPr>
            <w:r>
              <w:rPr>
                <w:rFonts w:ascii="Arial" w:cs="Arial" w:eastAsia="Arial" w:hAnsi="Arial"/>
                <w:sz w:val="18"/>
                <w:szCs w:val="18"/>
                <w:color w:val="auto"/>
              </w:rPr>
              <w:t>Robert E. Hoffman</w:t>
            </w:r>
          </w:p>
        </w:tc>
        <w:tc>
          <w:tcPr>
            <w:tcW w:w="74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2015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88"/>
              </w:rPr>
              <w:t>152,708</w:t>
            </w:r>
            <w:r>
              <w:rPr>
                <w:rFonts w:ascii="Arial" w:cs="Arial" w:eastAsia="Arial" w:hAnsi="Arial"/>
                <w:sz w:val="15"/>
                <w:szCs w:val="15"/>
                <w:color w:val="auto"/>
                <w:w w:val="88"/>
              </w:rPr>
              <w:t>(3)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32,736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746,021</w:t>
            </w:r>
          </w:p>
        </w:tc>
        <w:tc>
          <w:tcPr>
            <w:tcW w:w="120" w:type="dxa"/>
            <w:vAlign w:val="bottom"/>
          </w:tcPr>
          <w:p>
            <w:pPr>
              <w:spacing w:after="0" w:line="201"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43"/>
              <w:spacing w:after="0" w:line="201" w:lineRule="exact"/>
              <w:rPr>
                <w:sz w:val="20"/>
                <w:szCs w:val="20"/>
                <w:color w:val="auto"/>
              </w:rPr>
            </w:pPr>
            <w:r>
              <w:rPr>
                <w:rFonts w:ascii="Arial" w:cs="Arial" w:eastAsia="Arial" w:hAnsi="Arial"/>
                <w:sz w:val="18"/>
                <w:szCs w:val="18"/>
                <w:color w:val="auto"/>
              </w:rPr>
              <w:t>518</w:t>
            </w:r>
            <w:r>
              <w:rPr>
                <w:rFonts w:ascii="Arial" w:cs="Arial" w:eastAsia="Arial" w:hAnsi="Arial"/>
                <w:sz w:val="15"/>
                <w:szCs w:val="15"/>
                <w:color w:val="auto"/>
              </w:rPr>
              <w:t>(6)</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1" w:lineRule="exact"/>
              <w:rPr>
                <w:sz w:val="20"/>
                <w:szCs w:val="20"/>
                <w:color w:val="auto"/>
              </w:rPr>
            </w:pPr>
            <w:r>
              <w:rPr>
                <w:rFonts w:ascii="Arial" w:cs="Arial" w:eastAsia="Arial" w:hAnsi="Arial"/>
                <w:sz w:val="18"/>
                <w:szCs w:val="18"/>
                <w:color w:val="auto"/>
              </w:rPr>
              <w:t>931,983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Marco Londei, M.D.</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6"/>
              </w:rPr>
              <w:t>363,333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81,094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406,049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42,042</w:t>
            </w:r>
            <w:r>
              <w:rPr>
                <w:rFonts w:ascii="Arial" w:cs="Arial" w:eastAsia="Arial" w:hAnsi="Arial"/>
                <w:sz w:val="15"/>
                <w:szCs w:val="15"/>
                <w:color w:val="auto"/>
              </w:rPr>
              <w:t>(7)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Chief Development Officer</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66,410</w:t>
            </w:r>
            <w:r>
              <w:rPr>
                <w:rFonts w:ascii="Arial" w:cs="Arial" w:eastAsia="Arial" w:hAnsi="Arial"/>
                <w:sz w:val="15"/>
                <w:szCs w:val="15"/>
                <w:color w:val="auto"/>
              </w:rPr>
              <w:t>(4)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29,086</w:t>
            </w:r>
            <w:r>
              <w:rPr>
                <w:rFonts w:ascii="Arial" w:cs="Arial" w:eastAsia="Arial" w:hAnsi="Arial"/>
                <w:sz w:val="15"/>
                <w:szCs w:val="15"/>
                <w:color w:val="auto"/>
              </w:rPr>
              <w:t>(8)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amounts reported in this column represent bonuses awarded at the discretion of our board of directors.</w:t>
      </w:r>
    </w:p>
    <w:p>
      <w:pPr>
        <w:spacing w:after="0" w:line="23" w:lineRule="exact"/>
        <w:rPr>
          <w:rFonts w:ascii="Arial" w:cs="Arial" w:eastAsia="Arial" w:hAnsi="Arial"/>
          <w:sz w:val="18"/>
          <w:szCs w:val="18"/>
          <w:color w:val="auto"/>
        </w:rPr>
      </w:pPr>
    </w:p>
    <w:p>
      <w:pPr>
        <w:ind w:left="460" w:right="280" w:hanging="452"/>
        <w:spacing w:after="0" w:line="281" w:lineRule="auto"/>
        <w:tabs>
          <w:tab w:leader="none" w:pos="4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amounts reported in this column represent the aggregate grant-date fair value of the awards granted under our 2006 Equity Incentive Plan to our named executive officers during the years ended December 31, 2014 and 2015, as computed in accordance with FASB ASC Topic 718. The assumptions used in calculating the grant date fair value of the awards reported in the Stock Option Awards column are set forth in Note 8 to our consolidated financial statements. Note that the amounts reported in this column reflect the aggregate accounting cost for these awards, and do not necessarily correspond to the actual economic value that may be received by the named executive officers from the awards.</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Reflects Mr. Hoffman’s salary from the commencement of his employment on July 13, 2015, through December 31, 2015.</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Reflects Dr. Londei’s salary from the commencement of his employment on September 26, 2014, through December 31,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Suria.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Reflects group term life insurance premiums paid by us on behalf of Mr. Hoffman.</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2015, consisting of $39,462 for temporary housing and moving expenses, including tax gross-up with respect to temporary housing payments, and $2,580 for group term life insurance premiums paid by us on behalf of Dr. Londei.</w:t>
      </w:r>
    </w:p>
    <w:p>
      <w:pPr>
        <w:spacing w:after="0" w:line="1" w:lineRule="exact"/>
        <w:rPr>
          <w:rFonts w:ascii="Arial" w:cs="Arial" w:eastAsia="Arial" w:hAnsi="Arial"/>
          <w:sz w:val="18"/>
          <w:szCs w:val="18"/>
          <w:color w:val="auto"/>
        </w:rPr>
      </w:pPr>
    </w:p>
    <w:p>
      <w:pPr>
        <w:jc w:val="both"/>
        <w:ind w:left="460" w:right="20" w:hanging="452"/>
        <w:spacing w:after="0" w:line="255" w:lineRule="auto"/>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Reflects reimbursements paid to, or on behalf of, Dr. Londei during the year ended December 31, 2014, consisting of (a) $28,011 for temporary housing and moving expenses, including tax gross-up with respect to temporary housing payments, (b) $646 for travel expenses and (c) $430 for group term life insurance premiums paid by us on behalf of Dr. Londei.</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initial terms and conditions of employment of each of Mr. Suria, Mr. Hoffman and Dr. Londei were set forth in written employment agreements. Each of these arrangements was approved by our board of directors. We believed these employment agreements were necessary to induce these individuals to forego other employment opportunities or leave their current employer for the uncertainty of a demanding position in a new and unfamiliar organization.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Mr. Suria’s Employment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an employment agreement effective as of January 1, 2012 and amended October 9, 2012 and September 16, 2014, or collectively the Suria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Employment Agreement, Mr. Suria serves as our President and Chief Executive Officer. The Suria Employment Agreement sets forth the principal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of his employment, including his initial annual base salary of $285,000 and an annual target cash bonus opportunity of 25% of his base salary,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subject to pro rata adjustment for any partial years worked, which bonus is earned based on our achievement of specified milestones and performance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objectives, as well as Mr. Suria’s performance relative to one or more performance objectives established by Mr. Suria, our compensation committee and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the achievement of which is evaluated by us. On August 14, 2015, our board of directors increased Mr. Suria’s annual base salary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$420,000, effective as of August 1, 2015. The Suria Employment Agreement provided for the grant of a time-based stock option to purchase up to 1,499,684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under our 2006 Equity Incentive Plan. The Suria Employment Agreement also provided for the grant of a performance-based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 to purchase up to 684,056 shares of our common stock under our 2006 Equity Incentive Plan, all of which would vest immediately in the event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 change of control or qualified initial public offering. These options were granted with an exercise price equal to the fair value of our common stock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date of grant and vest over four years as described in more detail in “—Outstanding Equity Awards at Fiscal Year-End Table” below. Mr. Suria’s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employment is at will and may be terminated at any time, with or without cause. However, pursuant to the terms of the Suria Employment Agreement,</w:t>
      </w:r>
    </w:p>
    <w:p>
      <w:pPr>
        <w:spacing w:after="0" w:line="2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Mr. Suria will be entitled to severance benefits upon a qualifying termination of employment as described in “—Potential Payments upon IPO, Termination or Change in Control” below.</w:t>
      </w:r>
    </w:p>
    <w:p>
      <w:pPr>
        <w:spacing w:after="0" w:line="2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Mr. Hoffman’s Employment Agreement</w:t>
      </w:r>
    </w:p>
    <w:p>
      <w:pPr>
        <w:spacing w:after="0" w:line="117"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Pursuant to an Employment Agreement effective as of July 13, 2015 and amended December 14, 2015, or collectively the Hoffman Employment Agreement, Mr. Hoffman serves as our Chief Financial Officer. The Hoffman Employment Agreement sets forth the principal terms and conditions of his employment, including his initial annual base salary of $325,000 and an annual target cash bonus opportunity of 25% of his base salary, subject to pro rata adjustment for any partial years worked, which bonus is earned based on our achievement of specified milestones and performance objectives, as well as Mr. Hoffman’s performance relative to one or more performance objectives established by Mr. Hoffman, our compensation committee and our board of directors, the achievement of which is evaluated by us. The Hoffman Employment Agreement provided for the grant of a time-based stock option to purchase up to 754,055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Mr. Hoffman’s employment is at will and may be terminated at any time, with or without cause. However, pursuant to the terms of the Hoffman Employment Agreement, Mr. Hoffman will be entitled to severance benefits upon a qualifying termination of employment as described in “—Potential Payments upon IPO, Termination or Change in Control” below.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 Londei’s Employment Agreement</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Pursuant to an employment agreement effective as of October 20, 2014, or the Londei Employment Agreement, Dr. Londei serves as our Chief Development Officer. The Londei Employment Agreement sets forth the principal terms and conditions of his employment, including his initial annual base salary of $350,000 and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annual target cash bonus opportunity of 25% of his base salary, which bonus is earned based on our achievement of specified milestones and performance objectives, as well as Dr. Londei’s performance relative to one or more performance objectives established by Dr. Londei, our compensation committee and our board of directors, the achievement of which is evaluated by us. On August 14, 2015, our board of directors increased Mr. Londei’s annual base salary to $375,000, effective as of August 1, 2015. Likewise, the Londei Employment Agreement provides for additional discretionary performance-based bonuses. The Londei Employment Agreement provides for the grant of a time-based stock option to purchase 1,126,756 shares of our common stock under our 2006 Equity Incentive Plan. This option was granted with an exercise price equal to the fair value of our common stock on the date of grant and vests over four years as described in more detail in “—Outstanding Equity Awards at Fiscal Year-End Table” below. Dr. Londei’s employment is at will and may be terminated at any time, with or without cause. However, pursuant to the terms of the Londei Employment Agreement, Dr. Londei will be entitled to severance benefits upon a qualifying termination of employment as described in “—Potential Payments upon IPO, Termination or Change in Control”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121"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following table presents, for each of the named executive officers, information regarding expected outstanding stock options held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ind w:left="680"/>
              <w:spacing w:after="0"/>
              <w:rPr>
                <w:sz w:val="20"/>
                <w:szCs w:val="20"/>
                <w:color w:val="auto"/>
              </w:rPr>
            </w:pPr>
            <w:r>
              <w:rPr>
                <w:rFonts w:ascii="Arial" w:cs="Arial" w:eastAsia="Arial" w:hAnsi="Arial"/>
                <w:sz w:val="14"/>
                <w:szCs w:val="14"/>
                <w:b w:val="1"/>
                <w:bCs w:val="1"/>
                <w:color w:val="auto"/>
              </w:rPr>
              <w:t>Option Awards</w:t>
            </w: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Number of</w:t>
            </w:r>
          </w:p>
        </w:tc>
        <w:tc>
          <w:tcPr>
            <w:tcW w:w="11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100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3"/>
              </w:rPr>
              <w:t>Option</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20" w:type="dxa"/>
            <w:vAlign w:val="bottom"/>
          </w:tcPr>
          <w:p>
            <w:pPr>
              <w:spacing w:after="0"/>
              <w:rPr>
                <w:sz w:val="12"/>
                <w:szCs w:val="12"/>
                <w:color w:val="auto"/>
              </w:rPr>
            </w:pPr>
          </w:p>
        </w:tc>
        <w:tc>
          <w:tcPr>
            <w:tcW w:w="10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40" w:type="dxa"/>
            <w:vAlign w:val="bottom"/>
            <w:vMerge w:val="restart"/>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r>
              <w:rPr>
                <w:rFonts w:ascii="Arial" w:cs="Arial" w:eastAsia="Arial" w:hAnsi="Arial"/>
                <w:sz w:val="12"/>
                <w:szCs w:val="12"/>
                <w:b w:val="1"/>
                <w:bCs w:val="1"/>
                <w:color w:val="auto"/>
                <w:w w:val="97"/>
              </w:rPr>
              <w:t>(1)</w:t>
            </w:r>
          </w:p>
        </w:tc>
        <w:tc>
          <w:tcPr>
            <w:tcW w:w="340" w:type="dxa"/>
            <w:vAlign w:val="bottom"/>
            <w:vMerge w:val="restart"/>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Options (#)</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Options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Price</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4740" w:type="dxa"/>
            <w:vAlign w:val="bottom"/>
            <w:tcBorders>
              <w:bottom w:val="single" w:sz="8" w:color="CCEEFF"/>
            </w:tcBorders>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4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10"/>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(2)</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 9, 2008</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 8, 2018</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Feb. 10, 2010</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10,000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0.32</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Feb. 9, 2020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Feb. 24, 2011</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43,457</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Feb. 23, 2021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Dec. 9, 2011</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986,642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0.16</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Dec. 8, 2021</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8"/>
              </w:rPr>
              <w:t>Feb. 1, 2012</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684,056</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0.16</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Feb. 1, 2012</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513,042</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0.16</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Jan. 31, 2022</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Dec. 17, 2012</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135,978</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0.13</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 16, 2022</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Sep. 16, 2014</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362,880</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Sep. 15,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Aug. 14, 2015</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1,861,499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0.99</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 13, 2025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Robert E. Hoffman</w:t>
            </w:r>
            <w:r>
              <w:rPr>
                <w:rFonts w:ascii="Arial" w:cs="Arial" w:eastAsia="Arial" w:hAnsi="Arial"/>
                <w:sz w:val="15"/>
                <w:szCs w:val="15"/>
                <w:color w:val="auto"/>
              </w:rPr>
              <w:t>(3)</w:t>
            </w: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Aug. 14, 2015</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432,032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0.99</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Aug. 13, 2025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Aug. 14, 2015</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754,055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0.99</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 13, 2025</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(4)</w:t>
            </w: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Oct. 28, 2014</w:t>
            </w: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1,126,756</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Oct. 27, 2024</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Aug. 14, 2015</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645,570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0.99</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 13,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right="160" w:hanging="452"/>
        <w:spacing w:after="0" w:line="253" w:lineRule="auto"/>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stock-option awards have been granted under our 2006 Equity Incentive Plan.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 See “—2006 Equity Incentive Plan” below for a description of the plan.</w:t>
      </w:r>
    </w:p>
    <w:p>
      <w:pPr>
        <w:spacing w:after="0" w:line="3" w:lineRule="exact"/>
        <w:rPr>
          <w:rFonts w:ascii="Arial" w:cs="Arial" w:eastAsia="Arial" w:hAnsi="Arial"/>
          <w:sz w:val="18"/>
          <w:szCs w:val="18"/>
          <w:color w:val="auto"/>
        </w:rPr>
      </w:pPr>
    </w:p>
    <w:p>
      <w:pPr>
        <w:ind w:left="460" w:right="60" w:hanging="452"/>
        <w:spacing w:after="0" w:line="270" w:lineRule="auto"/>
        <w:tabs>
          <w:tab w:leader="none" w:pos="4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These options are early-exercisable, except for the options granted on August 14, 2015. The options vest as to their underlying shares as follows: (i) the shares underlying the options granted on December 9, 2008, February 10, 2010, and February 24, 2011 have fully vested; (ii) of the 986,642 shares underlying the option granted on December 9, 2011, 1/4 vested on December 9, 2012, and thereafter, 1/48 vest on the ninth day of each succeeding calendar month, starting January 9, 2013,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 (iii) of the 684,056 shares underlying an option granted on February 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66" w:lineRule="auto"/>
        <w:rPr>
          <w:sz w:val="20"/>
          <w:szCs w:val="20"/>
          <w:color w:val="auto"/>
        </w:rPr>
      </w:pPr>
      <w:r>
        <w:rPr>
          <w:rFonts w:ascii="Arial" w:cs="Arial" w:eastAsia="Arial" w:hAnsi="Arial"/>
          <w:sz w:val="17"/>
          <w:szCs w:val="17"/>
          <w:color w:val="auto"/>
        </w:rPr>
        <w:t>2012, all vest only upon a Change in Control (as defined in the 2006 Equity Incentive Plan) or Qualified IPO (as defined in our restated certificate of incorporation) that is approved by our board of directors, subject to Mr. Suria’s employment on such date; (iv) of the 513,042 shares underlying the option granted on February 1, 2012, 1/4 vested on January 1, 2013, and thereafter, 1/48 vest on the first day of each succeeding calendar month, starting February 1, 2013,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 (v) of the 135,978 shares underlying the option granted on December 17, 2012, 1/4 vested on December 17, 2013, and thereafter, 1/48 vest on the seventeenth day of each succeeding calendar month, starting January 17, 2014; (vi) of the 362,880 shares underlying the option granted on September 16, 2014, 1/4 vested on September 16, 2015, and thereafter 1/48 vest on the sixteenth day of each succeeding calendar month, starting October 16 2015; and (vii) of the 1,861,499 shares underlying the option granted on August 14, 2015, 1/4 vest on August 13, 2016, and 1/48 vest on the thirteenth day of each succeeding calendar month, starting September 13, 2016, provided that if Mr. Suria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8" w:lineRule="exact"/>
        <w:rPr>
          <w:sz w:val="20"/>
          <w:szCs w:val="20"/>
          <w:color w:val="auto"/>
        </w:rPr>
      </w:pPr>
    </w:p>
    <w:p>
      <w:pPr>
        <w:ind w:left="460" w:right="100" w:hanging="452"/>
        <w:spacing w:after="0" w:line="250" w:lineRule="auto"/>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These options are not early-exercisable. The options vest as to their underlying shares as follows: (i) of the 432,032 shares underlying the option granted on August 14, 2015, 1/4 vest on August 13, 2016, and 1/48 vest on the thirteenth day of each succeeding calendar month, starting September 13, 2016; (ii) of the 754,055 shares underlying the option granted on August 14, 2015, 1/4 vest on July 13, 2016, and 1/48 vest on the thirteenth day of each succeeding calendar month, starting August 13, 2016, provided that if Mr. Hoffman is terminated without Cause or resigns for Good Reason (as each is defined in his employment agreement) in connection with a Change in Control (as defined in the 2006 Equity Incentive Plan), then all of the shares underlying the options shall vest at that time.</w:t>
      </w:r>
    </w:p>
    <w:p>
      <w:pPr>
        <w:spacing w:after="0" w:line="2"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These options are early-exercisable, except for the options granted on August 14, 2015. The options vest as to their underlying shares as follows: (i) of the 1,126,756 shares underlying the option granted on October 28, 2014, 1/4 of the shares vested on October 24, 2015, and thereafter, 1/48 vest on the 24th day of each succeeding calendar month, starting November 24, 2015, provided that if Dr. Londei is terminated without Cause or resigns for Good Reason (as each is defined in his employment agreement) in connection with a Change in Control (as defined in the 2006 Equity Incentive Plan), then all of the shares underlying the option shall vest at that time; and (ii) of the 645,570 shares underlying the option granted on August 14, 2015, 1/4 vest on August 13, 2016, and 1/48 vest on the thirteenth day of each succeeding calendar month, starting September 13, 2016, provided that if Mr. Londei is terminated without Cause or resigns for Good Reason (as each is defined in his employment agreement) in connection with a Change in Control (as defined in the 2006 Equity Incentive Plan), then all of the shares underlying the option shall vest at that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IPO, Termination or Change in Control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w:t>
      </w:r>
    </w:p>
    <w:p>
      <w:pPr>
        <w:spacing w:after="0" w:line="117"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Pursuant to the Suria Employment Agreement, his option granted on February 1, 2012 will vest in full upon a Change in Control (as defined in the 2006 Equity Incentive Plan) or Qualified IPO (as defined in our restated certificate of incorporation) that is approved by our board of directors, subject to Mr. Suria’s employment on such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w:t>
      </w:r>
    </w:p>
    <w:p>
      <w:pPr>
        <w:spacing w:after="0" w:line="117" w:lineRule="exact"/>
        <w:rPr>
          <w:sz w:val="20"/>
          <w:szCs w:val="20"/>
          <w:color w:val="auto"/>
        </w:rPr>
      </w:pPr>
    </w:p>
    <w:p>
      <w:pPr>
        <w:ind w:right="480" w:firstLine="456"/>
        <w:spacing w:after="0" w:line="288" w:lineRule="auto"/>
        <w:rPr>
          <w:sz w:val="20"/>
          <w:szCs w:val="20"/>
          <w:color w:val="auto"/>
        </w:rPr>
      </w:pPr>
      <w:r>
        <w:rPr>
          <w:rFonts w:ascii="Arial" w:cs="Arial" w:eastAsia="Arial" w:hAnsi="Arial"/>
          <w:sz w:val="16"/>
          <w:szCs w:val="16"/>
          <w:color w:val="auto"/>
        </w:rPr>
        <w:t>Pursuant to the Suria Employment Agreement, the Hoffman Employment Agreement and the Londei Employment Agreement, in the event that Mr. Suria, Mr. Hoffman or Dr. Londei is terminated without “Cause” or resigns for “Good Reason” (each as defined in the applicable employment agreement), provided that each delivers a signed settlement and general release in favor of us and satisfies all conditions to make such release effective,</w:t>
      </w:r>
    </w:p>
    <w:p>
      <w:pPr>
        <w:ind w:left="5580" w:right="4400" w:hanging="5572"/>
        <w:spacing w:after="0" w:line="433" w:lineRule="auto"/>
        <w:tabs>
          <w:tab w:leader="none" w:pos="2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will receive continued severance payments for 12 months, nine months and nine months, 125</w:t>
      </w:r>
    </w:p>
    <w:p>
      <w:pPr>
        <w:sectPr>
          <w:pgSz w:w="11900" w:h="16838" w:orient="portrait"/>
          <w:cols w:equalWidth="0" w:num="1">
            <w:col w:w="11400"/>
          </w:cols>
          <w:pgMar w:left="240" w:top="459"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respectively and (ii) and if each elects continuation coverage under the Consolidated Omnibus Budget Reconciliation Act of 1985, or COBRA, we will pay directly to the insurance provider of our group health plans, the monthly premium for such continuation coverage, for 12 months, nine months and nine months, respectively, or such earlier date on which coverage with a new employer is obtained.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Pursuant to the Suria Employment Agreement and certain of his outstanding stock option agreements, if we experience a change in control and Mr. Suria is terminated without “cause” or resigns for “good reason” (each as defined in the employment agreement) upon the occurrence of, or within 13 months following, such change in control, and provided that Mr. Suria delivers a signed settlement and general release in favor of us and satisfies all conditions to make such release effective, (i) Mr. Suria will receive the continued severance payments and COBRA premiums described above for 12 months and (ii) certain of his currently outstanding stock options will vest in full as described in more detail in “—Outstanding Equity Awards at Fiscal Year-End Table” above.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Mr. Suria’s option granted on February 1, 2012, will vest in full upon a change in control, subject to Mr. Suria’s employment on such date.</w:t>
      </w:r>
    </w:p>
    <w:p>
      <w:pPr>
        <w:spacing w:after="0" w:line="248"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Pursuant to the Hoffman Employment Agreement, if we experience a change in control and Mr. Hoffman is terminated without “cause” or resigns for “good reason” (each as defined in the employment agreement or applicable option agreement) upon the occurrence of, or within 13 months following, such change in control, and provided that Mr. Hoffman delivers a signed settlement and general release in favor of us and satisfies all conditions to make such release effective, (i) Mr. Hoffman will receive the severance payments and COBRA premiums described above for nine months and (ii) each of his currently outstanding stock options will vest in full.</w:t>
      </w:r>
    </w:p>
    <w:p>
      <w:pPr>
        <w:spacing w:after="0" w:line="188"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Pursuant to the Londei Employment Agreement, if we experience a change in control and Dr. Londei is terminated without “cause” or resigns for “good reason” (each as defined in the employment agreement or applicable option agreement) upon the occurrence of or within 13 months following such change in control, and provided that Dr. Londei delivers a signed settlement and general release in favor of us and satisfies all conditions to make such release effective,</w:t>
      </w:r>
    </w:p>
    <w:p>
      <w:pPr>
        <w:ind w:right="240" w:firstLine="8"/>
        <w:spacing w:after="0" w:line="261" w:lineRule="auto"/>
        <w:tabs>
          <w:tab w:leader="none" w:pos="215" w:val="left"/>
        </w:tabs>
        <w:numPr>
          <w:ilvl w:val="0"/>
          <w:numId w:val="98"/>
        </w:numPr>
        <w:rPr>
          <w:rFonts w:ascii="Arial" w:cs="Arial" w:eastAsia="Arial" w:hAnsi="Arial"/>
          <w:sz w:val="18"/>
          <w:szCs w:val="18"/>
          <w:color w:val="auto"/>
        </w:rPr>
      </w:pPr>
      <w:r>
        <w:rPr>
          <w:rFonts w:ascii="Arial" w:cs="Arial" w:eastAsia="Arial" w:hAnsi="Arial"/>
          <w:sz w:val="18"/>
          <w:szCs w:val="18"/>
          <w:color w:val="auto"/>
        </w:rPr>
        <w:t>Dr. Londei will receive the severance payments and COBRA premiums described above for nine months and (ii) each of his currently outstanding stock options will vest in full.</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employment agreement contains a “better after-tax” provision, which provides that if any of the payments to Mr. Suria, Mr. Hoffman or</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Dr. Londei,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and 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Equity Incentive Plan</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2006 Equity Incentive Plan was adopted by our board of directors on April 24, 2006 and approved by our stockholders on May 26, 2006, and was most recently amended by our board of directors on July 11, 2014 and approved by our stockholders on April 29, 2015.</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2006 Equity Incentive Plan provides for the grant of both incentive stock options, which qualify for favorable tax treatment to their recipients under Section 422 of the Code, and nonstatutory stock options, as well as for the issuance of shares of restricted stock and stock appreciation rights. We may grant incentive stock options only to our employees, including officers and directors who are also employees. We may grant nonstatutory stock options to our employees, officers, directors and consultants. We have only granted stock options under our 2006 Equity Incentive Plan.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Our 2006 Equity Incentive Plan is administered by our board of directors. Our board of directors has the authority to construe and interpret our 2006 Equity Incentive Plan, grant awards, determine the terms of such awards and make all other determinations necessary or advisable for the administration of the plan. Subject to the terms of our 2006 equity incentive plan and the consent of any adversely affected participant, our board of directors also has the authority to reduce the exercise or strike price of any outstanding stock option or stock appreciation right, cancel any outstanding stock option or stock appreciation right in exchange for a new stock option or stock appreciation right, or take any other action that is treated as a repricing under generally accepted accounting principles.</w:t>
      </w:r>
    </w:p>
    <w:p>
      <w:pPr>
        <w:spacing w:after="0" w:line="19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exercise price of each stock option must be at least equal to the fair market value of our common stock on the date of grant. The exercise price of incentive stock options granted to 10% stockholders must be at least equal to 110% of the fair market value of our common stock on the date of grant. The maximum permitted term of options granted under our 2006 Equity Incentive Plan is ten years, except that the maximum permitted term of incentive stock options granted to 10% stockholders is five years.</w:t>
      </w:r>
    </w:p>
    <w:p>
      <w:pPr>
        <w:spacing w:after="0" w:line="18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Options granted under our 2006 Equity Incentive Plan generally vest over a four-year period based on employment through certain vesting dates. Options granted under our 2006 Equity Incentive Plan may not be transferred in any manner other than by will or by the laws of descent and distribution or as determined by our board of directors. Unless otherwise permitted by our board of directors, stock options may be exercised during the lifetime of the optionee only by the optionee or the optionee’s guardian or legal representative. Options granted under our 2006 Equity Incentive Plan generally may be exercised for a period of three months after the termination of the optionee’s service to us for any reason other than due to death or disability, for a period of 12 months in the case of death, and 18 months in the case of disability, or such longer period as our board of directors may provide.</w:t>
      </w:r>
    </w:p>
    <w:p>
      <w:pPr>
        <w:spacing w:after="0" w:line="17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of a corporate transaction (as defined in the 2006 Equity Incentive Plan), the 2006 Equity Incentive Plan provides that awards may be assumed, continued or substituted by the successor or acquiring entity. If any surviving or acquiring corporation fails to assume, continue or substitute such stock awards, stock awards held by participants whose continuous service has not terminated will accelerate vesting in full prior to the corporate transaction. All stock awards will terminate at or prior to the corporate transaction. In addition, our board may also provide, in its sole discretion, that the holder of a stock award that will terminate upon the occurrence of a corporate transaction will receive a payment, if any, equal to the excess of (1) the value of the property the participant would have received upon exercise of the stock award over (2) the exercise price otherwise payable in connection with the stock award.</w:t>
      </w:r>
    </w:p>
    <w:p>
      <w:pPr>
        <w:spacing w:after="0" w:line="165"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As of December 31, 2015, we had reserved 18,871,272 shares of our common stock for issuance under our 2006 Equity Incentive Plan. As of December 31, 2015, options to purchase 2,466,693 of these shares had been exercised, options to purchase 14,351,840 of these shares remained outstanding and 2,302,739 of these shares remained available for grant. The options outstanding as of December 31, 2015 had a weighted-average exercise price of $0.57 per share. We will cease issuing awards under our 2006 Equity Incentive Plan upon the effective date of our 2016 Equity Incentive Plan. Our 2016 Equity Incentive Plan will be effective on the date immediately prior to the date of this prospectus. As a result, we will not grant any additional options under the 2006 Equity Incentive Plan following that date, and the 2006 Equity Incentive Plan will be terminated at that time. However, any outstanding options granted under the 2006 Equity Incentive Plan will remain outstanding, subject to the terms of our 2006 Equity Incentive Plan and stock option agreements, until such outstanding options are exercised or until they terminate or expire by their terms.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a 2016 Equity Incentive Plan that will become effective on the date immediately prior to the date of this prospectus and will serve as</w:t>
      </w:r>
    </w:p>
    <w:p>
      <w:pPr>
        <w:spacing w:after="0" w:line="46"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successor to our 2006 Equity Incentive Plan. We reserved shares of our common stock to be issued under our 2016 Equity Incentive Plan. The number of shares reserved for issuance under our 2016 Equity Incentive Plan will increase automatically on January 1 of each 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2017 through 2026 by the number of shares equal to % of the aggregate number of outstanding shares of our common stock as of the immediately preceding December 31. However, our board of directors may reduce the amount of the increase in any particular year. In addition, the following shares will again be available for grant and issuance under our 2016 Equity Incentive Plan:</w:t>
      </w:r>
    </w:p>
    <w:p>
      <w:pPr>
        <w:spacing w:after="0" w:line="87" w:lineRule="exact"/>
        <w:rPr>
          <w:sz w:val="20"/>
          <w:szCs w:val="20"/>
          <w:color w:val="auto"/>
        </w:rPr>
      </w:pPr>
    </w:p>
    <w:p>
      <w:pPr>
        <w:ind w:left="900" w:right="12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subject to options or stock appreciation rights granted under our 2016 Equity Incentive Plan that cease to be subject to the option or stock appreciation right for any reason other than exercise of the option or stock appreciation right;</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subject to awards granted under our 2016 Equity Incentive Plan that are subsequently forfeited or repurchased by us at the original issue price;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subject to awards granted under our 2016 Equity Incentive Plan that otherwise terminate without shares being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surrendered, cancelled or exchanged for cash or a different award (or combination thereof);</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of common stock reserved but not issued or subject to outstanding grants under our 2006 Equity Incentive Plan on the date of this prospectus will be available for grant and issuance under our 2016 Equity Incentive Plan;</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of common stock issuable upon the exercise of options or subject to other awards under our 2006 Equity Incentive Plan prior to the date of this prospectus that cease to be subject to such options or other awards by forfeiture or otherwise after the date of this prospectus will be available for grant and issuance under our 2016 Equity Incentive Plan;</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of common stock issued under our 2006 Equity Incentive Plan that are forfeited or repurchased by us after the date of this prospectus will be available for grant and issuance under our 2016 Equity Incentive Plan; and</w:t>
      </w:r>
    </w:p>
    <w:p>
      <w:pPr>
        <w:spacing w:after="0" w:line="75"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shares of common stock subject to awards under our 2006 Equity Incentive Plan that are used to pay the exercise price of an option or withheld to satisfy the tax withholding obligations related to any award will be available for grant and issuance under our 2016 Equity Incentive Plan.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2016 Equity Incentive Plan authorizes the award of stock options, restricted stock awards, or RSAs, stock appreciation rights, or SARs, restricted</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stock units, or RSUs, performance awards and stock bonuses. No person will be eligible to receive more than shares in any calendar year under our 2016 Equity Incentive Plan other than a new employee of ours, who will be eligible to receive no more than shares under the plan in the calendar year in which the employee commences employment. No more than shares will be issued pursuant to the exercise of incentive stock options.</w:t>
      </w:r>
    </w:p>
    <w:p>
      <w:pPr>
        <w:spacing w:after="0" w:line="173"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Our 2016 Equity Incentive Plan will be administered by our compensation committee, all of the members of which are outside directors as defined under applicable federal tax laws, or by our board of directors acting in place of our compensation committee. The compensation committee will have the authority to construe and interpret our 2016 Equity Incentive Plan, grant awards, determine the terms of such awards and make all other determinations necessary or advisable for the administration of the plan, including, but not limited to, repricing options or SARs without prior stockholder approval.</w:t>
      </w:r>
    </w:p>
    <w:p>
      <w:pPr>
        <w:spacing w:after="0" w:line="15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2016 Equity Incentive Plan will provide for the grant of awards to our employees, directors, consultants, independent contractors and advisors, provided the consultants, independent contractors, directors and advisors are natural persons that render services not in connection with the offer and sale of</w:t>
      </w:r>
    </w:p>
    <w:p>
      <w:pPr>
        <w:ind w:right="320"/>
        <w:spacing w:after="0" w:line="261" w:lineRule="auto"/>
        <w:rPr>
          <w:sz w:val="20"/>
          <w:szCs w:val="20"/>
          <w:color w:val="auto"/>
        </w:rPr>
      </w:pPr>
      <w:r>
        <w:rPr>
          <w:rFonts w:ascii="Arial" w:cs="Arial" w:eastAsia="Arial" w:hAnsi="Arial"/>
          <w:sz w:val="18"/>
          <w:szCs w:val="18"/>
          <w:color w:val="auto"/>
        </w:rPr>
        <w:t>securities in a capital-raising transaction. The aggregate number of shares granted to non-employee directors shall not exceed shares in a calendar year. The exercise price of stock options must be at least equal to the fair market value of our common stock on the date of grant.</w:t>
      </w:r>
    </w:p>
    <w:p>
      <w:pPr>
        <w:spacing w:after="0" w:line="18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anticipate that in general, options will vest over a four-year period. Options may vest based on time or achievement of performance conditions. Our compensation committee may provide for options to be exercised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only as they vest or to be immediately exercisable with any shares issued on exercise being subject to our right of repurchase that lapses as the shares vest.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maximum term of options granted under our 2016 Equity Incentive Plan is ten years.</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An RSA is an offer by us to sell shares of our common stock subject to restrictions, which may vest based on time or achievement of performance conditions. The price (if any) of an RSA will be determined by the compensation committee. Unless otherwise determined by the compensation committee at the time of award, vesting will cease on the date the participant no longer provides services to us and unvested shares will be forfeited to or repurchased by us.</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SARs provide for a payment, or payments, in cash or shares of our common stock, to the holder based upon the difference between the fair market value of our common stock on the date of exercise and the stated exercise price up to a maximum amount of cash or number of shares. SARs may vest based on time or achievement of performance conditions.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RSUs represent the right to receive shares of our common stock at a specified date in the future, subject to forfeiture of that right because of termination of employment or failure to achieve certain performance conditions. If an RSU has not been forfeited, then on the date specified in the RSU agreement, we will deliver to the holder of the RSU whole shares of our common stock (which may be subject to additional restrictions), cash or a combination of our common stock and cash.</w:t>
      </w:r>
    </w:p>
    <w:p>
      <w:pPr>
        <w:spacing w:after="0" w:line="187" w:lineRule="exact"/>
        <w:rPr>
          <w:sz w:val="20"/>
          <w:szCs w:val="20"/>
          <w:color w:val="auto"/>
        </w:rPr>
      </w:pPr>
    </w:p>
    <w:p>
      <w:pPr>
        <w:ind w:right="460" w:firstLine="456"/>
        <w:spacing w:after="0" w:line="291" w:lineRule="auto"/>
        <w:rPr>
          <w:sz w:val="20"/>
          <w:szCs w:val="20"/>
          <w:color w:val="auto"/>
        </w:rPr>
      </w:pPr>
      <w:r>
        <w:rPr>
          <w:rFonts w:ascii="Arial" w:cs="Arial" w:eastAsia="Arial" w:hAnsi="Arial"/>
          <w:sz w:val="16"/>
          <w:szCs w:val="16"/>
          <w:color w:val="auto"/>
        </w:rPr>
        <w:t>Performance shares are performance awards that cover a number of shares of our common stock that may be settled upon achievement of the pre-established performance conditions in cash or by issuance of the underlying shares. These awards are subject to forfeiture prior to settlement because of</w:t>
      </w:r>
    </w:p>
    <w:p>
      <w:pPr>
        <w:ind w:right="360"/>
        <w:spacing w:after="0" w:line="261" w:lineRule="auto"/>
        <w:rPr>
          <w:sz w:val="20"/>
          <w:szCs w:val="20"/>
          <w:color w:val="auto"/>
        </w:rPr>
      </w:pPr>
      <w:r>
        <w:rPr>
          <w:rFonts w:ascii="Arial" w:cs="Arial" w:eastAsia="Arial" w:hAnsi="Arial"/>
          <w:sz w:val="18"/>
          <w:szCs w:val="18"/>
          <w:color w:val="auto"/>
        </w:rPr>
        <w:t>termination of employment or failure to achieve the performance conditions. No participant will be eligible to receive more than $ in performance awards in any calendar year.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Stock bonuses may be granted as additional compensation for service or performance and, therefore, will not be issued in exchange for cash.</w:t>
      </w:r>
    </w:p>
    <w:p>
      <w:pPr>
        <w:spacing w:after="0" w:line="237"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In the event there is a specified type of change in our capital structure without our receipt of consideration, such as a stock split, appropriate adjustments will be made to the number of shares reserved under our 2016 Equity Incentive Plan, the maximum number of shares that can be granted in a calendar year and the number of shares and exercise price, if applicable, of all outstanding awards under our 2016 Equity Incentive Plan.</w:t>
      </w:r>
    </w:p>
    <w:p>
      <w:pPr>
        <w:spacing w:after="0" w:line="14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Awards granted under our 2016 Equity Incentive Plan may not be transferred in any manner other than by will or by the laws of descent and distribution or as determined by our compensation committee. Unless otherwise permitted by our compensation committee, stock options may be exercised during the lifetime of the optionee only by the optionee or the optionee’s guardian or legal representative. Options granted under our 2016 Equity Incentive Plan generally may be exercised for a period of three months after the termination of the optionee’s service to us for any reason other than for cause or due to death or disability, for a period of 12 months in the case of death or disability, or such longer period as our compensation committee may provide. Options generally terminate immediately upon termination of employment for cause.</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event of a merger or consolidation, any and all outstanding awards may be assumed or replaced by the successor corporation. In the alternative, the successor corporation may substitute equivalent awards or provide substantially similar consideration to participants as was provided to stockholders. If the outstanding awards are not assumed, substituted or cashed out, the awards will expire upon the closing of the merger or consolidation; and our compensation committee may accelerate the vesting and exercisability (as applicable) of the awards in connection with the transaction. In the event of a merger or consolidation, the vesting of all awards granted to non-employee directors shall accelerate and such awards shall become exercisable (as applicable) in full.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2016 Equity Incentive Plan will terminate ten years from the date our board of directors adopts the plan, unless it is terminated earlier by our board of directors. Our board of directors may amend or terminate our 2016 Equity Incentive Plan at any time. Our board of directors generally may amend our 2016 Equity Incentive Plan, without stockholder approval unless required by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11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have adopted a 2016 Employee Stock Purchase Plan that will become effective on the date of this prospectus and will enable eligible employees to purchase shares of our common stock at a discount beginning on a date determined by our board of directors. Purchases will be accomplished through</w:t>
      </w:r>
    </w:p>
    <w:p>
      <w:pPr>
        <w:spacing w:after="0" w:line="281" w:lineRule="auto"/>
        <w:rPr>
          <w:sz w:val="20"/>
          <w:szCs w:val="20"/>
          <w:color w:val="auto"/>
        </w:rPr>
      </w:pPr>
      <w:r>
        <w:rPr>
          <w:rFonts w:ascii="Arial" w:cs="Arial" w:eastAsia="Arial" w:hAnsi="Arial"/>
          <w:sz w:val="16"/>
          <w:szCs w:val="16"/>
          <w:color w:val="auto"/>
        </w:rPr>
        <w:t>participation in discrete offering periods. We initially reserved shares of our common stock for issuance under our 2016 Employee Stock Purchase Plan. The number of shares reserved for issuance under our 2016 Employee Stock Purchase Plan will increase automatically on January 1st of each of the first ten calendar years following the first offering date by the number of shares equal to the greater of % of the total outstanding shares of our common stock as of the immediately preceding December 31 (rounded to the nearest whole share) or the actual number of shares purchased under the 2016 Employee Stock Purchase Plan in the immediately preceding fiscal year. However, our board of directors or compensation committee may reduce the amount of the increase in</w:t>
      </w:r>
    </w:p>
    <w:p>
      <w:pPr>
        <w:spacing w:after="0" w:line="3" w:lineRule="exact"/>
        <w:rPr>
          <w:sz w:val="20"/>
          <w:szCs w:val="20"/>
          <w:color w:val="auto"/>
        </w:rPr>
      </w:pPr>
    </w:p>
    <w:p>
      <w:pPr>
        <w:ind w:right="300"/>
        <w:spacing w:after="0" w:line="323" w:lineRule="auto"/>
        <w:rPr>
          <w:sz w:val="20"/>
          <w:szCs w:val="20"/>
          <w:color w:val="auto"/>
        </w:rPr>
      </w:pPr>
      <w:r>
        <w:rPr>
          <w:rFonts w:ascii="Arial" w:cs="Arial" w:eastAsia="Arial" w:hAnsi="Arial"/>
          <w:sz w:val="16"/>
          <w:szCs w:val="16"/>
          <w:color w:val="auto"/>
        </w:rPr>
        <w:t>any particular year. The aggregate number of shares issued over the term of our 2016 Employee Stock Purchase Plan will not exceed shares of our common stock. Our 2016 Employee Stock Purchase Plan is intended to qualify as an employee stock purchase plan under Section 423 of the Code.</w:t>
      </w:r>
    </w:p>
    <w:p>
      <w:pPr>
        <w:spacing w:after="0" w:line="139"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compensation committee will administer our 2016 Employee Stock Purchase Plan. While our employees generally are eligible to participate in our 2016 Employee Stock Purchase Plan, our compensation committee may in its discretion elect to exclude employees who work less than 20 hours per week or less than five months in a calendar year. In addition, employees who are 5% stockholders, or would become 5% stockholders as a result of their participation in our 2016 Employee Stock Purchase Plan, are ineligible to participate in our 2016 Employee Stock Purchase Plan. We may impose additional restrictions on eligibility. Under our 2016 Employee Stock Purchase Plan, eligible employees will be able to acquire shares of our common stock by accumulating funds through payroll deductions. Our eligible employees will be able to select a rate of payroll deduction between % and % of their base cash compensation. The purchase price of the shares will be 85% of the lower of the fair market value of our common stock on the first day of an offering or on the date of purchase.</w:t>
      </w:r>
    </w:p>
    <w:p>
      <w:pPr>
        <w:spacing w:after="0" w:line="19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When an initial first purchase period commences, our employees who meet the eligibility requirements for participation in that purchase period will be eligible to enroll. For subsequent purchase periods, new participants will be required to enroll in a timely manner. Once an employee is enrolled, participation will be automatic in subsequent purchase periods. Each purchase period will be determined by our compensation committee. An employee’s participation automatically ends upon termination of employment for any reason.</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first purchase period will begin on a future date to be designated by our board of directors or compensation committee. Each subsequent purchase period will be for six months.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participant will have the right to purchase our shares in an amount, when aggregated with purchase rights under all our employee stock purchase</w:t>
      </w:r>
    </w:p>
    <w:p>
      <w:pPr>
        <w:spacing w:after="0" w:line="46"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plans that are also in effect in the same calendar years, that has a fair market value of more than $ , determined as of the first day of the applicable purchase period, for each calendar year in which that right is outstanding. In addition, no participant will be permitted to purchase more than shares</w:t>
      </w:r>
    </w:p>
    <w:p>
      <w:pPr>
        <w:ind w:right="20"/>
        <w:spacing w:after="0" w:line="255" w:lineRule="auto"/>
        <w:rPr>
          <w:sz w:val="20"/>
          <w:szCs w:val="20"/>
          <w:color w:val="auto"/>
        </w:rPr>
      </w:pPr>
      <w:r>
        <w:rPr>
          <w:rFonts w:ascii="Arial" w:cs="Arial" w:eastAsia="Arial" w:hAnsi="Arial"/>
          <w:sz w:val="18"/>
          <w:szCs w:val="18"/>
          <w:color w:val="auto"/>
        </w:rPr>
        <w:t>during any one purchase period or such lesser amount determined by our compensation committee. The purchase price for shares of our common stock purchased under our 2016 Employee Stock Purchase Plan will be % of the lesser of the fair market value of our common stock on (i) the first trading day of the applicable offering period or (ii) the last trading day of each purchase period in the applicable offering period.</w:t>
      </w:r>
    </w:p>
    <w:p>
      <w:pPr>
        <w:spacing w:after="0" w:line="19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If we experience a change in control transaction, each outstanding right to purchase shares under our 2016 Employee Stock Purchase Plan may be assumed or an equivalent option substituted by the successor corporation.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459" w:right="2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the event that the successor corporation refuses to assume or substitute the outstanding purchase rights, any offering period that commenced prior to the closing of the proposed change in control transaction will be shortened and terminated on a new purchase date. The new purchase date will occur prior to the closing of the proposed change in control transaction and our 2016 Employee Stock Purchase Plan will then terminate on the closing of the proposed change in control.</w:t>
      </w:r>
    </w:p>
    <w:p>
      <w:pPr>
        <w:spacing w:after="0" w:line="18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We will also have the right to amend or terminate our 2016 Employee Stock Purchase Plan at any time. Our 2016 Employee Stock Purchase Plan will terminate on the tenth anniversary of the last day of the first purchase period, unless it is terminated earlier by our board of directors.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We sponsor a retirement savings plan established January 1, 2007, that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No minimum benefit is provided under the plan. An employee’s interest in his or her salary deferral contributions is 100% vested when contributed. We have the ability to make discretionary contributions under the plan but have not done so to date.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Our named executive officers are eligible to participate in our employee benefit plans on the same basis as our other employees, including our health and welfare plans.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restated certificate of incorporation that will become effective in connection with the closing of this offering contains provisions that limit the liability of our directors for monetary damages to the fullest extent permitted by the Delaware General Corporation Law. Consequently, our directors will not be personally liable to us or our stockholders for monetary damages for any breach of fiduciary duties as directors, except liability for:</w:t>
      </w:r>
    </w:p>
    <w:p>
      <w:pPr>
        <w:spacing w:after="0" w:line="71"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restated certificate of incorporation and our restated bylaws that will become effective in connection with the closing of this offering require us to indemnify our directors and officers to the maximum extent not prohibited by the Delaware General Corporation Law and allow us to indemnify other employees and agents as set forth in the Delaware General Corporation Law.</w:t>
      </w:r>
    </w:p>
    <w:p>
      <w:pPr>
        <w:spacing w:after="0" w:line="181"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We have entered, and intend to continue to enter, into separate indemnification agreements with our directors, officers and certain of our key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that these indemnification provisions and agreements are necessary to attract and retain qualified directors, officers and key employees. We also maintain directors’ and officers’ liability insurance.</w:t>
      </w:r>
    </w:p>
    <w:p>
      <w:pPr>
        <w:spacing w:after="0" w:line="170"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40"/>
          </w:cols>
          <w:pgMar w:left="240" w:top="459" w:right="3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2012 to which we were a party or will be a party, in which:</w:t>
      </w:r>
    </w:p>
    <w:p>
      <w:pPr>
        <w:spacing w:after="0" w:line="142" w:lineRule="exact"/>
        <w:rPr>
          <w:sz w:val="20"/>
          <w:szCs w:val="20"/>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Other than as described below, there have not been, nor are there any currently proposed, transactions or series of similar transactions to which we have been or will be a party other than compensation arrangements, which are described where required under “Executive Compensation.”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Financings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C-1 Preferred Stock Financing</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3,318,054 shares of our Series C-1 convertible preferred stock at a purchase price of $0.65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Series C-1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24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7460" w:type="dxa"/>
            <w:vAlign w:val="bottom"/>
            <w:gridSpan w:val="2"/>
            <w:vMerge w:val="continue"/>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Frazier Healthcare</w:t>
            </w:r>
            <w:r>
              <w:rPr>
                <w:rFonts w:ascii="Arial" w:cs="Arial" w:eastAsia="Arial" w:hAnsi="Arial"/>
                <w:sz w:val="15"/>
                <w:szCs w:val="15"/>
                <w:color w:val="auto"/>
              </w:rPr>
              <w:t>(1)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1,370,261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890,670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1,370,261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890,670</w:t>
            </w: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541,246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351,810</w:t>
            </w:r>
          </w:p>
        </w:tc>
        <w:tc>
          <w:tcPr>
            <w:tcW w:w="0" w:type="dxa"/>
            <w:vAlign w:val="bottom"/>
          </w:tcPr>
          <w:p>
            <w:pPr>
              <w:spacing w:after="0"/>
              <w:rPr>
                <w:sz w:val="1"/>
                <w:szCs w:val="1"/>
                <w:color w:val="auto"/>
              </w:rPr>
            </w:pPr>
          </w:p>
        </w:tc>
      </w:tr>
      <w:tr>
        <w:trPr>
          <w:trHeight w:val="230"/>
        </w:trPr>
        <w:tc>
          <w:tcPr>
            <w:tcW w:w="746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(3)</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5,469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180" w:hanging="452"/>
        <w:spacing w:after="0" w:line="274" w:lineRule="auto"/>
        <w:tabs>
          <w:tab w:leader="none" w:pos="4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160" w:hanging="452"/>
        <w:spacing w:after="0" w:line="250"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will convert automatically into one share of our common stock upon the closing of this offering. The purchasers of our Series C-1 convertible preferred stock are entitled to specified registration rights, as described below under “Description of Capital Stock—Registration Rights.”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In July 2015, we sold an aggregate of 38,436,851 shares of our Series D convertible preferred stock at a purchase price of $1.06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 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Series 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Preferred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7280" w:type="dxa"/>
            <w:vAlign w:val="bottom"/>
            <w:gridSpan w:val="2"/>
            <w:vMerge w:val="continue"/>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Entities affiliated</w:t>
            </w: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 Biotechnology Value Fund, L.P</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7,074,203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7,503,111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6,599,851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6,999,999</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Frazier Healthcare</w:t>
            </w:r>
            <w:r>
              <w:rPr>
                <w:rFonts w:ascii="Arial" w:cs="Arial" w:eastAsia="Arial" w:hAnsi="Arial"/>
                <w:sz w:val="15"/>
                <w:szCs w:val="15"/>
                <w:color w:val="auto"/>
              </w:rPr>
              <w:t>(1)</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6,599,850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6,999,999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4,714,179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5,000,000</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(3)</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471,417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(4)</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150,075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159,174</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Hoffman</w:t>
            </w:r>
            <w:r>
              <w:rPr>
                <w:rFonts w:ascii="Arial" w:cs="Arial" w:eastAsia="Arial" w:hAnsi="Arial"/>
                <w:sz w:val="15"/>
                <w:szCs w:val="15"/>
                <w:color w:val="auto"/>
              </w:rPr>
              <w:t>(5)</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47,141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728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(6)</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14,142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(7)</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14,142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14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Dr. Aynechi, a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Hoffman is our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Dr. Londei is our Chief Development Officer.</w:t>
      </w:r>
    </w:p>
    <w:p>
      <w:pPr>
        <w:spacing w:after="0" w:line="21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share of our Series D convertible preferred stock will convert automatically into one share of our common stock upon the closing of this offering. The purchasers of our Series D convertible preferred stock are entitled to specified registration rights, as described below under “Description of Capital Stock —Registration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following our initial public offering under the Securities Act. For a description of these registration rights, see “Description of Capital Stock—Registration Rights.”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 For more information regarding these agreements, see “Executive Compensation—Limitations on Liability and Indemnification Matters.”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60"/>
          </w:cols>
          <w:pgMar w:left="240" w:top="459" w:right="2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intend to adopt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we expect that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December 31, 2015, and as adjusted to reflect the sale of common stock in this offering, for:</w:t>
      </w:r>
    </w:p>
    <w:p>
      <w:pPr>
        <w:spacing w:after="0" w:line="76" w:lineRule="exact"/>
        <w:rPr>
          <w:sz w:val="20"/>
          <w:szCs w:val="20"/>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Applicable percentage ownership is based on 99,052,105 shares of common stock outstanding as of December 31, 2015 and assumes (i) the automatic conversion of all outstanding shares of our convertible preferred stock into 80,645,051 shares of common stock as of immediately prior to the closing of this</w:t>
      </w:r>
    </w:p>
    <w:p>
      <w:pPr>
        <w:ind w:right="100"/>
        <w:spacing w:after="0" w:line="252" w:lineRule="auto"/>
        <w:rPr>
          <w:sz w:val="20"/>
          <w:szCs w:val="20"/>
          <w:color w:val="auto"/>
        </w:rPr>
      </w:pPr>
      <w:r>
        <w:rPr>
          <w:rFonts w:ascii="Arial" w:cs="Arial" w:eastAsia="Arial" w:hAnsi="Arial"/>
          <w:sz w:val="18"/>
          <w:szCs w:val="18"/>
          <w:color w:val="auto"/>
        </w:rPr>
        <w:t>offering. For purposes of the table below, we have assumed that shares of common stock will be issued by us in our initial public offering.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December 31, 2015.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60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Beneficial Ownership</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Beneficial Ownership</w:t>
            </w:r>
          </w:p>
        </w:tc>
        <w:tc>
          <w:tcPr>
            <w:tcW w:w="0" w:type="dxa"/>
            <w:vAlign w:val="bottom"/>
          </w:tcPr>
          <w:p>
            <w:pPr>
              <w:spacing w:after="0"/>
              <w:rPr>
                <w:sz w:val="1"/>
                <w:szCs w:val="1"/>
                <w:color w:val="auto"/>
              </w:rPr>
            </w:pPr>
          </w:p>
        </w:tc>
      </w:tr>
      <w:tr>
        <w:trPr>
          <w:trHeight w:val="171"/>
        </w:trPr>
        <w:tc>
          <w:tcPr>
            <w:tcW w:w="7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6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Prior to this Offering</w:t>
            </w: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After this Offering</w:t>
            </w:r>
          </w:p>
        </w:tc>
        <w:tc>
          <w:tcPr>
            <w:tcW w:w="0" w:type="dxa"/>
            <w:vAlign w:val="bottom"/>
          </w:tcPr>
          <w:p>
            <w:pPr>
              <w:spacing w:after="0"/>
              <w:rPr>
                <w:sz w:val="1"/>
                <w:szCs w:val="1"/>
                <w:color w:val="auto"/>
              </w:rPr>
            </w:pPr>
          </w:p>
        </w:tc>
      </w:tr>
      <w:tr>
        <w:trPr>
          <w:trHeight w:val="142"/>
        </w:trPr>
        <w:tc>
          <w:tcPr>
            <w:tcW w:w="7120" w:type="dxa"/>
            <w:vAlign w:val="bottom"/>
            <w:gridSpan w:val="2"/>
            <w:vMerge w:val="continue"/>
          </w:tcPr>
          <w:p>
            <w:pPr>
              <w:spacing w:after="0"/>
              <w:rPr>
                <w:sz w:val="12"/>
                <w:szCs w:val="12"/>
                <w:color w:val="auto"/>
              </w:rPr>
            </w:pPr>
          </w:p>
        </w:tc>
        <w:tc>
          <w:tcPr>
            <w:tcW w:w="144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Number</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700" w:type="dxa"/>
            <w:vAlign w:val="bottom"/>
          </w:tcPr>
          <w:p>
            <w:pPr>
              <w:spacing w:after="0"/>
              <w:rPr>
                <w:sz w:val="12"/>
                <w:szCs w:val="12"/>
                <w:color w:val="auto"/>
              </w:rPr>
            </w:pPr>
          </w:p>
        </w:tc>
        <w:tc>
          <w:tcPr>
            <w:tcW w:w="11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Number</w:t>
            </w:r>
          </w:p>
        </w:tc>
        <w:tc>
          <w:tcPr>
            <w:tcW w:w="6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5% Stockholders</w:t>
            </w:r>
            <w:r>
              <w:rPr>
                <w:rFonts w:ascii="Arial" w:cs="Arial" w:eastAsia="Arial" w:hAnsi="Arial"/>
                <w:sz w:val="18"/>
                <w:szCs w:val="18"/>
                <w:i w:val="1"/>
                <w:iCs w:val="1"/>
                <w:color w:val="auto"/>
              </w:rPr>
              <w:t>:</w:t>
            </w:r>
          </w:p>
        </w:tc>
        <w:tc>
          <w:tcPr>
            <w:tcW w:w="5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w:t>
            </w:r>
            <w:r>
              <w:rPr>
                <w:rFonts w:ascii="Arial" w:cs="Arial" w:eastAsia="Arial" w:hAnsi="Arial"/>
                <w:sz w:val="15"/>
                <w:szCs w:val="15"/>
                <w:color w:val="auto"/>
              </w:rPr>
              <w:t>(1)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23,019,148</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23.0%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Novo A/S</w:t>
            </w:r>
            <w:r>
              <w:rPr>
                <w:rFonts w:ascii="Arial" w:cs="Arial" w:eastAsia="Arial" w:hAnsi="Arial"/>
                <w:sz w:val="15"/>
                <w:szCs w:val="15"/>
                <w:color w:val="auto"/>
              </w:rPr>
              <w:t>(2)</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21,133,477</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21.2</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Avalon Ventures VII, L.P.</w:t>
            </w:r>
            <w:r>
              <w:rPr>
                <w:rFonts w:ascii="Arial" w:cs="Arial" w:eastAsia="Arial" w:hAnsi="Arial"/>
                <w:sz w:val="15"/>
                <w:szCs w:val="15"/>
                <w:color w:val="auto"/>
              </w:rPr>
              <w:t>(3)</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15,080,916</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15.1</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Alloy Ventures 2005, L.P.</w:t>
            </w:r>
            <w:r>
              <w:rPr>
                <w:rFonts w:ascii="Arial" w:cs="Arial" w:eastAsia="Arial" w:hAnsi="Arial"/>
                <w:sz w:val="15"/>
                <w:szCs w:val="15"/>
                <w:color w:val="auto"/>
              </w:rPr>
              <w:t>(4)</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8,977,414</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15"/>
                <w:szCs w:val="15"/>
                <w:color w:val="auto"/>
              </w:rPr>
              <w:t>(5)</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7,074,203</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7.1</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HBM Healthcare Investments (Cayman) Ltd.</w:t>
            </w:r>
            <w:r>
              <w:rPr>
                <w:rFonts w:ascii="Arial" w:cs="Arial" w:eastAsia="Arial" w:hAnsi="Arial"/>
                <w:sz w:val="15"/>
                <w:szCs w:val="15"/>
                <w:color w:val="auto"/>
              </w:rPr>
              <w:t>(6)</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6,599,851</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r>
              <w:rPr>
                <w:rFonts w:ascii="Arial" w:cs="Arial" w:eastAsia="Arial" w:hAnsi="Arial"/>
                <w:sz w:val="18"/>
                <w:szCs w:val="18"/>
                <w:i w:val="1"/>
                <w:iCs w:val="1"/>
                <w:color w:val="auto"/>
              </w:rPr>
              <w:t>:</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(7)</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2,928,051</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(8)</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1,140,898</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E. Hoffman</w:t>
            </w:r>
            <w:r>
              <w:rPr>
                <w:rFonts w:ascii="Arial" w:cs="Arial" w:eastAsia="Arial" w:hAnsi="Arial"/>
                <w:sz w:val="15"/>
                <w:szCs w:val="15"/>
                <w:color w:val="auto"/>
              </w:rPr>
              <w:t>(9)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47,141</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Tiba Aynechi, Ph.D.</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(10)</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1,134,132</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(11)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2,229,189</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Hollings Renton</w:t>
            </w:r>
            <w:r>
              <w:rPr>
                <w:rFonts w:ascii="Arial" w:cs="Arial" w:eastAsia="Arial" w:hAnsi="Arial"/>
                <w:sz w:val="15"/>
                <w:szCs w:val="15"/>
                <w:color w:val="auto"/>
              </w:rPr>
              <w:t>(12)</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358,098</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John Schmid</w:t>
            </w:r>
            <w:r>
              <w:rPr>
                <w:rFonts w:ascii="Arial" w:cs="Arial" w:eastAsia="Arial" w:hAnsi="Arial"/>
                <w:sz w:val="15"/>
                <w:szCs w:val="15"/>
                <w:color w:val="auto"/>
              </w:rPr>
              <w:t>(13)</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296,370</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Schoeneck</w:t>
            </w:r>
            <w:r>
              <w:rPr>
                <w:rFonts w:ascii="Arial" w:cs="Arial" w:eastAsia="Arial" w:hAnsi="Arial"/>
                <w:sz w:val="15"/>
                <w:szCs w:val="15"/>
                <w:color w:val="auto"/>
              </w:rPr>
              <w:t>(14)</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296,365</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James N. Topper, M.D., Ph.D.</w:t>
            </w:r>
            <w:r>
              <w:rPr>
                <w:rFonts w:ascii="Arial" w:cs="Arial" w:eastAsia="Arial" w:hAnsi="Arial"/>
                <w:sz w:val="15"/>
                <w:szCs w:val="15"/>
                <w:color w:val="auto"/>
              </w:rPr>
              <w:t>(1)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23,019,148</w:t>
            </w:r>
          </w:p>
        </w:tc>
        <w:tc>
          <w:tcPr>
            <w:tcW w:w="1160" w:type="dxa"/>
            <w:vAlign w:val="bottom"/>
            <w:gridSpan w:val="2"/>
          </w:tcPr>
          <w:p>
            <w:pPr>
              <w:jc w:val="right"/>
              <w:ind w:right="700"/>
              <w:spacing w:after="0"/>
              <w:rPr>
                <w:sz w:val="20"/>
                <w:szCs w:val="20"/>
                <w:color w:val="auto"/>
              </w:rPr>
            </w:pPr>
            <w:r>
              <w:rPr>
                <w:rFonts w:ascii="Arial" w:cs="Arial" w:eastAsia="Arial" w:hAnsi="Arial"/>
                <w:sz w:val="18"/>
                <w:szCs w:val="18"/>
                <w:color w:val="auto"/>
              </w:rPr>
              <w:t>23.0</w:t>
            </w: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(ten persons)</w:t>
            </w:r>
            <w:r>
              <w:rPr>
                <w:rFonts w:ascii="Arial" w:cs="Arial" w:eastAsia="Arial" w:hAnsi="Arial"/>
                <w:sz w:val="15"/>
                <w:szCs w:val="15"/>
                <w:color w:val="auto"/>
              </w:rPr>
              <w:t>(15)</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31,449,392</w:t>
            </w:r>
          </w:p>
        </w:tc>
        <w:tc>
          <w:tcPr>
            <w:tcW w:w="11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29.7</w:t>
            </w: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459" w:right="2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(a) 15,598,651 shares of common stock following conversion of convertible preferred stock held directly by Frazier Healthcare V, L.P.,</w:t>
      </w:r>
    </w:p>
    <w:p>
      <w:pPr>
        <w:spacing w:after="0" w:line="34" w:lineRule="exact"/>
        <w:rPr>
          <w:rFonts w:ascii="Arial" w:cs="Arial" w:eastAsia="Arial" w:hAnsi="Arial"/>
          <w:sz w:val="17"/>
          <w:szCs w:val="17"/>
          <w:color w:val="auto"/>
        </w:rPr>
      </w:pPr>
    </w:p>
    <w:p>
      <w:pPr>
        <w:ind w:left="460" w:right="140" w:hanging="6"/>
        <w:spacing w:after="0" w:line="281" w:lineRule="auto"/>
        <w:tabs>
          <w:tab w:leader="none" w:pos="715" w:val="left"/>
        </w:tabs>
        <w:numPr>
          <w:ilvl w:val="1"/>
          <w:numId w:val="106"/>
        </w:numPr>
        <w:rPr>
          <w:rFonts w:ascii="Arial" w:cs="Arial" w:eastAsia="Arial" w:hAnsi="Arial"/>
          <w:sz w:val="16"/>
          <w:szCs w:val="16"/>
          <w:color w:val="auto"/>
        </w:rPr>
      </w:pPr>
      <w:r>
        <w:rPr>
          <w:rFonts w:ascii="Arial" w:cs="Arial" w:eastAsia="Arial" w:hAnsi="Arial"/>
          <w:sz w:val="16"/>
          <w:szCs w:val="16"/>
          <w:color w:val="auto"/>
        </w:rPr>
        <w:t>5,136,185 shares of common stock following conversion of convertible preferred stock held directly by Frazier Healthcare VII, L.P., (c) 1,463,665 shares of common stock following conversion of convertible preferred stock held directly by Frazier Healthcare VII-A, L.P. and (d) 820,647 shares of common stock issuable upon the exercise of a warrant held directly by Frazier Healthcare V, L.P. The general partner of Frazier Healthcare V, L.P. is FHM V, L.P., a Delaware limited partnership. The general partner of FHM V, L.P. is FHM V, LLC, a Delaware limited liability company. The general partner of Frazier Healthcare VII, L.P. and Frazier Healthcare VII-A, L.P. is FHM VII, L.P., a Delaware limited partnership. The general partner of FHM VII, L.P. is FHM VII, LLC, a Delaware limited liability company Dr. Topper, a member of our Board of Directors, is a member of FHM V, LLC and FHM VII, LLC and may be deemed to have voting and investment power with respect to the shares held by FHM V, LLC and FHM VII, LLC.</w:t>
      </w:r>
    </w:p>
    <w:p>
      <w:pPr>
        <w:spacing w:after="0" w:line="4" w:lineRule="exact"/>
        <w:rPr>
          <w:rFonts w:ascii="Arial" w:cs="Arial" w:eastAsia="Arial" w:hAnsi="Arial"/>
          <w:sz w:val="16"/>
          <w:szCs w:val="16"/>
          <w:color w:val="auto"/>
        </w:rPr>
      </w:pPr>
    </w:p>
    <w:p>
      <w:pPr>
        <w:ind w:left="460" w:right="100" w:hanging="452"/>
        <w:spacing w:after="0" w:line="265"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Consists of (a) 20,312,830 shares of common stock following conversion of convertible preferred stock held directly by Novo A/S and (b) 820,647 shares of common stock issuable upon the exercise of a warrants held directly by Novo A/S. The board of directors of Novo A/S, which is currently comprised of Sten Scheibye, Göran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Dr. Aynechi, a member of our board of directors, is employed as a Partner at Novo Ventures (US) Inc., which provides certain consultancy services to Novo A/S, and Dr. Aynechi has no beneficial ownership of or pecuniary interest in these shares. The address of Novo A/S is Tuborg Havnevej 19, 2900 Hellerup, Denmark.</w:t>
      </w:r>
    </w:p>
    <w:p>
      <w:pPr>
        <w:spacing w:after="0" w:line="1" w:lineRule="exact"/>
        <w:rPr>
          <w:rFonts w:ascii="Arial" w:cs="Arial" w:eastAsia="Arial" w:hAnsi="Arial"/>
          <w:sz w:val="17"/>
          <w:szCs w:val="17"/>
          <w:color w:val="auto"/>
        </w:rPr>
      </w:pPr>
    </w:p>
    <w:p>
      <w:pPr>
        <w:ind w:left="460" w:right="18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(a) 14,258,530 shares of common stock held directly by Avalon Ventures VII, L.P. and (b) 822,386 shares of common stock issuable upon the exercise of a warrant held directly by Avalon Ventures VII, L.P. The general partner of Avalon Ventures II, L.P. is Avalon Ventures VII GP, LLC. The managing members of Avalon Ventures VII GP, LLC are Kevin J. Kinsella and Stephen L. Tomlin.</w:t>
      </w:r>
    </w:p>
    <w:p>
      <w:pPr>
        <w:spacing w:after="0" w:line="1" w:lineRule="exact"/>
        <w:rPr>
          <w:rFonts w:ascii="Arial" w:cs="Arial" w:eastAsia="Arial" w:hAnsi="Arial"/>
          <w:sz w:val="18"/>
          <w:szCs w:val="18"/>
          <w:color w:val="auto"/>
        </w:rPr>
      </w:pPr>
    </w:p>
    <w:p>
      <w:pPr>
        <w:jc w:val="both"/>
        <w:ind w:left="460" w:right="40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8,977,414 shares of common stock following conversion of convertible preferred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Consists of (a) 3,449,203 shares of common stock following conversion of convertible preferred stock held directly by Biotechnology Value Fund, L.P.,</w:t>
      </w:r>
    </w:p>
    <w:p>
      <w:pPr>
        <w:spacing w:after="0" w:line="32" w:lineRule="exact"/>
        <w:rPr>
          <w:rFonts w:ascii="Arial" w:cs="Arial" w:eastAsia="Arial" w:hAnsi="Arial"/>
          <w:sz w:val="16"/>
          <w:szCs w:val="16"/>
          <w:color w:val="auto"/>
        </w:rPr>
      </w:pPr>
    </w:p>
    <w:p>
      <w:pPr>
        <w:ind w:left="700" w:hanging="246"/>
        <w:spacing w:after="0"/>
        <w:tabs>
          <w:tab w:leader="none" w:pos="70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1,974,000 shares of common stock following conversion of convertible preferred stock held directly by Biotechnology Value Fund II, L.P.,</w:t>
      </w:r>
    </w:p>
    <w:p>
      <w:pPr>
        <w:spacing w:after="0" w:line="20" w:lineRule="exact"/>
        <w:rPr>
          <w:rFonts w:ascii="Arial" w:cs="Arial" w:eastAsia="Arial" w:hAnsi="Arial"/>
          <w:sz w:val="17"/>
          <w:szCs w:val="17"/>
          <w:color w:val="auto"/>
        </w:rPr>
      </w:pPr>
    </w:p>
    <w:p>
      <w:pPr>
        <w:ind w:left="460" w:right="460" w:hanging="6"/>
        <w:spacing w:after="0" w:line="250" w:lineRule="auto"/>
        <w:tabs>
          <w:tab w:leader="none" w:pos="70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637,000 shares of common stock following conversion of convertible preferred stock held directly by Investment 10, L.L.C. and (d) 1,014,000 shares of common stock following conversion of convertible preferred stock held directly by MSI BVF SPV, L.L.C.</w:t>
      </w:r>
    </w:p>
    <w:p>
      <w:pPr>
        <w:ind w:left="460" w:right="40" w:hanging="452"/>
        <w:spacing w:after="0" w:line="265" w:lineRule="auto"/>
        <w:tabs>
          <w:tab w:leader="none" w:pos="4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Represents 6,599,851 shares of common stock following conversion of convertible preferred stock held directly by HBM Healthcare Investments (Cayman) Ltd. The board of directors of HBM Healthcare Investments (Cayman) Ltd. has sole vesting and investment power with respect to the shares. The board of directors of HBM Healthcare Investments (Cayman) Ltd. is comprised of Jean-Mar Lesieur, Richard Coles, Sophia Harris, Dr. Andrea Wicki, Paul Woodhouse and John Urquhart, none of whom has individual voting or investment power with respect to the shares.</w:t>
      </w:r>
    </w:p>
    <w:p>
      <w:pPr>
        <w:jc w:val="both"/>
        <w:ind w:left="460" w:right="10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(a) 34,996 shares of common stock following conversion of convertible preferred stock held directly by Mr. Suria and (b) 2,893,055 shares of common stock issuable to Mr. Suria upon the exercise of stock options that are exercisable within 60 days of December 31, 2015, of which 946,745 shares were unvested but were early exercisable, as of 60 days after December 31, 2015.</w:t>
      </w:r>
    </w:p>
    <w:p>
      <w:pPr>
        <w:spacing w:after="0" w:line="1"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(a) 14,142 shares of common stock following conversion of convertible preferred stock held directly by Dr. Londei and (b) 1,126,756 shares of common stock issuable to Dr. Londei upon the exercise of stock options that are exercisable within 60 days of December 31, 2015, of which 751,171 shares were unvested but were early exercisable, as of 60 days after December 31, 2015.</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Consists of 47,141 shares of common stock following conversion of convertible preferred stock held directly by Mr. Hoffman.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(a) 450,075 shares of common stock following conversion of convertible preferred stock held directly by Dr. Gallagher and</w:t>
      </w:r>
    </w:p>
    <w:p>
      <w:pPr>
        <w:spacing w:after="0" w:line="23" w:lineRule="exact"/>
        <w:rPr>
          <w:rFonts w:ascii="Arial" w:cs="Arial" w:eastAsia="Arial" w:hAnsi="Arial"/>
          <w:sz w:val="18"/>
          <w:szCs w:val="18"/>
          <w:color w:val="auto"/>
        </w:rPr>
      </w:pPr>
    </w:p>
    <w:p>
      <w:pPr>
        <w:ind w:left="460" w:right="200" w:hanging="6"/>
        <w:spacing w:after="0" w:line="250" w:lineRule="auto"/>
        <w:tabs>
          <w:tab w:leader="none" w:pos="71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684,057 shares of common stock issuable to Dr. Gallagher upon the exercise of stock options that are exercisable within 60 days of December 31, 2015.</w:t>
      </w:r>
    </w:p>
    <w:p>
      <w:pPr>
        <w:ind w:left="460" w:right="40" w:hanging="452"/>
        <w:spacing w:after="0" w:line="281" w:lineRule="auto"/>
        <w:tabs>
          <w:tab w:leader="none" w:pos="4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(a) 471,332 shares of common stock held directly by Dr. Lydon, (b) 1,425,385 shares of common stock following conversion of convertible preferred stock held directly by Dr. Lydon, (c) 115,384 shares of common stock issuable upon the exercise of a warrant held directly by Dr. Lydon and</w:t>
      </w:r>
    </w:p>
    <w:p>
      <w:pPr>
        <w:spacing w:after="0" w:line="1" w:lineRule="exact"/>
        <w:rPr>
          <w:rFonts w:ascii="Arial" w:cs="Arial" w:eastAsia="Arial" w:hAnsi="Arial"/>
          <w:sz w:val="16"/>
          <w:szCs w:val="16"/>
          <w:color w:val="auto"/>
        </w:rPr>
      </w:pPr>
    </w:p>
    <w:p>
      <w:pPr>
        <w:ind w:left="460" w:hanging="6"/>
        <w:spacing w:after="0" w:line="250" w:lineRule="auto"/>
        <w:tabs>
          <w:tab w:leader="none" w:pos="71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217,088 shares of common stock issuable to Dr. Lydon upon the exercise of stock options that are exercisable within 60 days of December 31, 2015, of which 114,521 shares were unvested but were early exercisable, as of 60 days after December 31, 2015.</w:t>
      </w:r>
    </w:p>
    <w:p>
      <w:pPr>
        <w:ind w:left="460" w:right="40" w:hanging="452"/>
        <w:spacing w:after="0" w:line="250"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358,098 shares of common stock issuable to Mr. Renton upon the exercise of stock options that are exercisable within 60 days of December 31, 2015, of which 280,511 shares were unvested but were early exercisable, as of 60 days after December 31, 2015.</w:t>
      </w:r>
    </w:p>
    <w:p>
      <w:pPr>
        <w:ind w:left="460" w:right="20" w:hanging="452"/>
        <w:spacing w:after="0" w:line="250"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Represents 296,370 shares of common stock issuable to Mr. Schmid upon the exercise of stock options that are exercisable within 60 days of December 31, 2015, of which 250,583 shares were unvested but were early exercisable, as of 60 days after December 31, 2015.</w:t>
      </w:r>
    </w:p>
    <w:p>
      <w:pPr>
        <w:ind w:left="460" w:right="560" w:hanging="452"/>
        <w:spacing w:after="0" w:line="265" w:lineRule="auto"/>
        <w:tabs>
          <w:tab w:leader="none" w:pos="4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Represents 296,365 shares of common stock issuable to Mr. Schoeneck upon the exercise of stock options that are exercisable within 60 days of December 31, 2015, of which 271,668 shares were unvested but were early exercisable, as of 60 days after December 31, 2015.</w:t>
      </w: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Includes shares beneficially owned by our current executive officers and directors. Consists of (a) 471,332 shares of common stock,</w:t>
      </w:r>
    </w:p>
    <w:p>
      <w:pPr>
        <w:spacing w:after="0" w:line="9" w:lineRule="exact"/>
        <w:rPr>
          <w:rFonts w:ascii="Arial" w:cs="Arial" w:eastAsia="Arial" w:hAnsi="Arial"/>
          <w:sz w:val="18"/>
          <w:szCs w:val="18"/>
          <w:color w:val="auto"/>
        </w:rPr>
      </w:pPr>
    </w:p>
    <w:p>
      <w:pPr>
        <w:ind w:left="460" w:right="320" w:hanging="6"/>
        <w:spacing w:after="0" w:line="302" w:lineRule="auto"/>
        <w:tabs>
          <w:tab w:leader="none" w:pos="71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24,170,240 shares of common stock following conversion of convertible preferred stock, (c) 936,031 shares of common stock issuable upon the exercise of warrants and (d) 5,871,789 shares of common stock issuable upon the exercise of stock options that are exercisable within 60 days of December 31, 2015, of which 2,615,199 shares were unvested but early exercisable, as of 60 days after December 31, 2015.</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Upon the closing of this offering, our authorized capital stock will consist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Pursuant to the provisions of our certificate of incorporation all of the outstanding convertible preferred stock will automatically convert into common stock in connection with the closing of this offering. Assuming the effectiveness of this conversion as of December 31, 2015, there were 99,052,105 shares of our common stock issued, held by approximately 75 stockholders of record, and no shares of our preferred stock outstanding. Our board of directors is authorized, without stockholder approval, to issue additional shares of our capital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that will be in effect upon the closing of this offering, holders of a majority of the shares of our common stock will be able to elect all of our directors.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provisions of our certificate of incorporation, all of our outstanding convertible preferred stock will automatically convert into common stock, with such conversion to be effective in connection with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closing of this offering. As a result, each currently outstanding share of convertible preferred stock will be converted into common stock. All series of convertible preferred stock will convert at a ratio of one share of common stock for each share of convertible preferred stock.</w:t>
      </w:r>
    </w:p>
    <w:p>
      <w:pPr>
        <w:spacing w:after="0" w:line="14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we had outstanding the following warrants to purchase shares of our capital stock:</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Total Number</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0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Price</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Capital Stock</w:t>
            </w:r>
          </w:p>
        </w:tc>
        <w:tc>
          <w:tcPr>
            <w:tcW w:w="14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00" w:type="dxa"/>
            <w:vAlign w:val="bottom"/>
          </w:tcPr>
          <w:p>
            <w:pPr>
              <w:spacing w:after="0"/>
              <w:rPr>
                <w:sz w:val="12"/>
                <w:szCs w:val="12"/>
                <w:color w:val="auto"/>
              </w:rPr>
            </w:pPr>
          </w:p>
        </w:tc>
        <w:tc>
          <w:tcPr>
            <w:tcW w:w="10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Per</w:t>
            </w:r>
          </w:p>
        </w:tc>
        <w:tc>
          <w:tcPr>
            <w:tcW w:w="13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Expiration Dates</w:t>
            </w:r>
          </w:p>
        </w:tc>
        <w:tc>
          <w:tcPr>
            <w:tcW w:w="0" w:type="dxa"/>
            <w:vAlign w:val="bottom"/>
          </w:tcPr>
          <w:p>
            <w:pPr>
              <w:spacing w:after="0"/>
              <w:rPr>
                <w:sz w:val="1"/>
                <w:szCs w:val="1"/>
                <w:color w:val="auto"/>
              </w:rPr>
            </w:pPr>
          </w:p>
        </w:tc>
      </w:tr>
      <w:tr>
        <w:trPr>
          <w:trHeight w:val="171"/>
        </w:trPr>
        <w:tc>
          <w:tcPr>
            <w:tcW w:w="5640" w:type="dxa"/>
            <w:vAlign w:val="bottom"/>
            <w:gridSpan w:val="2"/>
            <w:vMerge w:val="continue"/>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2"/>
              </w:rPr>
              <w:t>Share</w:t>
            </w:r>
          </w:p>
        </w:tc>
        <w:tc>
          <w:tcPr>
            <w:tcW w:w="1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43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822,386</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5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November 2018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1,775,022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0.65</w:t>
            </w: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8"/>
              </w:rPr>
              <w:t>November 2018</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 Preferred Stock</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288,462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0.65</w:t>
            </w:r>
          </w:p>
        </w:tc>
        <w:tc>
          <w:tcPr>
            <w:tcW w:w="1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December 2024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As of December 31, 2015, we had outstanding options to purchase an aggregate 14,351,840 shares of our common stock, with a weighted-average exercise price of $0.57.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immediately following this offering, the holders of 83,530,921 shares of our common stock will be entitled to rights with respect to the registration of these shares under the Securities Act, as described below. We refer to these shares collectively as registrable securities.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Beginning 180 days after the closing of this offering, the holders of at least a majority of the then-outstanding registrable securities may make a written request to us for the registration of any of the registrable securities under the Securities Act. Within 30 days of such request, we are obligated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360"/>
          </w:cols>
          <w:pgMar w:left="240" w:top="459" w:right="2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 of Registration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this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provisions of Delaware law, our restated certificate of incorporation and our restated bylaws, as we expect they will be in effect upon the closing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900" w:right="26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900" w:right="300" w:hanging="325"/>
        <w:spacing w:after="0" w:line="291"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w:t>
      </w:r>
    </w:p>
    <w:p>
      <w:pPr>
        <w:ind w:left="900"/>
        <w:spacing w:after="0" w:line="323" w:lineRule="auto"/>
        <w:rPr>
          <w:rFonts w:ascii="Arial" w:cs="Arial" w:eastAsia="Arial" w:hAnsi="Arial"/>
          <w:sz w:val="16"/>
          <w:szCs w:val="16"/>
          <w:color w:val="auto"/>
        </w:rPr>
      </w:pPr>
      <w:r>
        <w:rPr>
          <w:rFonts w:ascii="Arial" w:cs="Arial" w:eastAsia="Arial" w:hAnsi="Arial"/>
          <w:sz w:val="16"/>
          <w:szCs w:val="16"/>
          <w:color w:val="auto"/>
        </w:rPr>
        <w:t>(1)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4" w:lineRule="exact"/>
        <w:rPr>
          <w:rFonts w:ascii="Arial" w:cs="Arial" w:eastAsia="Arial" w:hAnsi="Arial"/>
          <w:sz w:val="16"/>
          <w:szCs w:val="16"/>
          <w:color w:val="auto"/>
        </w:rPr>
      </w:pPr>
    </w:p>
    <w:p>
      <w:pPr>
        <w:jc w:val="both"/>
        <w:ind w:left="900" w:right="140" w:hanging="325"/>
        <w:spacing w:after="0" w:line="264"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Restated Certificate of Incorporation and Restated Bylaw Provisions</w:t>
      </w:r>
    </w:p>
    <w:p>
      <w:pPr>
        <w:spacing w:after="0" w:line="11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Our restated certificate of incorporation and our restated bylaws, as we expect they will be in effect upon the closing of this offering, include a number of provisions that could deter hostile takeovers or delay or prevent changes in control of our company, including the following:</w:t>
      </w:r>
    </w:p>
    <w:p>
      <w:pPr>
        <w:spacing w:after="0" w:line="52" w:lineRule="exact"/>
        <w:rPr>
          <w:sz w:val="20"/>
          <w:szCs w:val="20"/>
          <w:color w:val="auto"/>
        </w:rPr>
      </w:pPr>
    </w:p>
    <w:p>
      <w:pPr>
        <w:ind w:left="900" w:hanging="325"/>
        <w:spacing w:after="0" w:line="276"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will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ind w:left="900" w:right="200" w:hanging="325"/>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restated certificate of incorporation and restated bylaws will provide that our board is classified into three classes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“Management—Board Composition.”</w:t>
      </w:r>
    </w:p>
    <w:p>
      <w:pPr>
        <w:spacing w:after="0" w:line="92" w:lineRule="exact"/>
        <w:rPr>
          <w:rFonts w:ascii="Arial" w:cs="Arial" w:eastAsia="Arial" w:hAnsi="Arial"/>
          <w:sz w:val="18"/>
          <w:szCs w:val="18"/>
          <w:color w:val="auto"/>
        </w:rPr>
      </w:pPr>
    </w:p>
    <w:p>
      <w:pPr>
        <w:ind w:left="900" w:right="100" w:hanging="325"/>
        <w:spacing w:after="0" w:line="286" w:lineRule="auto"/>
        <w:tabs>
          <w:tab w:leader="none" w:pos="9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will provide that our stockholders may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action by written consent, but may only take action at annual or special meetings of our stockholders. As a result, a holder controlling a majority of our capital stock would not be able to amend our restated bylaws or remove directors without holding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40"/>
        <w:spacing w:after="0" w:line="302" w:lineRule="auto"/>
        <w:rPr>
          <w:sz w:val="20"/>
          <w:szCs w:val="20"/>
          <w:color w:val="auto"/>
        </w:rPr>
      </w:pPr>
      <w:r>
        <w:rPr>
          <w:rFonts w:ascii="Arial" w:cs="Arial" w:eastAsia="Arial" w:hAnsi="Arial"/>
          <w:sz w:val="16"/>
          <w:szCs w:val="16"/>
          <w:color w:val="auto"/>
        </w:rPr>
        <w:t>meeting of our stockholders called in accordance with our restated bylaws. Further, our restated bylaws will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60" w:lineRule="exact"/>
        <w:rPr>
          <w:sz w:val="20"/>
          <w:szCs w:val="20"/>
          <w:color w:val="auto"/>
        </w:rPr>
      </w:pPr>
    </w:p>
    <w:p>
      <w:pPr>
        <w:ind w:left="900" w:right="60" w:hanging="325"/>
        <w:spacing w:after="0" w:line="255"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will provide advance notice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for stockholders 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94" w:lineRule="exact"/>
        <w:rPr>
          <w:rFonts w:ascii="Arial" w:cs="Arial" w:eastAsia="Arial" w:hAnsi="Arial"/>
          <w:sz w:val="18"/>
          <w:szCs w:val="18"/>
          <w:color w:val="auto"/>
        </w:rPr>
      </w:pPr>
    </w:p>
    <w:p>
      <w:pPr>
        <w:jc w:val="both"/>
        <w:ind w:left="900" w:right="200" w:hanging="325"/>
        <w:spacing w:after="0" w:line="264"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will not provide for cumulative voting.</w:t>
      </w:r>
    </w:p>
    <w:p>
      <w:pPr>
        <w:spacing w:after="0" w:line="86"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will provide that stockholders may remove directors only for cause</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expected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75" w:lineRule="exact"/>
        <w:rPr>
          <w:rFonts w:ascii="Arial" w:cs="Arial" w:eastAsia="Arial" w:hAnsi="Arial"/>
          <w:sz w:val="18"/>
          <w:szCs w:val="18"/>
          <w:color w:val="auto"/>
        </w:rPr>
      </w:pPr>
    </w:p>
    <w:p>
      <w:pPr>
        <w:ind w:left="900" w:right="20" w:hanging="325"/>
        <w:spacing w:after="0" w:line="279"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900" w:right="80" w:hanging="325"/>
        <w:spacing w:after="0" w:line="259"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will provide that the Court of Chancery of the State of Delaware will be the exclusive</w:t>
      </w:r>
      <w:r>
        <w:rPr>
          <w:rFonts w:ascii="Arial" w:cs="Arial" w:eastAsia="Arial" w:hAnsi="Arial"/>
          <w:sz w:val="18"/>
          <w:szCs w:val="18"/>
          <w:i w:val="1"/>
          <w:iCs w:val="1"/>
          <w:color w:val="auto"/>
        </w:rPr>
        <w:t xml:space="preserve"> </w:t>
      </w:r>
      <w:r>
        <w:rPr>
          <w:rFonts w:ascii="Arial" w:cs="Arial" w:eastAsia="Arial" w:hAnsi="Arial"/>
          <w:sz w:val="18"/>
          <w:szCs w:val="18"/>
          <w:color w:val="auto"/>
        </w:rPr>
        <w:t>forum 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Upon the closing of this offering, the transfer agent and registrar for our common stock will be American Stock Transfer and Trust Company, LLC. The transfer agent’s address is 6201 15th Avenue, Brooklyn, New York 11219, and its telephone number is (800) 937-5449.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has been approved for listing on the NASDAQ Global Select Market under the symbol “ANAB.”</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Nevertheless, sales of substantial amounts of our common stock, including shares issued upon exercise of outstanding options and warrants, in the public market following this offering could adversely affect market prices prevailing from time to time and could impair our ability to raise capital through the sale of our equity securities.</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Upon the closing of this offering, we will have a total of shares of our common stock outstanding, based on the 99,052,105 shares of our capital stock outstanding as of December 31, 2015, assuming the automatic conversion of all outstanding shares of our convertible preferred stock into 80,645,051 shares of common stock as of immediately prior to the closing of this offering. Of these outstanding shares, all of the shares of common</w:t>
      </w:r>
    </w:p>
    <w:p>
      <w:pPr>
        <w:ind w:right="160"/>
        <w:spacing w:after="0" w:line="261" w:lineRule="auto"/>
        <w:rPr>
          <w:sz w:val="20"/>
          <w:szCs w:val="20"/>
          <w:color w:val="auto"/>
        </w:rPr>
      </w:pPr>
      <w:r>
        <w:rPr>
          <w:rFonts w:ascii="Arial" w:cs="Arial" w:eastAsia="Arial" w:hAnsi="Arial"/>
          <w:sz w:val="18"/>
          <w:szCs w:val="18"/>
          <w:color w:val="auto"/>
        </w:rPr>
        <w:t>stock sold in this offering will be freely tradable, except that any shares purchased in this offering by our affiliates, as that term is defined in Rule 144 under the Securities Act, could only be sold in compliance with Rule 144.</w:t>
      </w:r>
    </w:p>
    <w:p>
      <w:pPr>
        <w:spacing w:after="0" w:line="184"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 In addition, substantially all of our security holders have entered into market standoff agreements with us or lock-up agreements with the underwriters under which they have agreed, subject to specific exceptions, not to sell any of our stock for at least 180 days following the date of this prospectus, as described below. As a result of these agreements and the provisions of our amended and restated investors’ rights agreement described above under “Description of Capital Stock—Registration Rights,” subject to the provisions of Rule 144 or Rule</w:t>
      </w:r>
    </w:p>
    <w:p>
      <w:pPr>
        <w:spacing w:after="0" w:line="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8"/>
          <w:szCs w:val="18"/>
          <w:color w:val="auto"/>
        </w:rPr>
        <w:t>shares will be available for sale in the public market as follows:</w:t>
      </w:r>
    </w:p>
    <w:p>
      <w:pPr>
        <w:spacing w:after="0" w:line="116" w:lineRule="exact"/>
        <w:rPr>
          <w:sz w:val="20"/>
          <w:szCs w:val="20"/>
          <w:color w:val="auto"/>
        </w:rPr>
      </w:pPr>
    </w:p>
    <w:p>
      <w:pPr>
        <w:ind w:left="900" w:hanging="325"/>
        <w:spacing w:after="0"/>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Beginning on the date of this prospectus, all of the shares sold in this offering will be immediately available for sale in the public market; and</w:t>
      </w:r>
    </w:p>
    <w:p>
      <w:pPr>
        <w:spacing w:after="0" w:line="142" w:lineRule="exact"/>
        <w:rPr>
          <w:sz w:val="20"/>
          <w:szCs w:val="20"/>
          <w:color w:val="auto"/>
        </w:rPr>
      </w:pPr>
    </w:p>
    <w:p>
      <w:pPr>
        <w:ind w:left="900" w:right="560" w:hanging="908"/>
        <w:spacing w:after="0" w:line="277" w:lineRule="auto"/>
        <w:tabs>
          <w:tab w:leader="none" w:pos="880" w:val="left"/>
        </w:tabs>
        <w:rPr>
          <w:sz w:val="20"/>
          <w:szCs w:val="20"/>
          <w:color w:val="auto"/>
        </w:rPr>
      </w:pPr>
      <w:r>
        <w:rPr>
          <w:rFonts w:ascii="Arial" w:cs="Arial" w:eastAsia="Arial" w:hAnsi="Arial"/>
          <w:sz w:val="18"/>
          <w:szCs w:val="18"/>
          <w:color w:val="auto"/>
        </w:rPr>
        <w:t>•</w:t>
        <w:tab/>
        <w:t>Beginning 181 days after the date of this prospectus, additional shares will become eligible for sale in the public market, of which shares will be held by affiliates and subject to the volume and other restrictions of Rule 144, as described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Lock-Up/Market Standoff Agreements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All of our directors and officers and substantially all of our security holders are subject to lock-up agreements or market standoff provisions that prohibit them from offering for sale, selling, contracting to sell, granting any option for the sale of, transferring or otherwise disposing of any shares of our common stock, options or warrants to acquire shares of our common stock or any security or instrument related to our common stock, or entering into any swap, hedge or other arrangement that transfers any of the economic consequences of ownership of our common stock, for a period of 180 days following the date of this prospectus without the prior written consent of Credit Suisse Securities (USA) LLC and Stifel, Nicolaus &amp; Company, Incorporated. See “Underwriting.”</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00"/>
          </w:cols>
          <w:pgMar w:left="240" w:top="459" w:right="2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8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ectPr>
          <w:pgSz w:w="11900" w:h="16838" w:orient="portrait"/>
          <w:cols w:equalWidth="0" w:num="1">
            <w:col w:w="11380"/>
          </w:cols>
          <w:pgMar w:left="240" w:top="459" w:right="279" w:bottom="1440" w:gutter="0" w:footer="0" w:header="0"/>
        </w:sectPr>
      </w:pPr>
    </w:p>
    <w:p>
      <w:pPr>
        <w:spacing w:after="0" w:line="2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6"/>
          <w:szCs w:val="16"/>
          <w:color w:val="auto"/>
        </w:rPr>
        <w:t>shares immediately after this</w:t>
      </w:r>
    </w:p>
    <w:p>
      <w:pPr>
        <w:spacing w:after="0" w:line="369" w:lineRule="exact"/>
        <w:rPr>
          <w:sz w:val="20"/>
          <w:szCs w:val="20"/>
          <w:color w:val="auto"/>
        </w:rPr>
      </w:pPr>
    </w:p>
    <w:p>
      <w:pPr>
        <w:sectPr>
          <w:pgSz w:w="11900" w:h="16838" w:orient="portrait"/>
          <w:cols w:equalWidth="0" w:num="3">
            <w:col w:w="640" w:space="260"/>
            <w:col w:w="7180" w:space="620"/>
            <w:col w:w="2680"/>
          </w:cols>
          <w:pgMar w:left="240" w:top="459" w:right="279" w:bottom="1440" w:gutter="0" w:footer="0" w:header="0"/>
          <w:type w:val="continuous"/>
        </w:sectPr>
      </w:pPr>
    </w:p>
    <w:p>
      <w:pPr>
        <w:ind w:left="900" w:right="500" w:hanging="325"/>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that sale.</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As soon as practicable after the closing of this offering, we intend to file one or more registration statements on Form S-8 under the Securities Act covering all of the shares of our common stock subject to outstanding options and the shares of our common stock reserved for issuance under our stock plans.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 Of the 14,351,840 shares of our common stock that were subject to stock options outstanding as of December 31, 2015, options to purchase 5,421,481 shares of common stock were vested as of December 31, 2015. Shares of our common stock underlying outstanding options will not be eligible for sale until expiration of the 180 day lock-up and market standoff agreements to which they are subject. See the section titled “Executive Compensation—Employee Benefit and Stock Plans” for a description of our equity incentive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“Description of Capital Stock— Registration Rights.”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380"/>
          </w:cols>
          <w:pgMar w:left="240" w:top="459" w:right="279" w:bottom="1440" w:gutter="0" w:footer="0" w:header="0"/>
          <w:type w:val="continuous"/>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by “non-U.S. holders” (as defined below) pursuant to this offering.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partnerships or entities or arrangements treated as partnerships or other pass-through entities for U.S. federal tax purposes (or investors in such entities);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75"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459" w:right="2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 Defined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holder of our common stock, other than a partnership, that is not:</w:t>
      </w:r>
    </w:p>
    <w:p>
      <w:pPr>
        <w:spacing w:after="0" w:line="131" w:lineRule="exact"/>
        <w:rPr>
          <w:sz w:val="20"/>
          <w:szCs w:val="20"/>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900" w:right="20" w:hanging="325"/>
        <w:spacing w:after="0" w:line="308"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you are a non-U.S. citizen who is an individual, you may, in many cases, be deemed to be a resident alien, as opposed to a nonresident alien, by virtue of being present in the United States for at least 31 days in the calendar year and for an aggregate of at least 183 days during a three-year period ending in the current calendar year. For these purposes, all the days present in the current year, one-third of the days present in the immediately preceding year, and one-sixth of the days present in the second preceding year are counted. Resident aliens are subject to U.S. federal income tax as if they were U.S. citizens. Such an individual is urged to consult his or her own tax advisor regarding the U.S. federal income tax consequences of the ownership or disposition of our common stock.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ind w:left="900" w:right="480" w:hanging="325"/>
        <w:spacing w:after="0" w:line="286"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70" w:lineRule="exact"/>
        <w:rPr>
          <w:rFonts w:ascii="Arial" w:cs="Arial" w:eastAsia="Arial" w:hAnsi="Arial"/>
          <w:sz w:val="17"/>
          <w:szCs w:val="17"/>
          <w:color w:val="auto"/>
        </w:rPr>
      </w:pPr>
    </w:p>
    <w:p>
      <w:pPr>
        <w:ind w:left="900" w:right="280" w:hanging="325"/>
        <w:spacing w:after="0" w:line="259"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rules of the Foreign Investment in Real Property Tax Act, or FIRPTA, treat the gain as effectively connected with a U.S. trade or business.</w:t>
      </w:r>
    </w:p>
    <w:p>
      <w:pPr>
        <w:spacing w:after="0" w:line="24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as long as our common stock is regularly traded on an established securities market, such common stock will be treated as U.S. real property interests only if beneficially owned by a non-U.S. holder that actually or constructively owned more than 5% of our outstanding common stock at some time within the five-year period preceding the disposition.</w:t>
      </w:r>
    </w:p>
    <w:p>
      <w:pPr>
        <w:spacing w:after="0" w:line="17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Estate Tax</w:t>
      </w:r>
    </w:p>
    <w:p>
      <w:pPr>
        <w:spacing w:after="0" w:line="12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80"/>
          </w:cols>
          <w:pgMar w:left="240" w:top="459" w:right="2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900" w:right="100" w:hanging="325"/>
        <w:spacing w:after="0" w:line="308"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1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w:t>
      </w:r>
    </w:p>
    <w:p>
      <w:pPr>
        <w:spacing w:after="0" w:line="183"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withholding provisions described above generally apply to proceeds from a sale or other disposition of common stock if such sale or other disposition occurs on or after January 1, 2017 and to payments of dividends on our common stock.</w:t>
      </w:r>
    </w:p>
    <w:p>
      <w:pPr>
        <w:spacing w:after="0" w:line="170"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PRECEDING DISCUSSION OF U.S. FEDERAL TAX CONSIDERATIONS IS FOR GENERAL INFORMATION ONLY. IT IS NOT TAX ADVICE. 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459" w:right="2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88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6100" w:type="dxa"/>
            <w:vAlign w:val="bottom"/>
          </w:tcPr>
          <w:p>
            <w:pPr>
              <w:ind w:left="3620"/>
              <w:spacing w:after="0"/>
              <w:rPr>
                <w:sz w:val="20"/>
                <w:szCs w:val="20"/>
                <w:color w:val="auto"/>
              </w:rPr>
            </w:pPr>
            <w:r>
              <w:rPr>
                <w:rFonts w:ascii="Arial" w:cs="Arial" w:eastAsia="Arial" w:hAnsi="Arial"/>
                <w:sz w:val="18"/>
                <w:szCs w:val="18"/>
                <w:b w:val="1"/>
                <w:bCs w:val="1"/>
                <w:color w:val="auto"/>
              </w:rPr>
              <w:t>UNDERWRITING</w:t>
            </w:r>
          </w:p>
        </w:tc>
        <w:tc>
          <w:tcPr>
            <w:tcW w:w="3880" w:type="dxa"/>
            <w:vAlign w:val="bottom"/>
          </w:tcPr>
          <w:p>
            <w:pPr>
              <w:spacing w:after="0"/>
              <w:rPr>
                <w:sz w:val="24"/>
                <w:szCs w:val="24"/>
                <w:color w:val="auto"/>
              </w:rPr>
            </w:pPr>
          </w:p>
        </w:tc>
      </w:tr>
      <w:tr>
        <w:trPr>
          <w:trHeight w:val="432"/>
        </w:trPr>
        <w:tc>
          <w:tcPr>
            <w:tcW w:w="7460" w:type="dxa"/>
            <w:vAlign w:val="bottom"/>
            <w:gridSpan w:val="2"/>
          </w:tcPr>
          <w:p>
            <w:pPr>
              <w:ind w:left="460"/>
              <w:spacing w:after="0"/>
              <w:rPr>
                <w:sz w:val="20"/>
                <w:szCs w:val="20"/>
                <w:color w:val="auto"/>
              </w:rPr>
            </w:pPr>
            <w:r>
              <w:rPr>
                <w:rFonts w:ascii="Arial" w:cs="Arial" w:eastAsia="Arial" w:hAnsi="Arial"/>
                <w:sz w:val="18"/>
                <w:szCs w:val="18"/>
                <w:color w:val="auto"/>
                <w:w w:val="96"/>
              </w:rPr>
              <w:t>We and the underwriters named below have entered into an underwriting agreement, dated</w:t>
            </w:r>
          </w:p>
        </w:tc>
        <w:tc>
          <w:tcPr>
            <w:tcW w:w="3880" w:type="dxa"/>
            <w:vAlign w:val="bottom"/>
          </w:tcPr>
          <w:p>
            <w:pPr>
              <w:ind w:left="460"/>
              <w:spacing w:after="0"/>
              <w:rPr>
                <w:sz w:val="20"/>
                <w:szCs w:val="20"/>
                <w:color w:val="auto"/>
              </w:rPr>
            </w:pPr>
            <w:r>
              <w:rPr>
                <w:rFonts w:ascii="Arial" w:cs="Arial" w:eastAsia="Arial" w:hAnsi="Arial"/>
                <w:sz w:val="18"/>
                <w:szCs w:val="18"/>
                <w:color w:val="auto"/>
                <w:w w:val="89"/>
              </w:rPr>
              <w:t>, 2016, with respect to the shares being offered.</w:t>
            </w:r>
          </w:p>
        </w:tc>
      </w:tr>
    </w:tbl>
    <w:p>
      <w:pPr>
        <w:ind w:right="2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certain conditions, each underwriter has severally agreed to purchase the number of shares indicated in the following table. Credit Suisse Securities (USA) LLC and Stifel, Nicolaus &amp; Company, Incorporated, are the representatives of the underwriters.</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1560" w:type="dxa"/>
            <w:vAlign w:val="bottom"/>
          </w:tcPr>
          <w:p>
            <w:pPr>
              <w:ind w:left="200"/>
              <w:spacing w:after="0"/>
              <w:rPr>
                <w:sz w:val="20"/>
                <w:szCs w:val="20"/>
                <w:color w:val="auto"/>
              </w:rPr>
            </w:pPr>
            <w:r>
              <w:rPr>
                <w:rFonts w:ascii="Arial" w:cs="Arial" w:eastAsia="Arial" w:hAnsi="Arial"/>
                <w:sz w:val="14"/>
                <w:szCs w:val="14"/>
                <w:b w:val="1"/>
                <w:bCs w:val="1"/>
                <w:color w:val="auto"/>
              </w:rPr>
              <w:t>Number of Shares</w:t>
            </w:r>
          </w:p>
        </w:tc>
      </w:tr>
      <w:tr>
        <w:trPr>
          <w:trHeight w:val="20"/>
        </w:trPr>
        <w:tc>
          <w:tcPr>
            <w:tcW w:w="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5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1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15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15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that option is exercised. If an underwriter fails or refuses to purchase any of its committed shares, the purchase commitments of the non-defaulting underwriters may be increased or the offering may be terminated.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have an option to buy up to an additional 750,000 shares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 and the underwriters will offer the additional shares on the same terms as those on which the shares are being offered.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propose to offer the shares of our common stock directly to the public at the initial public offering price set forth on the cover of this</w:t>
      </w:r>
    </w:p>
    <w:p>
      <w:pPr>
        <w:spacing w:after="0" w:line="46"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prospectus and to certain dealers at such offering price less a concession not in excess of $ per share. After the initial public offering of the shares, the offering price and the selling concession may be changed by the underwriters.</w:t>
      </w:r>
    </w:p>
    <w:p>
      <w:pPr>
        <w:spacing w:after="0" w:line="184"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by us to the underwriters assuming both no exercise and full exercise of the underwriters’ option to purchase additional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3540" w:type="dxa"/>
            <w:vAlign w:val="bottom"/>
            <w:gridSpan w:val="2"/>
          </w:tcPr>
          <w:p>
            <w:pPr>
              <w:ind w:left="2800"/>
              <w:spacing w:after="0"/>
              <w:rPr>
                <w:sz w:val="20"/>
                <w:szCs w:val="20"/>
                <w:color w:val="auto"/>
              </w:rPr>
            </w:pPr>
            <w:r>
              <w:rPr>
                <w:rFonts w:ascii="Arial" w:cs="Arial" w:eastAsia="Arial" w:hAnsi="Arial"/>
                <w:sz w:val="14"/>
                <w:szCs w:val="14"/>
                <w:b w:val="1"/>
                <w:bCs w:val="1"/>
                <w:color w:val="auto"/>
                <w:w w:val="89"/>
              </w:rPr>
              <w:t>No Exercise</w:t>
            </w:r>
          </w:p>
        </w:tc>
        <w:tc>
          <w:tcPr>
            <w:tcW w:w="1660" w:type="dxa"/>
            <w:vAlign w:val="bottom"/>
            <w:gridSpan w:val="3"/>
          </w:tcPr>
          <w:p>
            <w:pPr>
              <w:ind w:left="740"/>
              <w:spacing w:after="0"/>
              <w:rPr>
                <w:sz w:val="20"/>
                <w:szCs w:val="20"/>
                <w:color w:val="auto"/>
              </w:rPr>
            </w:pPr>
            <w:r>
              <w:rPr>
                <w:rFonts w:ascii="Arial" w:cs="Arial" w:eastAsia="Arial" w:hAnsi="Arial"/>
                <w:sz w:val="14"/>
                <w:szCs w:val="14"/>
                <w:b w:val="1"/>
                <w:bCs w:val="1"/>
                <w:color w:val="auto"/>
              </w:rPr>
              <w:t>Full Exercise</w:t>
            </w:r>
          </w:p>
        </w:tc>
      </w:tr>
      <w:tr>
        <w:trPr>
          <w:trHeight w:val="210"/>
        </w:trPr>
        <w:tc>
          <w:tcPr>
            <w:tcW w:w="3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28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Total</w:t>
            </w:r>
          </w:p>
        </w:tc>
        <w:tc>
          <w:tcPr>
            <w:tcW w:w="354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64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total expenses of the offering, including registration, filing and listing fees, printing fees and legal and accounting expenses, but</w:t>
      </w:r>
    </w:p>
    <w:p>
      <w:pPr>
        <w:spacing w:after="0" w:line="46"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excluding underwriting discounts and commissions, will be approximately $ , all of which will be paid by us. We have agreed to reimburse the underwriters for certain of their expenses incurred in connection with the clearance of this offering with the Financial Industry Regulatory Authority, Inc., in an amount up to $35,000. If after the initial closing of this offering, but before the underwriters have exercised their option to purchase additional shares, we terminate the underwriting agreement, or if we are unable to perform on our obligations under the underwriting agreement and the underwriters terminate the agreement, we have agreed to reimburse the underwriters for certain expenses incurred in connection with this offering in an amount up to $50,000.</w:t>
      </w:r>
    </w:p>
    <w:p>
      <w:pPr>
        <w:spacing w:after="0" w:line="16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and our officers and directors and the holders of substantially all of our capital stock and options have agreed with the underwriters that, for a period of 180 days after the date of this prospectus, subject to certain exceptions, we and they will not (1) offer, sell, pledge, contract to sell, sell any option or contract to purchase,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00"/>
          </w:cols>
          <w:pgMar w:left="240" w:top="446" w:right="2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 with the SEC of a registration statement under the Securities Act to register, any shares of our common stock or any securities convertible into or exercisable or exchangeable for our common stock or warrants or other rights to 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 and Stifel, Nicolaus &amp; Company, Incorporated; provided that Credit Suisse Securities (USA) LLC and Stifel, Nicolaus &amp; Company, Incorporated, on behalf of the underwriters, have agreed to notify us at least three business days before the effective date of any release or waiver granted to one of our officers or directors, and we have agreed to announce the impending release or waiver by issuing a press release through a major news service at least two business days before the effective date of the release or waiver.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above do not apply to the following, subject to certain limitations set forth in the lock-up agreements:</w:t>
      </w:r>
    </w:p>
    <w:p>
      <w:pPr>
        <w:spacing w:after="0" w:line="131" w:lineRule="exact"/>
        <w:rPr>
          <w:sz w:val="20"/>
          <w:szCs w:val="20"/>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conversion of outstanding shares of preferred stock into shares of common stock; or</w:t>
      </w:r>
    </w:p>
    <w:p>
      <w:pPr>
        <w:spacing w:after="0" w:line="130" w:lineRule="exact"/>
        <w:rPr>
          <w:rFonts w:ascii="Arial" w:cs="Arial" w:eastAsia="Arial" w:hAnsi="Arial"/>
          <w:sz w:val="18"/>
          <w:szCs w:val="18"/>
          <w:color w:val="auto"/>
        </w:rPr>
      </w:pPr>
    </w:p>
    <w:p>
      <w:pPr>
        <w:ind w:left="900" w:right="420" w:hanging="325"/>
        <w:spacing w:after="0" w:line="264"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“Shares Eligible for Future Sale” for a discussion of certain transfer restrictions.</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Prior to the offering, there has been no public market for our common stock. The initial public offering price will be negotiated among us and the representatives. Among the factors to be considered in determining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60" w:right="2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Our common stock has been approved for listing on the NASDAQ Global Select Market under the symbol “ANAB.” In connection with the offering, the underwriters may purchase and sell shares of our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closing of the offering.</w:t>
      </w:r>
    </w:p>
    <w:p>
      <w:pPr>
        <w:spacing w:after="0" w:line="188"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the common stock. As a result, the price of our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 counter market or otherwise.</w:t>
      </w:r>
    </w:p>
    <w:p>
      <w:pPr>
        <w:spacing w:after="0" w:line="17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this offering, the underwriters may engage in passive market making transactions in the common stock on the NASDAQ Global Select Market in accordance with Rule 103 of Regulation M under the Exchange Act during a period before the commencement of offers or sales of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common stock to be higher than the price that otherwise would exist in the open market in the absence of those transactions. The underwriters are not required to engage in passive market making and may end passive market making activities at any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25"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and to contribute to payments that the underwriters may be required to make for these liabilities.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380"/>
          </w:cols>
          <w:pgMar w:left="240" w:top="459" w:right="2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our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 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8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 Restrictions Outside the United States</w:t>
      </w:r>
    </w:p>
    <w:p>
      <w:pPr>
        <w:spacing w:after="0" w:line="12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1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In relation to each Member State of the European Economic Area (each, a “Relevant Member State”), no offer of the securities offered by this prospectus may be made to the public in that Relevant Member State other than:</w:t>
      </w:r>
    </w:p>
    <w:p>
      <w:pPr>
        <w:spacing w:after="0" w:line="76" w:lineRule="exact"/>
        <w:rPr>
          <w:sz w:val="20"/>
          <w:szCs w:val="20"/>
          <w:color w:val="auto"/>
        </w:rPr>
      </w:pPr>
    </w:p>
    <w:p>
      <w:pPr>
        <w:ind w:left="900" w:hanging="325"/>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or</w:t>
      </w:r>
    </w:p>
    <w:p>
      <w:pPr>
        <w:spacing w:after="0" w:line="86" w:lineRule="exact"/>
        <w:rPr>
          <w:rFonts w:ascii="Arial" w:cs="Arial" w:eastAsia="Arial" w:hAnsi="Arial"/>
          <w:sz w:val="18"/>
          <w:szCs w:val="18"/>
          <w:color w:val="auto"/>
        </w:rPr>
      </w:pPr>
    </w:p>
    <w:p>
      <w:pPr>
        <w:jc w:val="both"/>
        <w:ind w:left="900" w:right="40" w:hanging="325"/>
        <w:spacing w:after="0" w:line="264"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the representatives to publish a prospectus pursuant to Article 3 of the Prospectus Directive or supplement a prospectus pursuant to Article 16 of the Prospectus Directive.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40"/>
          </w:cols>
          <w:pgMar w:left="240" w:top="459" w:right="3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person in a Relevant Member State who initially acquires any of the securities or to whom any offer is made will be deemed to have represented, acknowledged and agreed that it is a “qualified investor” within the meaning of the law in that Relevant Member State implementing Article 2(1)(e) of the Prospectus Directive. In the case of any of the securities being offered to a financial intermediary as that term is used in Article 3(2) of the Prospectus Directive,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Member State to qualified investors as so defined or in circumstances in which the prior consent of the representatives has been obtained to each such proposed offer or resale.</w:t>
      </w:r>
    </w:p>
    <w:p>
      <w:pPr>
        <w:spacing w:after="0" w:line="178"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We and the representatives and their affiliates will rely upon the truth and accuracy of the foregoing representations, acknowledgements and agreements.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prospectus has been prepared on the basis that any offer of securities in any Relevant Member State will be made pursuant to an exemption under the Prospectus Directive from the requirement to publish a prospectus for offers of securities. Accordingly any person making or intending to make an offer in that Relevant Member State of securities which are the subject of the offering contemplated in this prospectus may only do so in circumstances in which no obligation arises for us or any of the underwriters to publish a prospectus pursuant to Article 3 of the Prospectus Directive in relation to such offer. Neither we nor the underwriters have authorized, nor do they authorize, the making of any offer of securities in circumstances in which an obligation arises for us or the underwriters to publish a prospectus for such offer.</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purpose of the above provisions, the expression “an offer to the public” in relation to any securities in any Relevant Member State means the communication in any form and by any means of sufficient information on the terms of the offer and the securities to be offered so as to enable an investor to decide to purchase or subscribe the securities,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w:t>
      </w:r>
    </w:p>
    <w:p>
      <w:pPr>
        <w:spacing w:after="0" w:line="76" w:lineRule="exact"/>
        <w:rPr>
          <w:sz w:val="20"/>
          <w:szCs w:val="20"/>
          <w:color w:val="auto"/>
        </w:rPr>
      </w:pPr>
    </w:p>
    <w:p>
      <w:pPr>
        <w:ind w:left="900" w:right="10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who have professional experience in matters relating to investments falling within Article 19 (5) of the Financial Services and Markets Act 2000 (Financial Promotion) Order 2005, as amended, or the Order; and/or</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who are high net worth companies (or persons to whom it may otherwise be lawfully communicated) falling within Article 49(2)(a) to (d) of the Order (all such persons together being referred to as relevant persons).</w:t>
      </w:r>
    </w:p>
    <w:p>
      <w:pPr>
        <w:spacing w:after="0" w:line="17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Any person in the United Kingdom that is not a relevant person should not act or rely on this document or any of its contents.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The common stock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xml:space="preserve">. Any resale of the common stock must be made in accordance with an exemption from,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Pursuant to section 3A.3 of National Instrument 33-105 </w:t>
      </w:r>
      <w:r>
        <w:rPr>
          <w:rFonts w:ascii="Arial" w:cs="Arial" w:eastAsia="Arial" w:hAnsi="Arial"/>
          <w:sz w:val="17"/>
          <w:szCs w:val="17"/>
          <w:i w:val="1"/>
          <w:iCs w:val="1"/>
          <w:color w:val="auto"/>
        </w:rPr>
        <w:t xml:space="preserve">Underwriting Conflicts </w:t>
      </w:r>
      <w:r>
        <w:rPr>
          <w:rFonts w:ascii="Arial" w:cs="Arial" w:eastAsia="Arial" w:hAnsi="Arial"/>
          <w:sz w:val="17"/>
          <w:szCs w:val="17"/>
          <w:color w:val="auto"/>
        </w:rPr>
        <w:t>(NI 33-105), the underwriters are not required to comply with the disclosure requirements of NI 33-105 regarding underwriter</w:t>
      </w:r>
      <w:r>
        <w:rPr>
          <w:rFonts w:ascii="Arial" w:cs="Arial" w:eastAsia="Arial" w:hAnsi="Arial"/>
          <w:sz w:val="17"/>
          <w:szCs w:val="17"/>
          <w:i w:val="1"/>
          <w:iCs w:val="1"/>
          <w:color w:val="auto"/>
        </w:rPr>
        <w:t xml:space="preserve"> </w:t>
      </w:r>
      <w:r>
        <w:rPr>
          <w:rFonts w:ascii="Arial" w:cs="Arial" w:eastAsia="Arial" w:hAnsi="Arial"/>
          <w:sz w:val="17"/>
          <w:szCs w:val="17"/>
          <w:color w:val="auto"/>
        </w:rPr>
        <w:t>conflicts of interest in connection with this offering.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securities offered by this prospectus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117"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6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In relation to its use in the Dubai International Financial Centre, or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does not constitute a disclosure document under Chapter 6D.2 of the Corporations Act 2001 (Cth), or the Corporations Act;</w:t>
      </w:r>
    </w:p>
    <w:p>
      <w:pPr>
        <w:spacing w:after="0" w:line="130" w:lineRule="exact"/>
        <w:rPr>
          <w:rFonts w:ascii="Arial" w:cs="Arial" w:eastAsia="Arial" w:hAnsi="Arial"/>
          <w:sz w:val="18"/>
          <w:szCs w:val="18"/>
          <w:color w:val="auto"/>
        </w:rPr>
      </w:pPr>
    </w:p>
    <w:p>
      <w:pPr>
        <w:ind w:left="900" w:right="260" w:hanging="325"/>
        <w:spacing w:after="0" w:line="264"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 and</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securities offered by this prospectus may not be directly or indirectly offered for subscription or purchased or sold, and no invitations to subscribe for or buy the securities may be issued, and no draft or definitive offering memorandum, advertisement or other offering material relating to any securities may be distributed in Australia, except where disclosure to investors is not required under Chapter 6D of the Corporations Act or is otherwise in compliance with all applicable Australian laws and regulations. By submitting an application for the securities, you represent and warrant to us that you are an Exempt Investor.</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As any offer of securities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securities you undertake to us that you will not, for a period of 12 months from the date of issue of the securities,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securities offered by this prospectus have not been and will not be registered under the Financial Instruments and Exchange Act. Accordingly, the securities may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securities offered by this prospectus have not been offered or sold and will not be offered or sold in Hong Kong, by means of any document, other than (a) to “professional investors” as defined in the Securities and Futures Ordinance (Cap. 571) of Hong Kong and any rules made under that Ordinance; or</w:t>
      </w:r>
    </w:p>
    <w:p>
      <w:pPr>
        <w:ind w:right="40" w:firstLine="8"/>
        <w:spacing w:after="0" w:line="270" w:lineRule="auto"/>
        <w:tabs>
          <w:tab w:leader="none" w:pos="255"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securities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Warning</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contents of this document have not been reviewed by any regulatory authority in Hong Kong. You are advised to exercise caution in relation to the offer. If you are in any doubt about any of the contents of this document, you should obtain independent professional advice.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the SFA;</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90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480" w:right="80" w:hanging="446"/>
        <w:spacing w:after="0" w:line="277" w:lineRule="auto"/>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680" w:hanging="446"/>
        <w:spacing w:after="0" w:line="277" w:lineRule="auto"/>
        <w:tabs>
          <w:tab w:leader="none" w:pos="148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17"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60" w:firstLine="8"/>
        <w:spacing w:after="0" w:line="261" w:lineRule="auto"/>
        <w:tabs>
          <w:tab w:leader="none" w:pos="25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1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Malaysia</w:t>
      </w:r>
    </w:p>
    <w:p>
      <w:pPr>
        <w:spacing w:after="0" w:line="117"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No prospectus or other offering material or document in connection with the offer and sale of the Securities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securities,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w:t>
      </w:r>
    </w:p>
    <w:p>
      <w:pPr>
        <w:spacing w:after="0" w:line="3" w:lineRule="exact"/>
        <w:rPr>
          <w:sz w:val="20"/>
          <w:szCs w:val="20"/>
          <w:color w:val="auto"/>
        </w:rPr>
      </w:pPr>
    </w:p>
    <w:p>
      <w:pPr>
        <w:jc w:val="both"/>
        <w:ind w:right="20" w:firstLine="8"/>
        <w:spacing w:after="0" w:line="253" w:lineRule="auto"/>
        <w:tabs>
          <w:tab w:leader="none" w:pos="30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other person as may be specified by the Commission; provided that, in the each of the preceding categories (i) to (xi), the distribution of the securities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Due to restrictions under the securities laws of South Africa, the securities are not offered, and the Offer shall not be transferred, sold, renounced or delivered, in South Africa or to a person with an address in South Africa, unless one or other of the following exemptions applies:</w:t>
      </w:r>
    </w:p>
    <w:p>
      <w:pPr>
        <w:spacing w:after="0" w:line="52" w:lineRule="exact"/>
        <w:rPr>
          <w:sz w:val="20"/>
          <w:szCs w:val="20"/>
          <w:color w:val="auto"/>
        </w:rPr>
      </w:pPr>
    </w:p>
    <w:p>
      <w:pPr>
        <w:ind w:left="900" w:right="280" w:hanging="325"/>
        <w:spacing w:after="0" w:line="25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authorised services provider or financial institution, acting as agent in the capacity of an authorised portfolio manager for a pension fund (duly registered in South Africa), or as manager for a collective investment scheme (registered in South Africa); or</w:t>
      </w:r>
    </w:p>
    <w:p>
      <w:pPr>
        <w:spacing w:after="0" w:line="93" w:lineRule="exact"/>
        <w:rPr>
          <w:rFonts w:ascii="Arial" w:cs="Arial" w:eastAsia="Arial" w:hAnsi="Arial"/>
          <w:sz w:val="18"/>
          <w:szCs w:val="18"/>
          <w:color w:val="auto"/>
        </w:rPr>
      </w:pPr>
    </w:p>
    <w:p>
      <w:pPr>
        <w:ind w:left="900" w:hanging="325"/>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This document does not, nor is it intended to, constitute an “offer to the public” (as that term is defined in the South African Companies Act, 2008, or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 South African resident person or company or any non-South African company which is a subsidiary of a South African company is not permitted to acquire the securities unless such person has obtained exchange control approval to do so.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financial statements of AnaptysBio, Inc. as of December 31, 2014 and 2015, and for each of the years in the two-year period ended December 31, 2015, have been included herein and in the registration statement in reliance upon the report of KPMG LLP, an independent registered public accounting firm, appearing elsewhere herein, and upon the authority of said firm as experts in accounting and auditing.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 Upon the closing of our initial public offering, we will be required to file periodic reports, proxy statements and other information with the SEC pursuant to the Exchange Act.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AnaptysBio, Inc. Audited Consolidated Financial Statements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1020" w:type="dxa"/>
            <w:vAlign w:val="bottom"/>
            <w:gridSpan w:val="7"/>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1020" w:type="dxa"/>
            <w:vAlign w:val="bottom"/>
            <w:gridSpan w:val="7"/>
          </w:tcPr>
          <w:p>
            <w:pPr>
              <w:spacing w:after="0" w:line="190" w:lineRule="exact"/>
              <w:rPr>
                <w:rFonts w:ascii="Arial" w:cs="Arial" w:eastAsia="Arial" w:hAnsi="Arial"/>
                <w:sz w:val="18"/>
                <w:szCs w:val="18"/>
                <w:color w:val="0000EE"/>
              </w:rPr>
            </w:pPr>
            <w:hyperlink w:anchor="page167">
              <w:r>
                <w:rPr>
                  <w:rFonts w:ascii="Arial" w:cs="Arial" w:eastAsia="Arial" w:hAnsi="Arial"/>
                  <w:sz w:val="18"/>
                  <w:szCs w:val="18"/>
                  <w:color w:val="0000EE"/>
                </w:rPr>
                <w:t>Report of Independent Registered Public Accounting Firm</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68">
              <w:r>
                <w:rPr>
                  <w:rFonts w:ascii="Arial" w:cs="Arial" w:eastAsia="Arial" w:hAnsi="Arial"/>
                  <w:sz w:val="18"/>
                  <w:szCs w:val="18"/>
                  <w:color w:val="0000EE"/>
                  <w:w w:val="88"/>
                </w:rPr>
                <w:t>Consolidated Balance Sheets as of December 31, 2014 and 2015</w:t>
              </w:r>
            </w:hyperlink>
          </w:p>
        </w:tc>
        <w:tc>
          <w:tcPr>
            <w:tcW w:w="636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6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69">
              <w:r>
                <w:rPr>
                  <w:rFonts w:ascii="Arial" w:cs="Arial" w:eastAsia="Arial" w:hAnsi="Arial"/>
                  <w:sz w:val="18"/>
                  <w:szCs w:val="18"/>
                  <w:color w:val="0000EE"/>
                  <w:w w:val="89"/>
                </w:rPr>
                <w:t>Consolidated Statements of Operations for the Years ended December 31, 2014 and 2015</w:t>
              </w:r>
            </w:hyperlink>
          </w:p>
        </w:tc>
        <w:tc>
          <w:tcPr>
            <w:tcW w:w="458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956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70">
              <w:r>
                <w:rPr>
                  <w:rFonts w:ascii="Arial" w:cs="Arial" w:eastAsia="Arial" w:hAnsi="Arial"/>
                  <w:sz w:val="18"/>
                  <w:szCs w:val="18"/>
                  <w:color w:val="0000EE"/>
                  <w:w w:val="90"/>
                </w:rPr>
                <w:t>Consolidated Statements of Convertible Preferred Stock and Stockholders’ Deficit for the Years ended December 31, 2014 and 2015</w:t>
              </w:r>
            </w:hyperlink>
          </w:p>
        </w:tc>
        <w:tc>
          <w:tcPr>
            <w:tcW w:w="14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196"/>
        </w:trPr>
        <w:tc>
          <w:tcPr>
            <w:tcW w:w="11020" w:type="dxa"/>
            <w:vAlign w:val="bottom"/>
            <w:gridSpan w:val="7"/>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Consolidated Statements of Cash Flows for the Years ended December 31, 2014 and 2015</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64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Notes to Consolidated Financial Statements</w:t>
              </w:r>
            </w:hyperlink>
          </w:p>
        </w:tc>
        <w:tc>
          <w:tcPr>
            <w:tcW w:w="45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85"/>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360" w:type="dxa"/>
            <w:vAlign w:val="bottom"/>
            <w:gridSpan w:val="4"/>
          </w:tcPr>
          <w:p>
            <w:pPr>
              <w:ind w:left="92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AnaptysBio, Inc. and subsidiary as of December 31, 2014 and 2015, and the related consolidated statements of operations, convertible preferred stock and stockholders’ deficit, and cash flows for each of the years in the two-year period ended December 31, 2015.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AnaptysBio, Inc. and subsidiary as of December 31, 2014 and 2015, and the results of their operations and their cash flows for each of the years in the two-year period ended December 31, 2015, in conformity with U.S. generally accepted accounting principles.</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2016</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9540" w:type="dxa"/>
            <w:vAlign w:val="bottom"/>
            <w:shd w:val="clear" w:color="auto" w:fill="CCEEFF"/>
          </w:tcPr>
          <w:p>
            <w:pPr>
              <w:jc w:val="center"/>
              <w:ind w:right="230"/>
              <w:spacing w:after="0" w:line="196" w:lineRule="exact"/>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22,188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51,684</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Receivable from collaborative partner</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1,455</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r>
      <w:tr>
        <w:trPr>
          <w:trHeight w:val="223"/>
        </w:trPr>
        <w:tc>
          <w:tcPr>
            <w:tcW w:w="95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24,401</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53,464</w:t>
            </w:r>
          </w:p>
        </w:tc>
        <w:tc>
          <w:tcPr>
            <w:tcW w:w="10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w:t>
            </w:r>
          </w:p>
        </w:tc>
      </w:tr>
      <w:tr>
        <w:trPr>
          <w:trHeight w:val="223"/>
        </w:trPr>
        <w:tc>
          <w:tcPr>
            <w:tcW w:w="95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25,065</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56,280</w:t>
            </w:r>
          </w:p>
        </w:tc>
        <w:tc>
          <w:tcPr>
            <w:tcW w:w="100" w:type="dxa"/>
            <w:vAlign w:val="bottom"/>
          </w:tcPr>
          <w:p>
            <w:pPr>
              <w:spacing w:after="0"/>
              <w:rPr>
                <w:sz w:val="19"/>
                <w:szCs w:val="19"/>
                <w:color w:val="auto"/>
              </w:rPr>
            </w:pPr>
          </w:p>
        </w:tc>
      </w:tr>
      <w:tr>
        <w:trPr>
          <w:trHeight w:val="20"/>
        </w:trPr>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9540" w:type="dxa"/>
            <w:vAlign w:val="bottom"/>
            <w:shd w:val="clear" w:color="auto" w:fill="CCEEFF"/>
          </w:tcPr>
          <w:p>
            <w:pPr>
              <w:jc w:val="center"/>
              <w:ind w:right="230"/>
              <w:spacing w:after="0" w:line="192" w:lineRule="exact"/>
              <w:rPr>
                <w:sz w:val="20"/>
                <w:szCs w:val="20"/>
                <w:color w:val="auto"/>
              </w:rPr>
            </w:pPr>
            <w:r>
              <w:rPr>
                <w:rFonts w:ascii="Arial" w:cs="Arial" w:eastAsia="Arial" w:hAnsi="Arial"/>
                <w:sz w:val="18"/>
                <w:szCs w:val="18"/>
                <w:b w:val="1"/>
                <w:bCs w:val="1"/>
                <w:color w:val="auto"/>
              </w:rPr>
              <w:t>LIABILITIES, CONVERTIBLE PREFERRED STOCK AND</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48"/>
        </w:trPr>
        <w:tc>
          <w:tcPr>
            <w:tcW w:w="9540" w:type="dxa"/>
            <w:vAlign w:val="bottom"/>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1,521</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2,753</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10,085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23"/>
        </w:trPr>
        <w:tc>
          <w:tcPr>
            <w:tcW w:w="95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11,681</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7,376</w:t>
            </w:r>
          </w:p>
        </w:tc>
        <w:tc>
          <w:tcPr>
            <w:tcW w:w="100" w:type="dxa"/>
            <w:vAlign w:val="bottom"/>
          </w:tcPr>
          <w:p>
            <w:pPr>
              <w:spacing w:after="0"/>
              <w:rPr>
                <w:sz w:val="19"/>
                <w:szCs w:val="19"/>
                <w:color w:val="auto"/>
              </w:rPr>
            </w:pP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4,793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4,903</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569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540" w:type="dxa"/>
            <w:vAlign w:val="bottom"/>
          </w:tcPr>
          <w:p>
            <w:pPr>
              <w:spacing w:after="0" w:line="201" w:lineRule="exact"/>
              <w:rPr>
                <w:sz w:val="20"/>
                <w:szCs w:val="20"/>
                <w:color w:val="auto"/>
              </w:rPr>
            </w:pPr>
            <w:r>
              <w:rPr>
                <w:rFonts w:ascii="Arial" w:cs="Arial" w:eastAsia="Arial" w:hAnsi="Arial"/>
                <w:sz w:val="18"/>
                <w:szCs w:val="18"/>
                <w:color w:val="auto"/>
                <w:w w:val="93"/>
              </w:rPr>
              <w:t>Series B convertible preferred stock, $0.001 par value, 27,743 shares authorized, issued and outstanding at December 31, 2014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40" w:type="dxa"/>
            <w:vAlign w:val="bottom"/>
          </w:tcPr>
          <w:p>
            <w:pPr>
              <w:ind w:left="180"/>
              <w:spacing w:after="0"/>
              <w:rPr>
                <w:sz w:val="20"/>
                <w:szCs w:val="20"/>
                <w:color w:val="auto"/>
              </w:rPr>
            </w:pPr>
            <w:r>
              <w:rPr>
                <w:rFonts w:ascii="Arial" w:cs="Arial" w:eastAsia="Arial" w:hAnsi="Arial"/>
                <w:sz w:val="18"/>
                <w:szCs w:val="18"/>
                <w:color w:val="auto"/>
              </w:rPr>
              <w:t>and 2015; aggregate liquidation preference at December 31, 2015 of $24,991</w:t>
            </w: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28,220</w:t>
            </w: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28,220</w:t>
            </w:r>
          </w:p>
        </w:tc>
      </w:tr>
      <w:tr>
        <w:trPr>
          <w:trHeight w:val="202"/>
        </w:trPr>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C convertible preferred stock, $0.001 par value, 13,211 shares authorized, 11,147 shares issued and outstanding at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2014 and 2015; aggregate liquidation preference at December 31, 2015 of $7,246</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6,452</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r>
      <w:tr>
        <w:trPr>
          <w:trHeight w:val="202"/>
        </w:trPr>
        <w:tc>
          <w:tcPr>
            <w:tcW w:w="9540" w:type="dxa"/>
            <w:vAlign w:val="bottom"/>
          </w:tcPr>
          <w:p>
            <w:pPr>
              <w:spacing w:after="0" w:line="201" w:lineRule="exact"/>
              <w:rPr>
                <w:sz w:val="20"/>
                <w:szCs w:val="20"/>
                <w:color w:val="auto"/>
              </w:rPr>
            </w:pPr>
            <w:r>
              <w:rPr>
                <w:rFonts w:ascii="Arial" w:cs="Arial" w:eastAsia="Arial" w:hAnsi="Arial"/>
                <w:sz w:val="18"/>
                <w:szCs w:val="18"/>
                <w:color w:val="auto"/>
                <w:w w:val="92"/>
              </w:rPr>
              <w:t>Series C-1 convertible preferred stock, $0.001 par value, 3,318 shares authorized, issued and outstanding at December 31, 2014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540" w:type="dxa"/>
            <w:vAlign w:val="bottom"/>
          </w:tcPr>
          <w:p>
            <w:pPr>
              <w:ind w:left="180"/>
              <w:spacing w:after="0"/>
              <w:rPr>
                <w:sz w:val="20"/>
                <w:szCs w:val="20"/>
                <w:color w:val="auto"/>
              </w:rPr>
            </w:pPr>
            <w:r>
              <w:rPr>
                <w:rFonts w:ascii="Arial" w:cs="Arial" w:eastAsia="Arial" w:hAnsi="Arial"/>
                <w:sz w:val="18"/>
                <w:szCs w:val="18"/>
                <w:color w:val="auto"/>
              </w:rPr>
              <w:t>and 2015, respectively; aggregate liquidation preference at December 31, 2015 of $6,470</w:t>
            </w: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2,156</w:t>
            </w:r>
          </w:p>
        </w:tc>
        <w:tc>
          <w:tcPr>
            <w:tcW w:w="8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r>
      <w:tr>
        <w:trPr>
          <w:trHeight w:val="202"/>
        </w:trPr>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Series D convertible preferred stock, $0.001 par value, 38,437 shares authorized, no shares and 38,437 shares issued and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2014 and 2015, respectively; aggregate liquidation preference at December 31, 2015 of</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$40,767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40,688</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Stockholders’ deficit: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$0.001 par value, 120,500 shares authorized, 17,368 shares and 18,407 shares issued and outstanding at</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2014 and 2015, respectively</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954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14,407</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15,467</w:t>
            </w:r>
          </w:p>
        </w:tc>
      </w:tr>
      <w:tr>
        <w:trPr>
          <w:trHeight w:val="216"/>
        </w:trPr>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(45,259)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(50,664)</w:t>
            </w:r>
          </w:p>
        </w:tc>
      </w:tr>
      <w:tr>
        <w:trPr>
          <w:trHeight w:val="230"/>
        </w:trPr>
        <w:tc>
          <w:tcPr>
            <w:tcW w:w="954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(30,835)</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(35,179)</w:t>
            </w:r>
          </w:p>
        </w:tc>
        <w:tc>
          <w:tcPr>
            <w:tcW w:w="100" w:type="dxa"/>
            <w:vAlign w:val="bottom"/>
          </w:tcPr>
          <w:p>
            <w:pPr>
              <w:spacing w:after="0"/>
              <w:rPr>
                <w:sz w:val="20"/>
                <w:szCs w:val="20"/>
                <w:color w:val="auto"/>
              </w:rPr>
            </w:pPr>
          </w:p>
        </w:tc>
      </w:tr>
      <w:tr>
        <w:trPr>
          <w:trHeight w:val="216"/>
        </w:trPr>
        <w:tc>
          <w:tcPr>
            <w:tcW w:w="9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25,065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56,280</w:t>
            </w:r>
          </w:p>
        </w:tc>
      </w:tr>
      <w:tr>
        <w:trPr>
          <w:trHeight w:val="20"/>
        </w:trPr>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Year Ended</w:t>
      </w:r>
    </w:p>
    <w:p>
      <w:pPr>
        <w:jc w:val="center"/>
        <w:ind w:left="97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7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10,968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106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related parties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(1,270)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8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340"/>
              <w:spacing w:after="0"/>
              <w:rPr>
                <w:sz w:val="20"/>
                <w:szCs w:val="20"/>
                <w:color w:val="auto"/>
              </w:rPr>
            </w:pPr>
            <w:r>
              <w:rPr>
                <w:rFonts w:ascii="Arial" w:cs="Arial" w:eastAsia="Arial" w:hAnsi="Arial"/>
                <w:sz w:val="18"/>
                <w:szCs w:val="18"/>
                <w:color w:val="auto"/>
              </w:rPr>
              <w:t>Net income attributed to participating securities</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(3,300)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 attributed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(5,405)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17,368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17,857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340"/>
              <w:spacing w:after="0"/>
              <w:rPr>
                <w:sz w:val="20"/>
                <w:szCs w:val="20"/>
                <w:color w:val="auto"/>
              </w:rPr>
            </w:pPr>
            <w:r>
              <w:rPr>
                <w:rFonts w:ascii="Arial" w:cs="Arial" w:eastAsia="Arial" w:hAnsi="Arial"/>
                <w:sz w:val="18"/>
                <w:szCs w:val="18"/>
                <w:color w:val="auto"/>
              </w:rPr>
              <w:t>Pro forma net loss per common share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vMerge w:val="restart"/>
          </w:tcPr>
          <w:p>
            <w:pPr>
              <w:ind w:left="340"/>
              <w:spacing w:after="0"/>
              <w:rPr>
                <w:sz w:val="20"/>
                <w:szCs w:val="20"/>
                <w:color w:val="auto"/>
              </w:rPr>
            </w:pPr>
            <w:r>
              <w:rPr>
                <w:rFonts w:ascii="Arial" w:cs="Arial" w:eastAsia="Arial" w:hAnsi="Arial"/>
                <w:sz w:val="18"/>
                <w:szCs w:val="18"/>
                <w:color w:val="auto"/>
              </w:rPr>
              <w:t>Pro forma weighted-average number of shares outstanding (unaudited):</w:t>
            </w: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77,926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gridSpan w:val="5"/>
          </w:tcPr>
          <w:p>
            <w:pPr>
              <w:ind w:left="400"/>
              <w:spacing w:after="0"/>
              <w:rPr>
                <w:sz w:val="20"/>
                <w:szCs w:val="20"/>
                <w:color w:val="auto"/>
              </w:rPr>
            </w:pPr>
            <w:r>
              <w:rPr>
                <w:rFonts w:ascii="Arial" w:cs="Arial" w:eastAsia="Arial" w:hAnsi="Arial"/>
                <w:sz w:val="14"/>
                <w:szCs w:val="14"/>
                <w:b w:val="1"/>
                <w:bCs w:val="1"/>
                <w:color w:val="auto"/>
              </w:rPr>
              <w:t>Series B</w:t>
            </w: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9"/>
              </w:rPr>
              <w:t>Series C</w:t>
            </w:r>
          </w:p>
        </w:tc>
        <w:tc>
          <w:tcPr>
            <w:tcW w:w="1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0"/>
              </w:rPr>
              <w:t>Series C-1</w:t>
            </w:r>
          </w:p>
        </w:tc>
        <w:tc>
          <w:tcPr>
            <w:tcW w:w="1540" w:type="dxa"/>
            <w:vAlign w:val="bottom"/>
            <w:gridSpan w:val="6"/>
          </w:tcPr>
          <w:p>
            <w:pPr>
              <w:ind w:left="400"/>
              <w:spacing w:after="0"/>
              <w:rPr>
                <w:sz w:val="20"/>
                <w:szCs w:val="20"/>
                <w:color w:val="auto"/>
              </w:rPr>
            </w:pPr>
            <w:r>
              <w:rPr>
                <w:rFonts w:ascii="Arial" w:cs="Arial" w:eastAsia="Arial" w:hAnsi="Arial"/>
                <w:sz w:val="14"/>
                <w:szCs w:val="14"/>
                <w:b w:val="1"/>
                <w:bCs w:val="1"/>
                <w:color w:val="auto"/>
              </w:rPr>
              <w:t>Series D</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480" w:type="dxa"/>
            <w:vAlign w:val="bottom"/>
            <w:gridSpan w:val="5"/>
          </w:tcPr>
          <w:p>
            <w:pPr>
              <w:ind w:left="300"/>
              <w:spacing w:after="0" w:line="138" w:lineRule="exact"/>
              <w:rPr>
                <w:sz w:val="20"/>
                <w:szCs w:val="20"/>
                <w:color w:val="auto"/>
              </w:rPr>
            </w:pPr>
            <w:r>
              <w:rPr>
                <w:rFonts w:ascii="Arial" w:cs="Arial" w:eastAsia="Arial" w:hAnsi="Arial"/>
                <w:sz w:val="14"/>
                <w:szCs w:val="14"/>
                <w:b w:val="1"/>
                <w:bCs w:val="1"/>
                <w:color w:val="auto"/>
              </w:rPr>
              <w:t>Convertible</w:t>
            </w:r>
          </w:p>
        </w:tc>
        <w:tc>
          <w:tcPr>
            <w:tcW w:w="1380" w:type="dxa"/>
            <w:vAlign w:val="bottom"/>
            <w:gridSpan w:val="4"/>
          </w:tcPr>
          <w:p>
            <w:pPr>
              <w:jc w:val="center"/>
              <w:ind w:right="160"/>
              <w:spacing w:after="0" w:line="138" w:lineRule="exact"/>
              <w:rPr>
                <w:sz w:val="20"/>
                <w:szCs w:val="20"/>
                <w:color w:val="auto"/>
              </w:rPr>
            </w:pPr>
            <w:r>
              <w:rPr>
                <w:rFonts w:ascii="Arial" w:cs="Arial" w:eastAsia="Arial" w:hAnsi="Arial"/>
                <w:sz w:val="14"/>
                <w:szCs w:val="14"/>
                <w:b w:val="1"/>
                <w:bCs w:val="1"/>
                <w:color w:val="auto"/>
                <w:w w:val="96"/>
              </w:rPr>
              <w:t>Convertible</w:t>
            </w:r>
          </w:p>
        </w:tc>
        <w:tc>
          <w:tcPr>
            <w:tcW w:w="1300" w:type="dxa"/>
            <w:vAlign w:val="bottom"/>
            <w:gridSpan w:val="6"/>
          </w:tcPr>
          <w:p>
            <w:pPr>
              <w:jc w:val="center"/>
              <w:ind w:right="160"/>
              <w:spacing w:after="0" w:line="138" w:lineRule="exact"/>
              <w:rPr>
                <w:sz w:val="20"/>
                <w:szCs w:val="20"/>
                <w:color w:val="auto"/>
              </w:rPr>
            </w:pPr>
            <w:r>
              <w:rPr>
                <w:rFonts w:ascii="Arial" w:cs="Arial" w:eastAsia="Arial" w:hAnsi="Arial"/>
                <w:sz w:val="14"/>
                <w:szCs w:val="14"/>
                <w:b w:val="1"/>
                <w:bCs w:val="1"/>
                <w:color w:val="auto"/>
                <w:w w:val="96"/>
              </w:rPr>
              <w:t>Convertible</w:t>
            </w:r>
          </w:p>
        </w:tc>
        <w:tc>
          <w:tcPr>
            <w:tcW w:w="1540" w:type="dxa"/>
            <w:vAlign w:val="bottom"/>
            <w:gridSpan w:val="6"/>
          </w:tcPr>
          <w:p>
            <w:pPr>
              <w:ind w:left="300"/>
              <w:spacing w:after="0" w:line="138" w:lineRule="exact"/>
              <w:rPr>
                <w:sz w:val="20"/>
                <w:szCs w:val="20"/>
                <w:color w:val="auto"/>
              </w:rPr>
            </w:pPr>
            <w:r>
              <w:rPr>
                <w:rFonts w:ascii="Arial" w:cs="Arial" w:eastAsia="Arial" w:hAnsi="Arial"/>
                <w:sz w:val="14"/>
                <w:szCs w:val="14"/>
                <w:b w:val="1"/>
                <w:bCs w:val="1"/>
                <w:color w:val="auto"/>
              </w:rPr>
              <w:t>Convertible</w:t>
            </w:r>
          </w:p>
        </w:tc>
        <w:tc>
          <w:tcPr>
            <w:tcW w:w="60" w:type="dxa"/>
            <w:vAlign w:val="bottom"/>
          </w:tcPr>
          <w:p>
            <w:pPr>
              <w:spacing w:after="0"/>
              <w:rPr>
                <w:sz w:val="13"/>
                <w:szCs w:val="13"/>
                <w:color w:val="auto"/>
              </w:rPr>
            </w:pPr>
          </w:p>
        </w:tc>
        <w:tc>
          <w:tcPr>
            <w:tcW w:w="132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3"/>
                <w:szCs w:val="13"/>
                <w:color w:val="auto"/>
              </w:rPr>
            </w:pPr>
          </w:p>
        </w:tc>
        <w:tc>
          <w:tcPr>
            <w:tcW w:w="740" w:type="dxa"/>
            <w:vAlign w:val="bottom"/>
            <w:gridSpan w:val="2"/>
          </w:tcPr>
          <w:p>
            <w:pPr>
              <w:spacing w:after="0" w:line="138"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3"/>
                <w:szCs w:val="13"/>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tcPr>
          <w:p>
            <w:pPr>
              <w:jc w:val="right"/>
              <w:ind w:right="380"/>
              <w:spacing w:after="0" w:line="13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gridSpan w:val="5"/>
          </w:tcPr>
          <w:p>
            <w:pPr>
              <w:ind w:left="160"/>
              <w:spacing w:after="0"/>
              <w:rPr>
                <w:sz w:val="20"/>
                <w:szCs w:val="20"/>
                <w:color w:val="auto"/>
              </w:rPr>
            </w:pPr>
            <w:r>
              <w:rPr>
                <w:rFonts w:ascii="Arial" w:cs="Arial" w:eastAsia="Arial" w:hAnsi="Arial"/>
                <w:sz w:val="14"/>
                <w:szCs w:val="14"/>
                <w:b w:val="1"/>
                <w:bCs w:val="1"/>
                <w:color w:val="auto"/>
              </w:rPr>
              <w:t>Preferred Stock</w:t>
            </w:r>
          </w:p>
        </w:tc>
        <w:tc>
          <w:tcPr>
            <w:tcW w:w="13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540" w:type="dxa"/>
            <w:vAlign w:val="bottom"/>
            <w:tcBorders>
              <w:right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Preferred Stock</w:t>
            </w:r>
          </w:p>
        </w:tc>
        <w:tc>
          <w:tcPr>
            <w:tcW w:w="60" w:type="dxa"/>
            <w:vAlign w:val="bottom"/>
          </w:tcPr>
          <w:p>
            <w:pPr>
              <w:spacing w:after="0"/>
              <w:rPr>
                <w:sz w:val="14"/>
                <w:szCs w:val="14"/>
                <w:color w:val="auto"/>
              </w:rPr>
            </w:pPr>
          </w:p>
        </w:tc>
        <w:tc>
          <w:tcPr>
            <w:tcW w:w="132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5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6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7"/>
              </w:rPr>
              <w:t>Balance, January</w:t>
            </w: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1, 2014</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27,743</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$28,220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11,147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$ 6,452</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17,368</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$ 14,247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(48,791)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Conversion of</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promissory</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w w:val="96"/>
              </w:rPr>
              <w:t>notes payable to</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related parties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into shares of</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Series C-1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Preferred Stock</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3,318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2,156</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160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3,532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w:t>
            </w: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2014</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27,743</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28,220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11,147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6,452</w:t>
            </w:r>
          </w:p>
        </w:tc>
        <w:tc>
          <w:tcPr>
            <w:tcW w:w="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3,318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2,156</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17,368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14,407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(45,259)</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60" w:type="dxa"/>
            <w:vAlign w:val="bottom"/>
          </w:tcPr>
          <w:p>
            <w:pPr>
              <w:spacing w:after="0" w:line="201" w:lineRule="exact"/>
              <w:rPr>
                <w:sz w:val="20"/>
                <w:szCs w:val="20"/>
                <w:color w:val="auto"/>
              </w:rPr>
            </w:pPr>
            <w:r>
              <w:rPr>
                <w:rFonts w:ascii="Arial" w:cs="Arial" w:eastAsia="Arial" w:hAnsi="Arial"/>
                <w:sz w:val="18"/>
                <w:szCs w:val="18"/>
                <w:color w:val="auto"/>
                <w:w w:val="97"/>
              </w:rPr>
              <w:t>Issuance of Series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D Preferred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Stock</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38,437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40,688</w:t>
            </w:r>
          </w:p>
        </w:tc>
        <w:tc>
          <w:tcPr>
            <w:tcW w:w="6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Reclassification of</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60" w:type="dxa"/>
            <w:vAlign w:val="bottom"/>
          </w:tcPr>
          <w:p>
            <w:pPr>
              <w:spacing w:after="0" w:line="201" w:lineRule="exact"/>
              <w:rPr>
                <w:sz w:val="20"/>
                <w:szCs w:val="20"/>
                <w:color w:val="auto"/>
              </w:rPr>
            </w:pPr>
            <w:r>
              <w:rPr>
                <w:rFonts w:ascii="Arial" w:cs="Arial" w:eastAsia="Arial" w:hAnsi="Arial"/>
                <w:sz w:val="18"/>
                <w:szCs w:val="18"/>
                <w:color w:val="auto"/>
              </w:rPr>
              <w:t>Shares issued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w w:val="99"/>
              </w:rPr>
              <w:t>under employee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tcPr>
          <w:p>
            <w:pPr>
              <w:ind w:left="160"/>
              <w:spacing w:after="0"/>
              <w:rPr>
                <w:sz w:val="20"/>
                <w:szCs w:val="20"/>
                <w:color w:val="auto"/>
              </w:rPr>
            </w:pPr>
            <w:r>
              <w:rPr>
                <w:rFonts w:ascii="Arial" w:cs="Arial" w:eastAsia="Arial" w:hAnsi="Arial"/>
                <w:sz w:val="18"/>
                <w:szCs w:val="18"/>
                <w:color w:val="auto"/>
              </w:rPr>
              <w:t>stock plans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20" w:type="dxa"/>
            <w:vAlign w:val="bottom"/>
            <w:gridSpan w:val="3"/>
          </w:tcPr>
          <w:p>
            <w:pPr>
              <w:ind w:left="46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tcBorders>
              <w:right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(5,405)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w:t>
            </w: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4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2015</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27,743</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28,220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11,147</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6,452</w:t>
            </w:r>
          </w:p>
        </w:tc>
        <w:tc>
          <w:tcPr>
            <w:tcW w:w="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3,318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2,156</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38,437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40,688</w:t>
            </w: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18,407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$ 15,467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(50,664)</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-4150360</wp:posOffset>
            </wp:positionV>
            <wp:extent cx="3429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-4046855</wp:posOffset>
            </wp:positionV>
            <wp:extent cx="3429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3,532</w:t>
            </w:r>
          </w:p>
        </w:tc>
        <w:tc>
          <w:tcPr>
            <w:tcW w:w="30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interest expense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Receivable from collaborative partners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(1,455)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Restricted cash</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 and other liabilities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10,730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14,603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(9,669)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notes payable, net of costs to issue</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 net of costs to issue</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Payments for deferred financing costs</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4,915</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Net increase (decrease) in cash</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19,378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22,188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51,684</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3"/>
              </w:rPr>
              <w:t>Conversion of convertible promissory notes payable to related parties into shares of Series C-1 Preferred Stock</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Reclassification of warrants to equity</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Amounts accrued for property and equipment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Amounts accrued for deferred financing costs</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12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 xml:space="preserve">AnaptysBio, Inc. (“we,” “us,” “our,” or the “Company”) was incorporated in the state of Delaware in November 2005. We are a biotechnology company developing first-in-class antibody product candidates focused on unmet medical needs in inflammation and immuno-oncology. We develop our product candidates using our proprietary, antibody discovery technology platform (“SHM-XEL”), which is designed to replicate,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the natural process of antibody generation. We currently generate revenue from our collaborative research and development arrangements.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Liquidity</w:t>
      </w:r>
    </w:p>
    <w:p>
      <w:pPr>
        <w:spacing w:after="0" w:line="117"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accompanying consolidated financial statements include the Company and its wholly-owned Australian subsidiary, which was established in March 2015. All intercompany accounts and transactions have been eliminated in consolidation.</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our inception, we have devoted our primary effort to raising capital and research and development activities, and have, aside from the year ended December 31, 2014, incurred losses and negative cash flows from operations through the year ended December 31, 2015 and have an accumulated deficit at December 31, 2015 of $50.7 million. Through 2015, all of our financial support has been provided primarily from the sale of our common and preferred stock and proceeds from the issuance of convertible debt.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The accompanying consolidated financial statements do not include any adjustments that might be necessary if we are unable to continue as a going concern.</w:t>
      </w:r>
    </w:p>
    <w:p>
      <w:pPr>
        <w:spacing w:after="0" w:line="311" w:lineRule="exact"/>
        <w:rPr>
          <w:sz w:val="20"/>
          <w:szCs w:val="20"/>
          <w:color w:val="auto"/>
        </w:rPr>
      </w:pPr>
    </w:p>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The preparation of consolidated financial statements in conformity with GAAP requires management to make judgments, assumptions and estimates that affect the amounts reported in our consolidated financial statements and accompanying notes. Significant estimates in the consolidated financial statements have been made for preferred stock warrant liabilities and stock-based compensation. Actual results could differ materially from those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We consider all highly liquid investments with a maturity at date of purchase of three months or less to be cash equivalents. Cash equivalents consist primarily of money market and mutual funds with original maturities of 90 days or less.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At December 31, 2014 and 2015, we held restricted cash of $85,000 and $60,000, respectively, used to secure a letter of credit provided as security for our operating leases for our facility.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Property and equipment is carried at cost.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 line method over the shorter of the lease term or the estimated useful life of the asset. Upon sale or retirement of property and equipment, the related cost and accumulated depreciation are removed from the accounts and any gain or loss is reflected in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 Lived Assets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Long-lived assets, consisting of property and equipment, are reviewed for impairment whenever events or changes in circumstances indicate that the carrying value of an asset may not be recoverable based on undiscounted cash flows. If long-lived assets are impaired, an impairment loss is recognized and is measured as the amount by which the carrying value exceeds the estimated fair value of the assets. No impairment charges were recorded during the years ended December 31, 2014 or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year ended December 31, 2015, we incurred an aggregate of $2.2 million in direct costs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related to our anticipated public offering of common stock. These costs were deferred and recorded as a long-term asset at December 31, 2015.</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Rent and Operating Lease Incentives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When an operating lease includes lease incentives, such as a rent abatements or leasehold improvement allowances, or requires fixed escalations of the minimum lease payments, the aggregate rental expense, including such incentives or increases, is recognized on a straight-line basis over the term of the lease. The cumulative difference between the actual rental payments and rent charged to expense is recorded as deferred rent in the accompanying balance sheets. For leasehold improvement allowances, the costs are capitalized as leasehold improvement assets and amortized to expense over the appropriate recognition period for such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Debt issuance costs incurred to obtain debt financing are deferred and are amortized over the term of the debt using the effective interest method. The costs are recorded as a reduction to the carrying value of the debt and the amortization expense is included in interest expense in the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Revenue is recognized in accordance with revenue recognition accounting guidance, which requires that four basic criteria be met before revenue can be recognized: (i) persuasive evidence that an arrangement exists; (ii) delivery has occurred and title and the risks and rewards of ownership have been transferred to the client or services have been rendered; (iii) the price is fixed or determinable; and (iv) collectability is reasonably assured.</w:t>
      </w:r>
    </w:p>
    <w:p>
      <w:pPr>
        <w:spacing w:after="0" w:line="14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 xml:space="preserve">Multiple-Element Revenue Arrangements. </w:t>
      </w:r>
      <w:r>
        <w:rPr>
          <w:rFonts w:ascii="Arial" w:cs="Arial" w:eastAsia="Arial" w:hAnsi="Arial"/>
          <w:sz w:val="16"/>
          <w:szCs w:val="16"/>
          <w:color w:val="auto"/>
        </w:rPr>
        <w:t>We evaluate deliverables in a multiple-element arrangement to determine whether each deliverable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a separate unit of accounting. A deliverable constitutes a separate unit of accounting when it has standalone value to the customer. If the delivered element does not have standalone value without one of the undelivered elements in the arrangement, we combine such elements and account for them as a single unit of accounting. We allocate the consideration to each unit of accounting at the inception of the arrangement based on the relative selling price.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We recognize consideration allocated to an individual element when all other revenue recognition criteria are met for that element. Our multiple-element revenue arrangements may include the following:</w:t>
      </w:r>
    </w:p>
    <w:p>
      <w:pPr>
        <w:spacing w:after="0" w:line="72" w:lineRule="exact"/>
        <w:rPr>
          <w:sz w:val="20"/>
          <w:szCs w:val="20"/>
          <w:color w:val="auto"/>
        </w:rPr>
      </w:pPr>
    </w:p>
    <w:p>
      <w:pPr>
        <w:ind w:left="900" w:right="80" w:hanging="325"/>
        <w:spacing w:after="0" w:line="258"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License arrangements</w:t>
      </w:r>
      <w:r>
        <w:rPr>
          <w:rFonts w:ascii="Arial" w:cs="Arial" w:eastAsia="Arial" w:hAnsi="Arial"/>
          <w:sz w:val="18"/>
          <w:szCs w:val="18"/>
          <w:color w:val="auto"/>
        </w:rPr>
        <w:t>. The deliverables under our collaboration and license agreements generally include exclusive or nonexclusive licenses to</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products generated using our technologies. As the delivered licenses have not historically had standalone value apart from the undelivered elements, these have been recognized as revenue as a combined unit of accounting. Accordingly, we recognize revenue from nonrefundable upfront fees in the same manner as the undelivered item(s), which is generally the period over which we provide research and development services.</w:t>
      </w:r>
    </w:p>
    <w:p>
      <w:pPr>
        <w:spacing w:after="0" w:line="89" w:lineRule="exact"/>
        <w:rPr>
          <w:rFonts w:ascii="Arial" w:cs="Arial" w:eastAsia="Arial" w:hAnsi="Arial"/>
          <w:sz w:val="18"/>
          <w:szCs w:val="18"/>
          <w:color w:val="auto"/>
        </w:rPr>
      </w:pPr>
    </w:p>
    <w:p>
      <w:pPr>
        <w:ind w:left="900" w:right="220" w:hanging="325"/>
        <w:spacing w:after="0" w:line="298" w:lineRule="auto"/>
        <w:tabs>
          <w:tab w:leader="none" w:pos="900"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Services. </w:t>
      </w:r>
      <w:r>
        <w:rPr>
          <w:rFonts w:ascii="Arial" w:cs="Arial" w:eastAsia="Arial" w:hAnsi="Arial"/>
          <w:sz w:val="16"/>
          <w:szCs w:val="16"/>
          <w:color w:val="auto"/>
        </w:rPr>
        <w:t>The deliverables under our collaboration and license arrangements include research and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we perform on behalf of or with our collaborators. As the provision of research and development services is an integral part of our operations and we may be principally responsible for the performance of these services under the agreements, we recognize revenue on a gross basis for research and development services as we perform those services. Additionally, we recognize research related funding under collaboration research and development efforts as revenue as we perform or deliver the related services in accordance with contract terms.</w:t>
      </w:r>
    </w:p>
    <w:p>
      <w:pPr>
        <w:spacing w:after="0" w:line="158"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i w:val="1"/>
          <w:iCs w:val="1"/>
          <w:color w:val="auto"/>
        </w:rPr>
        <w:t xml:space="preserve">Milestone Revenue. </w:t>
      </w:r>
      <w:r>
        <w:rPr>
          <w:rFonts w:ascii="Arial" w:cs="Arial" w:eastAsia="Arial" w:hAnsi="Arial"/>
          <w:sz w:val="16"/>
          <w:szCs w:val="16"/>
          <w:color w:val="auto"/>
        </w:rPr>
        <w:t>Our collaboration and license agreements generally include contingent contractual payments related to achievement of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development and regulatory milestones and sales-based milestones that are dependent upon the performance of the licensor or collaborator.</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recognize any payment that is contingent upon the achievement of a substantive milestone entirely in the period in which the milestone is achieved. A milestone is defined as an event that can only be achieved based in whole or in part either on our performance, or the performance of our collaborators, or the occurrence of a specific outcome resulting from our past performance for which there is a substantive uncertainty at the date the arrangement is entered into that the event will be achieved.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Costs associated with research and development activities are expensed as incurred. Research and development costs primarily include salaries and personnel-related costs, supplies and materials, contract manufacturing, in-licensing fees, outside services, and an allocation of information technology, fringe benefits, and facility overhead costs.</w:t>
      </w:r>
    </w:p>
    <w:p>
      <w:pPr>
        <w:spacing w:after="0" w:line="181"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Upfront and milestone payments incurred under our in-licensing agreements are expensed as acquired in-process research and development in the period in which they are incurred, provided that the technology or method has no alternative future use. Royalties incurred on fees received under our sublicensing arrangements are expensed in the period in which we recognize the related collaborative revenue.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estimate forfeitures at the time of grant and revise those estimates in subsequent periods if actual forfeitures differ from those estimates. We use historical data to estimate prevesting option forfeitures and record stock-based compensation expense only for those awards that are expected to vest.</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Options granted to individual service providers who are not employees or directors are accounted for at estimated fair values using the Black-Scholes option pricing model and are subject to periodic remeasurement over the period during which the services are rendered.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for Shares of Preferred Stock</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We account for warrants for shares of preferred stock with conversion features that provide for reductions in the warrant price as derivative liabilities in the accompanying balance sheets at their fair value on the date of issuance. The derivative liabilities are revalued at each balance sheet date until such instruments are exercised or expire, with changes in the fair value between reporting periods recorded as other income or expense.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financial instruments consist principally of cash, cash equivalents, restricted cash, receivables from collaborative partners, accounts payable, notes payable and preferred stock warrant liabilities.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Level 3—Unobservable inputs that are supported by little or no market activities, therefore requiring an entity to develop its own assumptions.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Our policy is to place our cash and cash equivalents with high quality financial institutions in order to limit our credit risk exposure, and, at times, balances may exceed federally insured limits. To date, we have not experienced any credit losses associated with these financial instruments.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60" w:right="2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 of Foreign Operations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Our Australian subsidiary operates in a United States dollar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 and totaled ($0.2) million during the year ended December 31,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 and Pro Forma Net Income Per Common Share</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Net income (loss) per share of common stock is determined using the two-class method for participating securities to the extent this method is more dilutive than the if-converted method. All series of our convertible preferred stock are considered to be participating securities. In accordance with the two-class method, earnings allocated to these participating securities, which include participation rights in undistributed earnings, are subtracted from net income to determine total earnings to be attributed to common stockholders.</w:t>
      </w:r>
    </w:p>
    <w:p>
      <w:pPr>
        <w:spacing w:after="0" w:line="18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Basic net income (loss) per common share is computed by dividing net income (loss) attributed to common stockholders by the weighted-average number of common shares outstanding during the period. All participating securities are excluded from basic weighted-average common shares outstanding. In computing diluted net income (loss) attributed to common stockholders, undistributed earnings (if any) are re-allocated to reflect the potential impact of dilutive securities, including stock options and warrants that reduce the preferred stockholders participation in earnings to be attributed to common stockholders. Diluted net income (loss) per share attributed to common stockholders is computed by dividing net income (loss) attributed to common stockholders by the weighted-average number of common equivalent shares outstanding for the period. Diluted net income (loss) per share attributed to common stockholders includes any dilutive effect from outstanding stock options and warrants using the treasury stock method.</w:t>
      </w:r>
    </w:p>
    <w:p>
      <w:pPr>
        <w:spacing w:after="0" w:line="16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Computations for basic and diluted net income (loss) per common share are below. The unaudited pro forma basic and diluted net income (loss) per common share calculation assumes the conversion of all outstanding shares of convertible preferred stock into common stock as if such conversion had occurred on January 1, 2015 or the original issuance date, if later.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Net Income</w:t>
            </w:r>
          </w:p>
        </w:tc>
        <w:tc>
          <w:tcPr>
            <w:tcW w:w="1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2"/>
                <w:szCs w:val="12"/>
                <w:color w:val="auto"/>
              </w:rPr>
            </w:pPr>
          </w:p>
        </w:tc>
        <w:tc>
          <w:tcPr>
            <w:tcW w:w="12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9"/>
              </w:rPr>
              <w:t>(Loss)</w:t>
            </w:r>
          </w:p>
        </w:tc>
        <w:tc>
          <w:tcPr>
            <w:tcW w:w="1540" w:type="dxa"/>
            <w:vAlign w:val="bottom"/>
            <w:gridSpan w:val="2"/>
            <w:vMerge w:val="continue"/>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7860" w:type="dxa"/>
            <w:vAlign w:val="bottom"/>
            <w:vMerge w:val="continue"/>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(Numerator)</w:t>
            </w:r>
          </w:p>
        </w:tc>
        <w:tc>
          <w:tcPr>
            <w:tcW w:w="15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4"/>
              </w:rPr>
              <w:t>(Denominator)</w:t>
            </w:r>
          </w:p>
        </w:tc>
        <w:tc>
          <w:tcPr>
            <w:tcW w:w="6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and diluted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3,532</w:t>
            </w: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Net income attributed to participating securities</w:t>
            </w:r>
          </w:p>
        </w:tc>
        <w:tc>
          <w:tcPr>
            <w:tcW w:w="14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(3,300)</w:t>
            </w: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 and diluted net income attributed to common stockholders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17,368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8"/>
                <w:szCs w:val="18"/>
                <w:b w:val="1"/>
                <w:bCs w:val="1"/>
                <w:color w:val="auto"/>
              </w:rPr>
              <w:t>Year Ended December 31, 2015</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common share:</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ind w:left="720"/>
              <w:spacing w:after="0"/>
              <w:rPr>
                <w:sz w:val="20"/>
                <w:szCs w:val="20"/>
                <w:color w:val="auto"/>
              </w:rPr>
            </w:pPr>
            <w:r>
              <w:rPr>
                <w:rFonts w:ascii="Arial" w:cs="Arial" w:eastAsia="Arial" w:hAnsi="Arial"/>
                <w:sz w:val="18"/>
                <w:szCs w:val="18"/>
                <w:color w:val="auto"/>
              </w:rPr>
              <w:t>Basic and diluted net loss attributed to common stockholders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(5,405)</w:t>
            </w: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17,857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(0.30)</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for the Year Ended December 31, 2015 (unaudited)</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Basic net loss per common share: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(5,405)</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17,857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860" w:type="dxa"/>
            <w:vAlign w:val="bottom"/>
          </w:tcPr>
          <w:p>
            <w:pPr>
              <w:ind w:left="360"/>
              <w:spacing w:after="0"/>
              <w:rPr>
                <w:sz w:val="20"/>
                <w:szCs w:val="20"/>
                <w:color w:val="auto"/>
              </w:rPr>
            </w:pPr>
            <w:r>
              <w:rPr>
                <w:rFonts w:ascii="Arial" w:cs="Arial" w:eastAsia="Arial" w:hAnsi="Arial"/>
                <w:sz w:val="18"/>
                <w:szCs w:val="18"/>
                <w:color w:val="auto"/>
              </w:rPr>
              <w:t>Pro forma adjustment to reflect the assumed conversion of convertible preferred shares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60,069</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 forma basic and diluted net loss per common share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(5,405)</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77,926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(0.07)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5540"/>
              <w:spacing w:after="0"/>
              <w:rPr>
                <w:sz w:val="20"/>
                <w:szCs w:val="20"/>
                <w:color w:val="auto"/>
              </w:rPr>
            </w:pPr>
            <w:r>
              <w:rPr>
                <w:rFonts w:ascii="Arial" w:cs="Arial" w:eastAsia="Arial" w:hAnsi="Arial"/>
                <w:sz w:val="18"/>
                <w:szCs w:val="18"/>
                <w:color w:val="auto"/>
              </w:rPr>
              <w:t>F-11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Common stock equivalents issuable upon the conversion or exercise of dilutive securities that could potentially reduce net income per common share in the future that were excluded from the determination of diluted net income (loss) per common share as their effects were antidilutive are as follows: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80" w:type="dxa"/>
            <w:vAlign w:val="bottom"/>
            <w:gridSpan w:val="4"/>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6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4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Convertible</w:t>
            </w:r>
          </w:p>
        </w:tc>
        <w:tc>
          <w:tcPr>
            <w:tcW w:w="5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w:t>
            </w:r>
          </w:p>
        </w:tc>
        <w:tc>
          <w:tcPr>
            <w:tcW w:w="6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Options to purchase common stock</w:t>
            </w:r>
          </w:p>
        </w:tc>
        <w:tc>
          <w:tcPr>
            <w:tcW w:w="680" w:type="dxa"/>
            <w:vAlign w:val="bottom"/>
          </w:tcPr>
          <w:p>
            <w:pPr>
              <w:jc w:val="right"/>
              <w:spacing w:after="0"/>
              <w:rPr>
                <w:sz w:val="20"/>
                <w:szCs w:val="20"/>
                <w:color w:val="auto"/>
              </w:rPr>
            </w:pPr>
            <w:r>
              <w:rPr>
                <w:rFonts w:ascii="Arial" w:cs="Arial" w:eastAsia="Arial" w:hAnsi="Arial"/>
                <w:sz w:val="18"/>
                <w:szCs w:val="18"/>
                <w:color w:val="auto"/>
              </w:rPr>
              <w:t>7,556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to purchase 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Warrants to purchase common stock</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7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outlines a single comprehensive model for entities to use in accounting for revenue from contracts with customers and supersedes most current revenue recognition guidance in FASB ASC 605, Revenue Recognition, including industry-specific guidance. This standard is based on the principle that an entity should recognize revenue to depict the transfer of goods or services to customers in an amount that reflects the consideration to which the entity expects to be entitled in exchange for those goods or services. This standard also requires additional disclosure about the nature, amount, timing and uncertainty of assets recognized from costs incurred to fulfill a contract and becomes effective for our annual reporting period beginning January 1, 2018, including interim periods within that reporting period; adoption is permitted as early as January 1, 2017. Entities have the option of using either a full retrospective or a modified retrospective approach for the adoption of the new standard. We are currently assessing the impact that this standard will have on our consolidated financial statements.</w:t>
      </w:r>
    </w:p>
    <w:p>
      <w:pPr>
        <w:spacing w:after="0" w:line="16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intends to enhance the reporting model for financial instruments by providing users of financial instruments with more</w:t>
      </w:r>
      <w:r>
        <w:rPr>
          <w:rFonts w:ascii="Arial" w:cs="Arial" w:eastAsia="Arial" w:hAnsi="Arial"/>
          <w:sz w:val="16"/>
          <w:szCs w:val="16"/>
          <w:i w:val="1"/>
          <w:iCs w:val="1"/>
          <w:color w:val="auto"/>
        </w:rPr>
        <w:t xml:space="preserve"> </w:t>
      </w:r>
      <w:r>
        <w:rPr>
          <w:rFonts w:ascii="Arial" w:cs="Arial" w:eastAsia="Arial" w:hAnsi="Arial"/>
          <w:sz w:val="16"/>
          <w:szCs w:val="16"/>
          <w:color w:val="auto"/>
        </w:rPr>
        <w:t>decision-useful information. The standard also addresses certain aspects of the recognition, measurement, presentation, and disclosure of financial instruments and requires additional disclosure about the nature, amount, timing and uncertainty of assets recognized from costs incurred to fulfill a contract and becomes effective for our annual reporting period beginning January 1, 2018, including interim periods within that reporting period; early adoption is permitted for nonpublic entities. We are currently assessing the impact that this standard will have on our consolidated financial statements.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492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Balance Sheet Accounts and Supplemental Disclosures</w:t>
            </w:r>
          </w:p>
        </w:tc>
        <w:tc>
          <w:tcPr>
            <w:tcW w:w="2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2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 w:type="dxa"/>
            <w:vAlign w:val="bottom"/>
          </w:tcPr>
          <w:p>
            <w:pPr>
              <w:spacing w:after="0"/>
              <w:rPr>
                <w:sz w:val="24"/>
                <w:szCs w:val="24"/>
                <w:color w:val="auto"/>
              </w:rPr>
            </w:pPr>
          </w:p>
        </w:tc>
        <w:tc>
          <w:tcPr>
            <w:tcW w:w="492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 of the following:</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00" w:type="dxa"/>
            <w:vAlign w:val="bottom"/>
          </w:tcPr>
          <w:p>
            <w:pPr>
              <w:spacing w:after="0"/>
              <w:rPr>
                <w:sz w:val="24"/>
                <w:szCs w:val="24"/>
                <w:color w:val="auto"/>
              </w:rPr>
            </w:pPr>
          </w:p>
        </w:tc>
        <w:tc>
          <w:tcPr>
            <w:tcW w:w="492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w:t>
            </w:r>
          </w:p>
        </w:tc>
        <w:tc>
          <w:tcPr>
            <w:tcW w:w="2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4920" w:type="dxa"/>
            <w:vAlign w:val="bottom"/>
            <w:gridSpan w:val="2"/>
            <w:vMerge w:val="continue"/>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2014</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2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3,031</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3,243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Office furniture and equipment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3,934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7"/>
              </w:rPr>
              <w:t>Less: accumulated depreciation and amortization</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(3,355)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(3,583)</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40" w:type="dxa"/>
            <w:vAlign w:val="bottom"/>
          </w:tcPr>
          <w:p>
            <w:pPr>
              <w:ind w:left="360"/>
              <w:spacing w:after="0"/>
              <w:rPr>
                <w:sz w:val="20"/>
                <w:szCs w:val="20"/>
                <w:color w:val="auto"/>
              </w:rPr>
            </w:pPr>
            <w:r>
              <w:rPr>
                <w:rFonts w:ascii="Arial" w:cs="Arial" w:eastAsia="Arial" w:hAnsi="Arial"/>
                <w:sz w:val="18"/>
                <w:szCs w:val="18"/>
                <w:color w:val="auto"/>
              </w:rPr>
              <w:t>Total property and equipment, net</w:t>
            </w:r>
          </w:p>
        </w:tc>
        <w:tc>
          <w:tcPr>
            <w:tcW w:w="2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080" w:type="dxa"/>
            <w:vAlign w:val="bottom"/>
            <w:gridSpan w:val="2"/>
          </w:tcPr>
          <w:p>
            <w:pPr>
              <w:jc w:val="right"/>
              <w:ind w:right="2345"/>
              <w:spacing w:after="0"/>
              <w:rPr>
                <w:sz w:val="20"/>
                <w:szCs w:val="20"/>
                <w:color w:val="auto"/>
              </w:rPr>
            </w:pPr>
            <w:r>
              <w:rPr>
                <w:rFonts w:ascii="Arial" w:cs="Arial" w:eastAsia="Arial" w:hAnsi="Arial"/>
                <w:sz w:val="18"/>
                <w:szCs w:val="18"/>
                <w:color w:val="auto"/>
              </w:rPr>
              <w:t>F-12</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tcPr>
          <w:p>
            <w:pPr>
              <w:spacing w:after="0"/>
              <w:rPr>
                <w:sz w:val="14"/>
                <w:szCs w:val="14"/>
                <w:color w:val="auto"/>
              </w:rPr>
            </w:pPr>
          </w:p>
        </w:tc>
        <w:tc>
          <w:tcPr>
            <w:tcW w:w="6540" w:type="dxa"/>
            <w:vAlign w:val="bottom"/>
            <w:gridSpan w:val="2"/>
            <w:vMerge w:val="restart"/>
          </w:tcPr>
          <w:p>
            <w:pPr>
              <w:ind w:left="1080"/>
              <w:spacing w:after="0"/>
              <w:rPr>
                <w:sz w:val="20"/>
                <w:szCs w:val="20"/>
                <w:color w:val="auto"/>
              </w:rPr>
            </w:pPr>
            <w:r>
              <w:rPr>
                <w:rFonts w:ascii="Arial" w:cs="Arial" w:eastAsia="Arial" w:hAnsi="Arial"/>
                <w:sz w:val="14"/>
                <w:szCs w:val="14"/>
                <w:b w:val="1"/>
                <w:bCs w:val="1"/>
                <w:color w:val="auto"/>
              </w:rPr>
              <w:t>(in thousands)</w:t>
            </w: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54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2014</w:t>
            </w:r>
          </w:p>
        </w:tc>
        <w:tc>
          <w:tcPr>
            <w:tcW w:w="6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compensation and related expenses</w:t>
            </w:r>
          </w:p>
        </w:tc>
        <w:tc>
          <w:tcPr>
            <w:tcW w:w="1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Accrued research and contract manufacturing expenses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expenses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654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Collaborative Research and Development Agreements</w:t>
            </w: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00" w:type="dxa"/>
            <w:vAlign w:val="bottom"/>
            <w:vMerge w:val="continue"/>
          </w:tcPr>
          <w:p>
            <w:pPr>
              <w:spacing w:after="0"/>
              <w:rPr>
                <w:sz w:val="24"/>
                <w:szCs w:val="24"/>
                <w:color w:val="auto"/>
              </w:rPr>
            </w:pPr>
          </w:p>
        </w:tc>
        <w:tc>
          <w:tcPr>
            <w:tcW w:w="654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TESARO Collaboration</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March 2014, we entered into a Collaboration and Exclusive License Agreement (TESARO Agreement) with TESARO, Inc. and TESARO Development, Inc. (collectively, “TESARO”), an oncology-focused biopharmaceutical company. Under the terms of the agreement, we agreed to perform certain discovery and early preclinical development of therapeutic antibodies with the goal of generating immunotherapy antibodies for subsequent preclinical, clinical, regulatory and commercial development to be performed by TESARO. Under the terms of the agreement, TESARO paid an upfront license fee of $17.0 million in March 2014 and agreed to provide funding to us for research and development services related to antibody discovery programs for three specific targets.</w:t>
      </w:r>
    </w:p>
    <w:p>
      <w:pPr>
        <w:spacing w:after="0" w:line="193"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In November 2014, we and TESARO entered into an Amendment No. 1 to the Agreement to add an antibody discovery program against a fourth target for an upfront license fee of $2.0 million.</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For each development program, we are eligible to receive milestone payments of up to $18.0 million if certain clinical trial events are achieved by TESARO, up to an additional $90.0 million if certain U.S. and European regulatory submissions and approvals in multiple indications are achieved, and up to an additional $165.0 million upon the achievement of specified levels of annual worldwide net sales. We will also be eligible to receive tiered single-digit royalties related to worldwide net sales of products developed under the collaboration and certain commercial milestone payments if specified levels of annual worldwide net sales are attained. Unless earlier terminated by either party upon specified circumstances, the agreement will terminate, with respect to each specific developed product, upon the later of the 12th anniversary of the first commercial sale of the product or the expiration of the last to expire of any patent. We determined that the upfront license fees and research funding under the agreement, as amended, should be accounted for as a single unit of accounting and that the upfront license fees should be deferred and recognized as revenue over the same period that the research and development services are performed. In December 2015, we determined that the research and development services would be extended through December 31, 2016. As a result, the period over which the unrecognized license fees and milestones will be recognized has been extended through December 31, 2016.</w:t>
      </w:r>
    </w:p>
    <w:p>
      <w:pPr>
        <w:spacing w:after="0" w:line="16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We recognized revenue of $1.7 million during the year ended December 31, 2015, for the achievement of two $1.0 million milestones upon initiation of </w:t>
      </w:r>
      <w:r>
        <w:rPr>
          <w:rFonts w:ascii="Arial" w:cs="Arial" w:eastAsia="Arial" w:hAnsi="Arial"/>
          <w:sz w:val="18"/>
          <w:szCs w:val="18"/>
          <w:i w:val="1"/>
          <w:iCs w:val="1"/>
          <w:color w:val="auto"/>
        </w:rPr>
        <w:t xml:space="preserve">in vivo </w:t>
      </w:r>
      <w:r>
        <w:rPr>
          <w:rFonts w:ascii="Arial" w:cs="Arial" w:eastAsia="Arial" w:hAnsi="Arial"/>
          <w:sz w:val="18"/>
          <w:szCs w:val="18"/>
          <w:color w:val="auto"/>
        </w:rPr>
        <w:t>toxicology studies, under the principles of good laboratory practice, using the anti-PD-1 antagonist antibody (TSR-042) and the anti-TIM-3 antagonist</w:t>
      </w:r>
      <w:r>
        <w:rPr>
          <w:rFonts w:ascii="Arial" w:cs="Arial" w:eastAsia="Arial" w:hAnsi="Arial"/>
          <w:sz w:val="18"/>
          <w:szCs w:val="18"/>
          <w:i w:val="1"/>
          <w:iCs w:val="1"/>
          <w:color w:val="auto"/>
        </w:rPr>
        <w:t xml:space="preserve"> </w:t>
      </w:r>
      <w:r>
        <w:rPr>
          <w:rFonts w:ascii="Arial" w:cs="Arial" w:eastAsia="Arial" w:hAnsi="Arial"/>
          <w:sz w:val="18"/>
          <w:szCs w:val="18"/>
          <w:color w:val="auto"/>
        </w:rPr>
        <w:t>antibody (TSR-022), each being advanced by TESARO. The remaining unrecognized milestone payments of $0.3 million at December 31, 2015 will be recognized ratably through December 2016. Revenue from future contingent milestone payments will be recognized if and when such payments become due, subject to satisfaction of all of the criteria necessary to recognize revenue at that time.</w:t>
      </w:r>
    </w:p>
    <w:p>
      <w:pPr>
        <w:spacing w:after="0" w:line="18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Revenue recognized under this agreement aggregated $11.5 million during the year ended December 31, 2014, which includes $7.0 million for the amortization of the upfront fee and $4.5 million in funding for research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and development services. Revenue recognized under this agreement aggregated $17.6 million during the year ended December 31, 2015, which includes</w:t>
      </w:r>
    </w:p>
    <w:p>
      <w:pPr>
        <w:spacing w:after="0" w:line="46"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$9.4 million for the amortization of the upfront fee, $6.5 million in funding for research and development services, and $1.7 million for milestones earned, of which $1.2 million was receivable at December 31, 2015. Deferred revenue for this agreement was $2.9 million at December 31,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Celgene Antibody Generation Agreement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December 2011, we entered into an Antibody Generation Agreement with Celgene Corporation (“Celgene”), under which we agreed to develop human therapeutic agents against multiple targets. We successfully delivered three antibodies against three targets under this agreement. The final deliverable under this agreement was completed in 2014. Under the terms of the agreement, Celgene agreed to pay an initial fee of $6.0 million, followed by a success fee of $0.5 million upon successful delivery of therapeutic antibodies against each of the targets involved.</w:t>
      </w:r>
    </w:p>
    <w:p>
      <w:pPr>
        <w:spacing w:after="0" w:line="17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$0.6 million during the year ended December 31, 2014, which includes $0.5 million in success fees and $92,000 in funding for research and development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Momenta Antibody Generation Agreement</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December 2013, we entered into an Antibody Generation Agreement, with Momenta Pharmaceuticals, Inc. (“Momenta”) under which we agreed to generate certain antibodies with enhanced affinity specific for a particular target for use in the development of human therapeutic agents by Momenta. Under the terms of the agreement, Momenta agreed to pay an upfront fee of $1.1 million, followed by a $2.0 million success fee in the event of a successful outcome, which occurred in 2014. This agreement expired in accordance with its terms in 2014.</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The upfront payment was recognized as revenue ratably over the estimated time to project completion, or nine months, beginning January 2014 when the project commenced. Revenue recognized under this agreement aggregated $3.1 million during the year ended December 31, 2014, which includes $2.0 million in success fees and $1.1 million for the amortization of the upfront fee.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Collaborative Agreements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the year ended December 31, 2014, we recognized revenue from other collaborative partners aggregating $0.6 million for the development of antibodies for specified targets. Revenue from these agreements consisted primarily of the amortization of upfront payments and funding for research and development services that were recognized as the related services were provided. Our obligations under these collaborative agreements were completed by the end of 2014.</w:t>
      </w:r>
    </w:p>
    <w:p>
      <w:pPr>
        <w:spacing w:after="0" w:line="331"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and Convertible Promissory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Payable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24, 2014, we entered into a Loan and Security Agreement (the “LSA Agreement”) with a bank and a financial institution whereby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may borrow up to $15.0 million in three separate draws of $5.0 million each. The Term A Loans, for an aggregate of $5.0 million, were drawn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24, 2014. The Term B Loans for an aggregate of $5.0 million were available for draw through December 31, 2015, contingent upon our first multi-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dose PK/toxicology studies on at least two development programs and the Term C Loans for an aggregate of $5.0 million are available for draw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contingent upon receiving FDA approval on IND submission on at least two development programs. The Term A Loans each bear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fixed rate of interest of 6.97%.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In January 2016, the LSA Agreement was amended (the “LSA Amendment”) to combine Term B Loans and Term C Loans for a total of $10.0 million available for draw and delay the beginning of our Term A Loans’ principal repayments from February 1, 2016 until February 1, 2017. The Term B Loans and Term C Loans are available for draw upon the later to occur of (i) receiving regulatory approval pertaining to an IND submission or foreign equivalent with respect to at least two development programs, provided that at least one of which must be an internal development program and only one of which may be a foreign equivalent and (ii) July 1, 2016. The draw period will end upon the earlier of (i) an event of default as defined in the LSA Agreement and</w:t>
      </w:r>
    </w:p>
    <w:p>
      <w:pPr>
        <w:spacing w:after="0" w:line="2" w:lineRule="exact"/>
        <w:rPr>
          <w:sz w:val="20"/>
          <w:szCs w:val="20"/>
          <w:color w:val="auto"/>
        </w:rPr>
      </w:pPr>
    </w:p>
    <w:p>
      <w:pPr>
        <w:ind w:right="80" w:firstLine="8"/>
        <w:spacing w:after="0" w:line="302" w:lineRule="auto"/>
        <w:tabs>
          <w:tab w:leader="none" w:pos="2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December 31, 2016. If the Term B Loans and Term C Loans are issued, they will bear interest at the greater of 6.95% or the 3-month LIBOR plus 6.72%, with principal payments beginning February 1, 2017 and with final maturity in January 2019. At December 31, 2015, the Term A Loans are due in 13 monthly interest-only payments through January 2017, followed by 24 equal monthly principal and interest payments, with final maturity in January 2019.</w:t>
      </w:r>
    </w:p>
    <w:p>
      <w:pPr>
        <w:spacing w:after="0" w:line="15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costs incurred to issue the Term A Loans of $85,000 were deferred and are included in the discount to the carrying value of the Term A Loans in the accompanying balance sheet. The Term A Loans also include a final payment fee of $0.3 million due at the earlier of prepayment or the maturity date of the Term A Loans. The deferred costs and the final payment fee are being amortized to interest expense over the expected term of the Term A Loans using the effective interest method.</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In connection with the issuance of the Term A Loans, we issued detachable, fully vested warrants to purchase an aggregate of 288,462 shares of Series C Preferred Stock at an exercise price of $0.65 per share to the lenders, which are subject to change under anti-dilution provisions. The warrants are exercisable at any time through December 2024. The grant-date fair value of the warrants of $0.1 million was recorded as a liability, with a reduction to the carrying value of the Term A Loans, and which is recognized as additional interest expense over the remaining term of the Loans. The initial fair value of the warrants was determined using the Black-Scholes option pricing model with the following assumptions: a stock price volatility of 70.2%, an expected life equal to the contractual term of the warrants of ten years and a risk-free interest rate of 1.97%.</w:t>
      </w:r>
    </w:p>
    <w:p>
      <w:pPr>
        <w:spacing w:after="0" w:line="17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At December 31, 2015, the carrying amount of the Term A Loans was $4.9 million, which is net of discounts of $97,000. The Term A Loans were classified as noncurrent in the Consolidated Balance Sheets at December 31, 2015 as a result of the LSA Amendment in January 2016. The effective interest rate on the Term A Loans at December 31, 2015 was 9.25%. As of December 31, 2015, future principal maturities of the Term A Loans were $2.2 million, $2.6 million and $0.2 million in 2017, 2018 and 2019, respectively.</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Term A Loans are secured by a first priority interest in most of our assets, excluding intellectual property. At December 31, 2015, we were in compliance with the covenants contained in the Loan and Security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 Payable to Related Parties</w:t>
      </w:r>
    </w:p>
    <w:p>
      <w:pPr>
        <w:spacing w:after="0" w:line="117"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August 2013, pursuant to a Purchase Agreement, we issued convertible promissory notes to existing investors aggregating $2.0 million. The notes, which bear interest at 10% per annum, were unsecured and subordinated to all current and future indebtedness and were convertible at any time at the option of the holders into shares of Series C-1 Preferred Stock at a conversion price of $0.65 per share.</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Authoritative accounting guidance requires that a portion of the note proceeds be allocated to additional paid-in capital for the intrinsic value, if any, of the conversion option (the “beneficial conversion feature”) based upon the difference between the fair value of the underlying preferred stock at the date of issuance of the notes and the effective conversion price embedded in the notes. The resulting discount on the notes is amortized over the term of the related notes to the stated date of redemption. At August 30, 2013, the date of issuance of the notes, the intrinsic value of the conversion option exceeded the net proceeds of the notes, and therefore the resulting discount attributed to the notes was limited to $2.0 million.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60" w:right="2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April 2014, the principal and accrued interest on the notes, which aggregated $2.2 million, were converted into 3,333,333 shares of Series C-1 Preferred Stock. The unamortized discount of $0.4 million at the date of conversion was recognized as interest expense. Total interest expense resulting from the amortization and write-off of the discount totaled $1.2 million during the year ended December 31, 2014.</w:t>
      </w:r>
    </w:p>
    <w:p>
      <w:pPr>
        <w:spacing w:after="0" w:line="326"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table summarizes our assets and liabilities that require fair value measurements on a recurring basis and their respective input levels based on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Fair Value Measurements at End of Period Using: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3"/>
            <w:vMerge w:val="restart"/>
          </w:tcPr>
          <w:p>
            <w:pPr>
              <w:jc w:val="center"/>
              <w:ind w:right="740"/>
              <w:spacing w:after="0"/>
              <w:rPr>
                <w:sz w:val="20"/>
                <w:szCs w:val="20"/>
                <w:color w:val="auto"/>
              </w:rPr>
            </w:pPr>
            <w:r>
              <w:rPr>
                <w:rFonts w:ascii="Arial" w:cs="Arial" w:eastAsia="Arial" w:hAnsi="Arial"/>
                <w:sz w:val="14"/>
                <w:szCs w:val="14"/>
                <w:b w:val="1"/>
                <w:bCs w:val="1"/>
                <w:color w:val="auto"/>
                <w:w w:val="97"/>
              </w:rPr>
              <w:t>Quoted Market</w:t>
            </w: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Significant</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6"/>
              </w:rPr>
              <w:t>Other</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16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2"/>
              </w:rPr>
              <w:t>Prices for</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720" w:type="dxa"/>
            <w:vAlign w:val="bottom"/>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78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6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Inputs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86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6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At December 31, 2014</w:t>
            </w:r>
          </w:p>
        </w:tc>
        <w:tc>
          <w:tcPr>
            <w:tcW w:w="31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7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14,736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14,736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569</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84"/>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At December 31, 2015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Mutual funds</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8"/>
                <w:szCs w:val="18"/>
                <w:color w:val="auto"/>
                <w:w w:val="87"/>
              </w:rPr>
              <w:t>44,077</w:t>
            </w:r>
          </w:p>
        </w:tc>
        <w:tc>
          <w:tcPr>
            <w:tcW w:w="160" w:type="dxa"/>
            <w:vAlign w:val="bottom"/>
          </w:tcPr>
          <w:p>
            <w:pPr>
              <w:spacing w:after="0"/>
              <w:rPr>
                <w:sz w:val="18"/>
                <w:szCs w:val="18"/>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44,077</w:t>
            </w: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security</w:t>
            </w: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Preferred stock warrant liabilities</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1,549</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Included in cash and cash equivalents in the Consolidated Balance Sheets.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Included in cash and cash equivalents, and restricted cash in the Consolidated Balance Sheets.</w:t>
      </w:r>
    </w:p>
    <w:p>
      <w:pPr>
        <w:spacing w:after="0" w:line="211"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For fair values determined by Level 1 inputs, which utilize quoted prices in active markets for identical assets,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judgment required to estimate fair value is relatively low. The fair values of investments in money market funds, mutual funds and U.S. treasury securities were determined using Level 1 inputs.</w:t>
      </w:r>
    </w:p>
    <w:p>
      <w:pPr>
        <w:spacing w:after="0" w:line="181"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i w:val="1"/>
          <w:iCs w:val="1"/>
          <w:color w:val="auto"/>
        </w:rPr>
        <w:t xml:space="preserve">Warrant Liabilities. </w:t>
      </w:r>
      <w:r>
        <w:rPr>
          <w:rFonts w:ascii="Arial" w:cs="Arial" w:eastAsia="Arial" w:hAnsi="Arial"/>
          <w:sz w:val="18"/>
          <w:szCs w:val="18"/>
          <w:color w:val="auto"/>
        </w:rPr>
        <w:t>Our preferred stock warrants are accounted for as derivative liabilities and measured at fair value on a recurring basis as they</w:t>
      </w:r>
      <w:r>
        <w:rPr>
          <w:rFonts w:ascii="Arial" w:cs="Arial" w:eastAsia="Arial" w:hAnsi="Arial"/>
          <w:sz w:val="18"/>
          <w:szCs w:val="18"/>
          <w:i w:val="1"/>
          <w:iCs w:val="1"/>
          <w:color w:val="auto"/>
        </w:rPr>
        <w:t xml:space="preserve"> </w:t>
      </w:r>
      <w:r>
        <w:rPr>
          <w:rFonts w:ascii="Arial" w:cs="Arial" w:eastAsia="Arial" w:hAnsi="Arial"/>
          <w:sz w:val="18"/>
          <w:szCs w:val="18"/>
          <w:color w:val="auto"/>
        </w:rPr>
        <w:t>contain features that are either not afforded equity classification or embody risks that are not clearly and closely related to host contracts. We estimate fair values of these derivatives utilizing the Black-Scholes option-pricing model, which requires Level 3 inputs.</w:t>
      </w:r>
    </w:p>
    <w:p>
      <w:pPr>
        <w:spacing w:after="0" w:line="18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Estimating fair values of derivative financial instruments, including Level 3 instruments, require the use of significant and subjective inputs that may, and are likely to, change over the duration of the instrument with related changes in internal and external market factors, including changes in the estimated fair value of our equity securities.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20"/>
          </w:cols>
          <w:pgMar w:left="24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weighted-average assumptions were employed in estimating the value of the liabilities for Series C preferred stock warrants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 Scholes option-pricing model:</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2014</w:t>
            </w:r>
          </w:p>
        </w:tc>
        <w:tc>
          <w:tcPr>
            <w:tcW w:w="10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preferred stock</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Exercise price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1040"/>
              <w:spacing w:after="0"/>
              <w:rPr>
                <w:sz w:val="20"/>
                <w:szCs w:val="20"/>
                <w:color w:val="auto"/>
              </w:rPr>
            </w:pPr>
            <w:r>
              <w:rPr>
                <w:rFonts w:ascii="Arial" w:cs="Arial" w:eastAsia="Arial" w:hAnsi="Arial"/>
                <w:sz w:val="18"/>
                <w:szCs w:val="18"/>
                <w:color w:val="auto"/>
              </w:rPr>
              <w:t>0.65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0.65</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1500" w:type="dxa"/>
            <w:vAlign w:val="bottom"/>
            <w:gridSpan w:val="2"/>
          </w:tcPr>
          <w:p>
            <w:pPr>
              <w:jc w:val="right"/>
              <w:ind w:right="88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81.0%</w:t>
            </w: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Contractual term (in years)</w:t>
            </w:r>
          </w:p>
        </w:tc>
        <w:tc>
          <w:tcPr>
            <w:tcW w:w="120" w:type="dxa"/>
            <w:vAlign w:val="bottom"/>
          </w:tcPr>
          <w:p>
            <w:pPr>
              <w:spacing w:after="0"/>
              <w:rPr>
                <w:sz w:val="18"/>
                <w:szCs w:val="18"/>
                <w:color w:val="auto"/>
              </w:rPr>
            </w:pPr>
          </w:p>
        </w:tc>
        <w:tc>
          <w:tcPr>
            <w:tcW w:w="1500" w:type="dxa"/>
            <w:vAlign w:val="bottom"/>
            <w:gridSpan w:val="2"/>
          </w:tcPr>
          <w:p>
            <w:pPr>
              <w:jc w:val="right"/>
              <w:ind w:right="104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measurement date fair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0.87</w:t>
            </w:r>
          </w:p>
        </w:tc>
      </w:tr>
    </w:tbl>
    <w:p>
      <w:pPr>
        <w:spacing w:after="0" w:line="20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 10% increase in the fair values of preferred stock at December 31, 2014 and 2015 would result in increases in the estimated fair values of the preferred stock warrant liabilities of $89,000 and $0.2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in liabilities measured at fair value on a recurring basis using significant unobservable inputs (Level 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Inputs):</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6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Preferred Stock Warrant Liabilities:</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Beginning balance</w:t>
            </w:r>
          </w:p>
        </w:tc>
        <w:tc>
          <w:tcPr>
            <w:tcW w:w="1000" w:type="dxa"/>
            <w:vAlign w:val="bottom"/>
            <w:gridSpan w:val="4"/>
          </w:tcPr>
          <w:p>
            <w:pPr>
              <w:jc w:val="right"/>
              <w:ind w:right="520"/>
              <w:spacing w:after="0"/>
              <w:rPr>
                <w:sz w:val="20"/>
                <w:szCs w:val="20"/>
                <w:color w:val="auto"/>
              </w:rPr>
            </w:pPr>
            <w:r>
              <w:rPr>
                <w:rFonts w:ascii="Arial" w:cs="Arial" w:eastAsia="Arial" w:hAnsi="Arial"/>
                <w:sz w:val="18"/>
                <w:szCs w:val="18"/>
                <w:color w:val="auto"/>
                <w:w w:val="88"/>
              </w:rPr>
              <w:t>$(386)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Issuances</w:t>
            </w:r>
          </w:p>
        </w:tc>
        <w:tc>
          <w:tcPr>
            <w:tcW w:w="100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Unrealized net losses included in other income (expense), net</w:t>
            </w:r>
          </w:p>
        </w:tc>
        <w:tc>
          <w:tcPr>
            <w:tcW w:w="1000" w:type="dxa"/>
            <w:vAlign w:val="bottom"/>
            <w:gridSpan w:val="4"/>
          </w:tcPr>
          <w:p>
            <w:pPr>
              <w:jc w:val="right"/>
              <w:ind w:right="52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1"/>
              </w:rPr>
              <w:t>(1,277)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warrant liabilities to equity</w:t>
            </w:r>
          </w:p>
        </w:tc>
        <w:tc>
          <w:tcPr>
            <w:tcW w:w="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(569</w:t>
            </w:r>
          </w:p>
        </w:tc>
        <w:tc>
          <w:tcPr>
            <w:tcW w:w="580" w:type="dxa"/>
            <w:vAlign w:val="bottom"/>
            <w:gridSpan w:val="2"/>
          </w:tcPr>
          <w:p>
            <w:pPr>
              <w:jc w:val="right"/>
              <w:ind w:right="5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(1,549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July 2015, the Company reclassified 288,462 Series C Preferred Stock warrants from Preferred stock warrant liabilities to Additional paid in capital on the Consolidated Balance Sheets, at fair value on the date of transfer. The reclassification occurred upon the expiration of a feature within the warrant contract that had previously precluded equity classification. As a result, these warrants are no longer remeasured at fair value on a recurring basis at December 31,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values of the Company’s financial instruments estimated as of December 31, 2014 and 2015 are presented below:</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0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2014</w:t>
            </w:r>
          </w:p>
        </w:tc>
        <w:tc>
          <w:tcPr>
            <w:tcW w:w="168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 2015</w:t>
            </w:r>
          </w:p>
        </w:tc>
      </w:tr>
      <w:tr>
        <w:trPr>
          <w:trHeight w:val="119"/>
        </w:trPr>
        <w:tc>
          <w:tcPr>
            <w:tcW w:w="674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500" w:type="dxa"/>
            <w:vAlign w:val="bottom"/>
          </w:tcPr>
          <w:p>
            <w:pPr>
              <w:spacing w:after="0"/>
              <w:rPr>
                <w:sz w:val="10"/>
                <w:szCs w:val="10"/>
                <w:color w:val="auto"/>
              </w:rPr>
            </w:pPr>
          </w:p>
        </w:tc>
        <w:tc>
          <w:tcPr>
            <w:tcW w:w="10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Carrying</w:t>
            </w:r>
          </w:p>
        </w:tc>
        <w:tc>
          <w:tcPr>
            <w:tcW w:w="5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6740" w:type="dxa"/>
            <w:vAlign w:val="bottom"/>
          </w:tcPr>
          <w:p>
            <w:pPr>
              <w:spacing w:after="0"/>
              <w:rPr>
                <w:sz w:val="14"/>
                <w:szCs w:val="14"/>
                <w:color w:val="auto"/>
              </w:rPr>
            </w:pP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10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Notes Payable</w:t>
            </w: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$ 4,793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$4,793</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$ 4,903</w:t>
            </w:r>
          </w:p>
        </w:tc>
        <w:tc>
          <w:tcPr>
            <w:tcW w:w="5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$4,686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340" w:firstLine="456"/>
        <w:spacing w:after="0" w:line="277" w:lineRule="auto"/>
        <w:rPr>
          <w:sz w:val="20"/>
          <w:szCs w:val="20"/>
          <w:color w:val="auto"/>
        </w:rPr>
      </w:pPr>
      <w:r>
        <w:rPr>
          <w:rFonts w:ascii="Arial" w:cs="Arial" w:eastAsia="Arial" w:hAnsi="Arial"/>
          <w:sz w:val="18"/>
          <w:szCs w:val="18"/>
          <w:color w:val="auto"/>
        </w:rPr>
        <w:t>The carrying amounts of certain of our financial instruments, including cash and cash equivalents, receivable from collaborative partner, accounts payable, and accrued expenses approximate fair value due to their short-term nature.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00"/>
          </w:cols>
          <w:pgMar w:left="240" w:top="460" w:right="3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the Company’s financial instruments for which it is practicable to estimate that value:</w:t>
      </w:r>
    </w:p>
    <w:p>
      <w:pPr>
        <w:spacing w:after="0" w:line="17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i w:val="1"/>
          <w:iCs w:val="1"/>
          <w:color w:val="auto"/>
        </w:rPr>
        <w:t>Notes Payable</w:t>
      </w:r>
      <w:r>
        <w:rPr>
          <w:rFonts w:ascii="Arial" w:cs="Arial" w:eastAsia="Arial" w:hAnsi="Arial"/>
          <w:sz w:val="17"/>
          <w:szCs w:val="17"/>
          <w:color w:val="auto"/>
        </w:rPr>
        <w:t>—We use the income approach to value the aforementioned debt instrument. We use a present value calculation to discount principal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payments and the final maturity payment on these liabilities using a discounted cash flow model based on observable inputs. The Company discounts these debt instruments based on what the current market rates would offer the Company as of the reporting date. Based on the assumptions used to value these liabilities at fair value, these debt instruments are categorized as Level 2 in the fair value hierarchy.</w:t>
      </w:r>
    </w:p>
    <w:p>
      <w:pPr>
        <w:spacing w:after="0" w:line="316"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Series D 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July 13, 2015, we issued and sold 38,436,851 shares of Series D Convertible Preferred Stock at $1.06 per share for net proceeds of $40.7 million.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Amendments to Certificate of Incorporation and 2006 Equity Incentive Plan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13, 2015, we amended our amended and restated certificate of incorporation to increase the total number of shares authorized for issuance from 141,506,903 shares to 203,208,537 shares. Of these shares, 120,500,000 shares are designated as common stock and 82,708,537 shares are designated as preferred stock, which are designated as follows:</w:t>
      </w:r>
    </w:p>
    <w:p>
      <w:pPr>
        <w:spacing w:after="0" w:line="22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1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Series B</w:t>
            </w:r>
          </w:p>
        </w:tc>
        <w:tc>
          <w:tcPr>
            <w:tcW w:w="1060" w:type="dxa"/>
            <w:vAlign w:val="bottom"/>
          </w:tcPr>
          <w:p>
            <w:pPr>
              <w:jc w:val="right"/>
              <w:spacing w:after="0"/>
              <w:rPr>
                <w:sz w:val="20"/>
                <w:szCs w:val="20"/>
                <w:color w:val="auto"/>
              </w:rPr>
            </w:pPr>
            <w:r>
              <w:rPr>
                <w:rFonts w:ascii="Arial" w:cs="Arial" w:eastAsia="Arial" w:hAnsi="Arial"/>
                <w:sz w:val="18"/>
                <w:szCs w:val="18"/>
                <w:color w:val="auto"/>
              </w:rPr>
              <w:t>25,524,510</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Series B-1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1,996,153</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Series B-2</w:t>
            </w:r>
          </w:p>
        </w:tc>
        <w:tc>
          <w:tcPr>
            <w:tcW w:w="1060" w:type="dxa"/>
            <w:vAlign w:val="bottom"/>
          </w:tcPr>
          <w:p>
            <w:pPr>
              <w:jc w:val="right"/>
              <w:spacing w:after="0"/>
              <w:rPr>
                <w:sz w:val="20"/>
                <w:szCs w:val="20"/>
                <w:color w:val="auto"/>
              </w:rPr>
            </w:pPr>
            <w:r>
              <w:rPr>
                <w:rFonts w:ascii="Arial" w:cs="Arial" w:eastAsia="Arial" w:hAnsi="Arial"/>
                <w:sz w:val="18"/>
                <w:szCs w:val="18"/>
                <w:color w:val="auto"/>
              </w:rPr>
              <w:t>222,216</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13,210,753</w:t>
            </w:r>
          </w:p>
        </w:tc>
        <w:tc>
          <w:tcPr>
            <w:tcW w:w="12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Series C-1</w:t>
            </w:r>
          </w:p>
        </w:tc>
        <w:tc>
          <w:tcPr>
            <w:tcW w:w="1060" w:type="dxa"/>
            <w:vAlign w:val="bottom"/>
          </w:tcPr>
          <w:p>
            <w:pPr>
              <w:jc w:val="right"/>
              <w:spacing w:after="0"/>
              <w:rPr>
                <w:sz w:val="20"/>
                <w:szCs w:val="20"/>
                <w:color w:val="auto"/>
              </w:rPr>
            </w:pPr>
            <w:r>
              <w:rPr>
                <w:rFonts w:ascii="Arial" w:cs="Arial" w:eastAsia="Arial" w:hAnsi="Arial"/>
                <w:sz w:val="18"/>
                <w:szCs w:val="18"/>
                <w:color w:val="auto"/>
              </w:rPr>
              <w:t>3,318,054</w:t>
            </w:r>
          </w:p>
        </w:tc>
        <w:tc>
          <w:tcPr>
            <w:tcW w:w="12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Series D</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38,436,851</w:t>
            </w:r>
          </w:p>
        </w:tc>
        <w:tc>
          <w:tcPr>
            <w:tcW w:w="120" w:type="dxa"/>
            <w:vAlign w:val="bottom"/>
            <w:shd w:val="clear" w:color="auto" w:fill="CCEEFF"/>
          </w:tcPr>
          <w:p>
            <w:pPr>
              <w:spacing w:after="0"/>
              <w:rPr>
                <w:sz w:val="18"/>
                <w:szCs w:val="18"/>
                <w:color w:val="auto"/>
              </w:rPr>
            </w:pP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Total designated Preferred Stock</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82,708,537</w:t>
            </w:r>
          </w:p>
        </w:tc>
        <w:tc>
          <w:tcPr>
            <w:tcW w:w="12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Additionally, the amended and restated certificate of incorporation provided for the split of Series B and Series B-1 Preferred Stock into ten shares for every nine shares outstanding. The consolidated financial statements and accompanying footnotes have been retroactively restated to reflect the Series B and Series B-1 Preferred Stock splits.</w:t>
      </w:r>
    </w:p>
    <w:p>
      <w:pPr>
        <w:spacing w:after="0" w:line="18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Series B, B-1, and B-2 Preferred Stock (collectively, the “Series B Preferred Stock”) generally have consistent rights and preferences discussed below, except that the conversion price of the Series B-2 Preferred Stock shall not be subject to adjustment in the event that we issue additional equity securities at a purchase price less than the Series B-2 conversion price.</w:t>
      </w:r>
    </w:p>
    <w:p>
      <w:pPr>
        <w:spacing w:after="0" w:line="181" w:lineRule="exact"/>
        <w:rPr>
          <w:sz w:val="20"/>
          <w:szCs w:val="20"/>
          <w:color w:val="auto"/>
        </w:rPr>
      </w:pPr>
    </w:p>
    <w:p>
      <w:pPr>
        <w:jc w:val="both"/>
        <w:ind w:right="180" w:firstLine="456"/>
        <w:spacing w:after="0" w:line="297" w:lineRule="auto"/>
        <w:rPr>
          <w:sz w:val="20"/>
          <w:szCs w:val="20"/>
          <w:color w:val="auto"/>
        </w:rPr>
      </w:pPr>
      <w:r>
        <w:rPr>
          <w:rFonts w:ascii="Arial" w:cs="Arial" w:eastAsia="Arial" w:hAnsi="Arial"/>
          <w:sz w:val="16"/>
          <w:szCs w:val="16"/>
          <w:color w:val="auto"/>
        </w:rPr>
        <w:t>The convertible preferred stock has been classified as temporary equity in the accompanying balance sheets as the shares include provisions allowing the holder to cause redemption of the shares upon certain change in control events that are outside of our control. We have elected not to adjust the carrying values of the convertible preferred stock to the respective liquidation preferences of such shares as we are uncertain whether or when an event would occur that would obligate us to pay the liquidation preference to the holders of such shares, as discussed below. Adjustments to increase the carrying values to the respective liquidation preferences will be made if and when it becomes probable that an event would occur obligating us to pay such amounts.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60" w:right="2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right="260" w:firstLine="456"/>
        <w:spacing w:after="0" w:line="258" w:lineRule="auto"/>
        <w:rPr>
          <w:sz w:val="20"/>
          <w:szCs w:val="20"/>
          <w:color w:val="auto"/>
        </w:rPr>
      </w:pPr>
      <w:r>
        <w:rPr>
          <w:rFonts w:ascii="Arial" w:cs="Arial" w:eastAsia="Arial" w:hAnsi="Arial"/>
          <w:sz w:val="18"/>
          <w:szCs w:val="18"/>
          <w:b w:val="1"/>
          <w:bCs w:val="1"/>
          <w:color w:val="auto"/>
        </w:rPr>
        <w:t xml:space="preserve">Dividend Rights. </w:t>
      </w:r>
      <w:r>
        <w:rPr>
          <w:rFonts w:ascii="Arial" w:cs="Arial" w:eastAsia="Arial" w:hAnsi="Arial"/>
          <w:sz w:val="18"/>
          <w:szCs w:val="18"/>
          <w:color w:val="auto"/>
        </w:rPr>
        <w:t>The holders of the Series Preferred Stock are entitled to receive noncumulative dividends at a rate of 8% of the respective Series</w:t>
      </w:r>
      <w:r>
        <w:rPr>
          <w:rFonts w:ascii="Arial" w:cs="Arial" w:eastAsia="Arial" w:hAnsi="Arial"/>
          <w:sz w:val="18"/>
          <w:szCs w:val="18"/>
          <w:b w:val="1"/>
          <w:bCs w:val="1"/>
          <w:color w:val="auto"/>
        </w:rPr>
        <w:t xml:space="preserve"> </w:t>
      </w:r>
      <w:r>
        <w:rPr>
          <w:rFonts w:ascii="Arial" w:cs="Arial" w:eastAsia="Arial" w:hAnsi="Arial"/>
          <w:sz w:val="18"/>
          <w:szCs w:val="18"/>
          <w:color w:val="auto"/>
        </w:rPr>
        <w:t>issue price per annum. The Series D Preferred Stock dividends are payable in preference and in priority to any Series C-1 Preferred Stock. The Series C-1 Preferred Stock dividends are payable in preference and in priority to any Series C Preferred Stock. The Series C Preferred Stock dividends are payable in preference and in priority to any Series B Preferred Stock. The Series B and Series A Preferred Stock dividends are payable in preference and in priority to any dividends on common stock.</w:t>
      </w:r>
    </w:p>
    <w:p>
      <w:pPr>
        <w:spacing w:after="0" w:line="18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preferred stock dividends are payable when, as and if declared by our board of directors. As of December 31, 2015, the board of directors has not declared any dividends.</w:t>
      </w:r>
    </w:p>
    <w:p>
      <w:pPr>
        <w:spacing w:after="0" w:line="16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The holders of Series Preferred Stock are entitled to one vote for each share of common stock into which such Series Preferred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could then be converted; and with respect to such vote, such holder shall have full voting rights and powers equal to the voting rights and powers of the holders of common stock, except that the holders of the Series B Preferred shares, voting as a separate class, are entitled to elect two members of the board of directors, the holders of the Series A Preferred and common stock shares, each voting as a separate class, are each entitled to elect one member of the board of directors, and the holders of the Preferred and common shares, voting as a single class, are entitled to elect all remaining members of the board of the directors.</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b w:val="1"/>
          <w:bCs w:val="1"/>
          <w:color w:val="auto"/>
        </w:rPr>
        <w:t xml:space="preserve">Liquidation Rights. </w:t>
      </w:r>
      <w:r>
        <w:rPr>
          <w:rFonts w:ascii="Arial" w:cs="Arial" w:eastAsia="Arial" w:hAnsi="Arial"/>
          <w:sz w:val="16"/>
          <w:szCs w:val="16"/>
          <w:color w:val="auto"/>
        </w:rPr>
        <w:t>Upon liquidation, dissolution or winding up of the Company, the holders of Preferred Stock are entitled to receive distributions to</w:t>
      </w:r>
      <w:r>
        <w:rPr>
          <w:rFonts w:ascii="Arial" w:cs="Arial" w:eastAsia="Arial" w:hAnsi="Arial"/>
          <w:sz w:val="16"/>
          <w:szCs w:val="16"/>
          <w:b w:val="1"/>
          <w:bCs w:val="1"/>
          <w:color w:val="auto"/>
        </w:rPr>
        <w:t xml:space="preserve"> </w:t>
      </w:r>
      <w:r>
        <w:rPr>
          <w:rFonts w:ascii="Arial" w:cs="Arial" w:eastAsia="Arial" w:hAnsi="Arial"/>
          <w:sz w:val="16"/>
          <w:szCs w:val="16"/>
          <w:color w:val="auto"/>
        </w:rPr>
        <w:t>be paid out of the assets of the Company, before any distributions are made to the holders of common stock. The holders of the Series D are entitled to receive liquidation preference at one (1) times the original issue price of $1.06 per share plus all declared and unpaid dividends. Liquidation payments to the holders of Series D Preferred Stock have priority and are made in preference to any payments to the holders of Series C-1 Preferred Stock. The holders of the Series C-1 are entitled to receive liquidation preference at three (3) times the original issue price of $0.65 per share plus all declared and unpaid dividends. Liquidation payments to the holders of Series C-1 Preferred Stock have priority and are made in preference to any payments to the holders of Series C Preferred Stock. The holders of the Series C Preferred Stock are entitled to receive liquidation preferences at the rate of $0.65 per share plus all declared and unpaid dividends. Liquidation payments to the holders of Series C Preferred Stock have priority and are made in preference to any payments to the holders of Series B Preferred Stock. The holders of the Series B and Series B-1 Preferred Stock are entitled to receive liquidation preferences at the rate of $0.90 per share plus all declared and unpaid dividends and the holders of Series A and Series B-2 Preferred Stock are entitled to receive liquidation preferences at the rate of $1.00 per share plus all declared and unpaid dividends. Liquidation payments to the holders of Series B and Series A Preferred Stock have priority and are made in preference to any payments to the holders of common stock.</w:t>
      </w:r>
    </w:p>
    <w:p>
      <w:pPr>
        <w:spacing w:after="0" w:line="169" w:lineRule="exact"/>
        <w:rPr>
          <w:sz w:val="20"/>
          <w:szCs w:val="20"/>
          <w:color w:val="auto"/>
        </w:rPr>
      </w:pPr>
    </w:p>
    <w:p>
      <w:pPr>
        <w:ind w:right="220" w:firstLine="456"/>
        <w:spacing w:after="0" w:line="273" w:lineRule="auto"/>
        <w:rPr>
          <w:sz w:val="20"/>
          <w:szCs w:val="20"/>
          <w:color w:val="auto"/>
        </w:rPr>
      </w:pPr>
      <w:r>
        <w:rPr>
          <w:rFonts w:ascii="Arial" w:cs="Arial" w:eastAsia="Arial" w:hAnsi="Arial"/>
          <w:sz w:val="17"/>
          <w:szCs w:val="17"/>
          <w:b w:val="1"/>
          <w:bCs w:val="1"/>
          <w:color w:val="auto"/>
        </w:rPr>
        <w:t xml:space="preserve">Conversion Rights. </w:t>
      </w:r>
      <w:r>
        <w:rPr>
          <w:rFonts w:ascii="Arial" w:cs="Arial" w:eastAsia="Arial" w:hAnsi="Arial"/>
          <w:sz w:val="17"/>
          <w:szCs w:val="17"/>
          <w:color w:val="auto"/>
        </w:rPr>
        <w:t>The shares of Series A Preferred Stock are convertible into shares of common stock at a conversion price of $0.90 per share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Series B, C, C-1 and D Preferred Stock are convertible into an equal number of shares of common stock. The shares of Series Preferred Stock are convertible at any time, at the option of the holder, subject to certain antidilutive adjustments. Each share of Series Preferred Stock is automatically converted into common stock (i) upon the affirmative election of the holders of at least a majority of the outstanding shares of the Series Preferred Stock, voting together as a single class on an as if converted basis, or (ii) immediately upon the closing of a firmly underwritten public offering pursuant to an effective registration statement under the Securities Act of 1933, as amended, in which the gross cash proceeds to the Company (before underwriting discounts, commissions and fees) are at least $50.0 million.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Shares</w:t>
      </w:r>
    </w:p>
    <w:p>
      <w:pPr>
        <w:spacing w:after="0" w:line="11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We have authorized 120,500,000 shares of common stock, of which 18,407,054 shares were issued and outstanding at December 31, 2015. Common shares reserved for future issuance upon the exercise, issuance or conversion of the respective equity instruments at December 31, 2015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80,645,051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Issued and Outstanding:</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14,351,840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ind w:left="340"/>
              <w:spacing w:after="0"/>
              <w:rPr>
                <w:sz w:val="20"/>
                <w:szCs w:val="20"/>
                <w:color w:val="auto"/>
              </w:rPr>
            </w:pPr>
            <w:r>
              <w:rPr>
                <w:rFonts w:ascii="Arial" w:cs="Arial" w:eastAsia="Arial" w:hAnsi="Arial"/>
                <w:sz w:val="18"/>
                <w:szCs w:val="18"/>
                <w:color w:val="auto"/>
              </w:rPr>
              <w:t>Warrants for shares of convertible preferred stock and common stock</w:t>
            </w: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2,885,870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Shares reserved for future award grants</w:t>
            </w: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2,302,739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gridSpan w:val="3"/>
          </w:tcPr>
          <w:p>
            <w:pPr>
              <w:ind w:left="340"/>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100,185,500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rPr>
              <w:t>Warrants for Shares of Preferred and Common Stock</w:t>
            </w: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740" w:type="dxa"/>
            <w:vAlign w:val="bottom"/>
            <w:gridSpan w:val="4"/>
            <w:vMerge w:val="continue"/>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100" w:type="dxa"/>
            <w:vAlign w:val="bottom"/>
            <w:gridSpan w:val="5"/>
          </w:tcPr>
          <w:p>
            <w:pPr>
              <w:ind w:left="440"/>
              <w:spacing w:after="0"/>
              <w:rPr>
                <w:sz w:val="20"/>
                <w:szCs w:val="20"/>
                <w:color w:val="auto"/>
              </w:rPr>
            </w:pPr>
            <w:r>
              <w:rPr>
                <w:rFonts w:ascii="Arial" w:cs="Arial" w:eastAsia="Arial" w:hAnsi="Arial"/>
                <w:sz w:val="18"/>
                <w:szCs w:val="18"/>
                <w:color w:val="auto"/>
                <w:w w:val="91"/>
              </w:rPr>
              <w:t>A summary of the activity related to our warrants during the year ended December 31, 2015 is as follows: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Weighted-</w:t>
            </w:r>
          </w:p>
        </w:tc>
        <w:tc>
          <w:tcPr>
            <w:tcW w:w="440" w:type="dxa"/>
            <w:vAlign w:val="bottom"/>
          </w:tcPr>
          <w:p>
            <w:pPr>
              <w:spacing w:after="0"/>
              <w:rPr>
                <w:sz w:val="24"/>
                <w:szCs w:val="24"/>
                <w:color w:val="auto"/>
              </w:rPr>
            </w:pPr>
          </w:p>
        </w:tc>
        <w:tc>
          <w:tcPr>
            <w:tcW w:w="7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89"/>
              </w:rPr>
              <w:t>Shares</w:t>
            </w: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Remaining</w:t>
            </w:r>
          </w:p>
        </w:tc>
        <w:tc>
          <w:tcPr>
            <w:tcW w:w="440" w:type="dxa"/>
            <w:vAlign w:val="bottom"/>
          </w:tcPr>
          <w:p>
            <w:pPr>
              <w:spacing w:after="0"/>
              <w:rPr>
                <w:sz w:val="12"/>
                <w:szCs w:val="12"/>
                <w:color w:val="auto"/>
              </w:rPr>
            </w:pPr>
          </w:p>
        </w:tc>
        <w:tc>
          <w:tcPr>
            <w:tcW w:w="72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rPr>
              <w:t>Warrant</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Subject to</w:t>
            </w: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Price per</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Term</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Warrants</w:t>
            </w:r>
          </w:p>
        </w:tc>
        <w:tc>
          <w:tcPr>
            <w:tcW w:w="10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Share</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(in years)</w:t>
            </w:r>
          </w:p>
        </w:tc>
        <w:tc>
          <w:tcPr>
            <w:tcW w:w="440" w:type="dxa"/>
            <w:vAlign w:val="bottom"/>
          </w:tcPr>
          <w:p>
            <w:pPr>
              <w:spacing w:after="0"/>
              <w:rPr>
                <w:sz w:val="14"/>
                <w:szCs w:val="14"/>
                <w:color w:val="auto"/>
              </w:rPr>
            </w:pPr>
          </w:p>
        </w:tc>
        <w:tc>
          <w:tcPr>
            <w:tcW w:w="7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9"/>
              </w:rPr>
              <w:t>Warrants to Purchase Shares of Series C Preferred Stock</w:t>
            </w:r>
          </w:p>
        </w:tc>
        <w:tc>
          <w:tcPr>
            <w:tcW w:w="23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CCEEFF"/>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2,063,484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0.65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3.7</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Warrants to Purchase Shares of Common Stock</w:t>
            </w:r>
          </w:p>
        </w:tc>
        <w:tc>
          <w:tcPr>
            <w:tcW w:w="7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60" w:type="dxa"/>
            <w:vAlign w:val="bottom"/>
            <w:tcBorders>
              <w:top w:val="single" w:sz="8" w:color="auto"/>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Outstanding and exercisable at December 31, 2014 and 2015</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822,386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0.65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Equity Incentive Plan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2006 Equity Incentive Plan (the “Plan”) provides for the grant of incentive stock options, nonstatutory stock options, stock appreciation rights, and rights to purchase restricted stock to our employees, nonemployee directors and consultants. Recipients of incentive stock options shall be eligible to purchase shares of our common stock at an exercise price equal to no less than the estimated fair market value of such stock on the date of grant. The maximum term of options granted under the Plan is ten years. On April 29, 2015, our stockholders approved an amendment to the Plan which provided for an increase in the number of shares of common stock available for issuance under the plan by 3,810,000 and on July 9, 2015, we amended our 2006 Equity Incentive Plan to increase the number of shares reserved for issuance under the plan by 4,766,852 shares. As of December 31, 2015, awards for up to 16,654,579 shares of common stock are reserved for issuance under the Plan, of which 14,351,840 are reserved for issuance upon exercise of granted and outstanding options and 2,302,739 shares are available for future grants.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Stock options granted to employees and nonemployees generally vest over a four-year period and have a maximum term of ten years from the date of grant, subject to earlier cancellation prior to vesting upon cessation of service to the Company. A summary of the activity related to stock option awards during the year ended December 31, 2015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88"/>
              </w:rPr>
              <w:t>Weighted-</w:t>
            </w:r>
          </w:p>
        </w:tc>
        <w:tc>
          <w:tcPr>
            <w:tcW w:w="13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Weighted-</w:t>
            </w:r>
          </w:p>
        </w:tc>
        <w:tc>
          <w:tcPr>
            <w:tcW w:w="7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Remaining</w:t>
            </w:r>
          </w:p>
        </w:tc>
        <w:tc>
          <w:tcPr>
            <w:tcW w:w="7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Exercise</w:t>
            </w:r>
          </w:p>
        </w:tc>
        <w:tc>
          <w:tcPr>
            <w:tcW w:w="13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6600" w:type="dxa"/>
            <w:vAlign w:val="bottom"/>
          </w:tcPr>
          <w:p>
            <w:pPr>
              <w:spacing w:after="0"/>
              <w:rPr>
                <w:sz w:val="12"/>
                <w:szCs w:val="12"/>
                <w:color w:val="auto"/>
              </w:rPr>
            </w:pPr>
          </w:p>
        </w:tc>
        <w:tc>
          <w:tcPr>
            <w:tcW w:w="12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280" w:type="dxa"/>
            <w:vAlign w:val="bottom"/>
          </w:tcPr>
          <w:p>
            <w:pPr>
              <w:spacing w:after="0"/>
              <w:rPr>
                <w:sz w:val="12"/>
                <w:szCs w:val="12"/>
                <w:color w:val="auto"/>
              </w:rPr>
            </w:pPr>
          </w:p>
        </w:tc>
        <w:tc>
          <w:tcPr>
            <w:tcW w:w="12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Price per</w:t>
            </w: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71"/>
        </w:trPr>
        <w:tc>
          <w:tcPr>
            <w:tcW w:w="6600" w:type="dxa"/>
            <w:vAlign w:val="bottom"/>
          </w:tcPr>
          <w:p>
            <w:pPr>
              <w:spacing w:after="0"/>
              <w:rPr>
                <w:sz w:val="14"/>
                <w:szCs w:val="14"/>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Options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Share</w:t>
            </w:r>
          </w:p>
        </w:tc>
        <w:tc>
          <w:tcPr>
            <w:tcW w:w="13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(in years)</w:t>
            </w: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8,717,585</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7,280,855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Exercises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(1,038,840)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0.15</w:t>
            </w: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Forfeitures and cancellations</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(607,760)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0.55</w:t>
            </w: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and exercisable at December 31, 2015</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14,351,840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0.57</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Options vested or expected to vest at December 31, 2015</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0.55</w:t>
            </w:r>
          </w:p>
        </w:tc>
        <w:tc>
          <w:tcPr>
            <w:tcW w:w="136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7.9</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9,537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60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13,373,913</w:t>
            </w:r>
          </w:p>
        </w:tc>
        <w:tc>
          <w:tcPr>
            <w:tcW w:w="34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cash received from the exercise of stock options was $0.2 million during the year ended December 31, 2015.</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All stock option grants under the Plan provide for exercise of the stock option prior to vesting. Shares of common stock issued upon exercise of unvested options are subject to repurchase by us at the respective original exercise price until vested. Consideration received for the exercise of unvested stock options is recorded as a liability and reclassified into equity as the related award vests.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The estimated fair value of each stock option award was determined on the date of grant using the Black-Scholes option valuation model with the following weighted average assumptions for options granted to employees during the years ended December 31, 2014 and 2015:</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5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82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2014</w:t>
            </w:r>
          </w:p>
        </w:tc>
        <w:tc>
          <w:tcPr>
            <w:tcW w:w="5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Expected volatility</w:t>
            </w:r>
          </w:p>
        </w:tc>
        <w:tc>
          <w:tcPr>
            <w:tcW w:w="2540" w:type="dxa"/>
            <w:vAlign w:val="bottom"/>
            <w:gridSpan w:val="3"/>
          </w:tcPr>
          <w:p>
            <w:pPr>
              <w:jc w:val="right"/>
              <w:ind w:right="440"/>
              <w:spacing w:after="0"/>
              <w:rPr>
                <w:sz w:val="20"/>
                <w:szCs w:val="20"/>
                <w:color w:val="auto"/>
              </w:rPr>
            </w:pPr>
            <w:r>
              <w:rPr>
                <w:rFonts w:ascii="Arial" w:cs="Arial" w:eastAsia="Arial" w:hAnsi="Arial"/>
                <w:sz w:val="18"/>
                <w:szCs w:val="18"/>
                <w:color w:val="auto"/>
              </w:rPr>
              <w:t>66.8%</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71.2%</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5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 value per share</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0.15</w:t>
            </w:r>
          </w:p>
        </w:tc>
        <w:tc>
          <w:tcPr>
            <w:tcW w:w="5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80" w:firstLine="456"/>
        <w:spacing w:after="0" w:line="272" w:lineRule="auto"/>
        <w:rPr>
          <w:sz w:val="20"/>
          <w:szCs w:val="20"/>
          <w:color w:val="auto"/>
        </w:rPr>
      </w:pPr>
      <w:r>
        <w:rPr>
          <w:rFonts w:ascii="Arial" w:cs="Arial" w:eastAsia="Arial" w:hAnsi="Arial"/>
          <w:sz w:val="17"/>
          <w:szCs w:val="17"/>
          <w:color w:val="auto"/>
        </w:rPr>
        <w:t>We determine the appropriate, risk free interest rate, expected term for employee stock based awards, contractual term for nonemployee stock based awards, and volatility assumptions. The weighted-average expected option term for employee stock based awards reflects the application of the simplified method, which defines the life as the average of the contractual term of the options and the weighted average vesting period for all option tranches. The weighted average expected term for nonemployee stock based awards is the remaining contractual life of the award. Estimated volatility incorporates historical volatility of similar entities whose share prices are publicly available. The risk free interest rate is based upon U.S. Treasury securities with remaining terms similar to the expected or contractual term of the share based payment awards. The assumed dividend yield is based on our expectation of not paying dividends in the foreseeable future.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non-cash stock-based compensation expense for all stock awards that was recognized in the statements of operations is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640" w:type="dxa"/>
            <w:vAlign w:val="bottom"/>
            <w:gridSpan w:val="2"/>
            <w:vMerge w:val="continue"/>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2014</w:t>
            </w: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7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7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At December 31, 2015, there was $4.3 million of unrecognized compensation cost related to unvested stock option awards, which is expected to be recognized over a remaining weighted average vesting period of 3.6 years.</w:t>
      </w:r>
    </w:p>
    <w:p>
      <w:pPr>
        <w:spacing w:after="0" w:line="315"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have a defined-contribution 401(k) plan for our employees. Employees are eligible to participate in the plan beginning on the first day of the month following date of hire. Under the terms of the plan, employees may make voluntary contributions as a percentage of compensation and we have the option to make a discretionary match as determined by the board of directors, within prescribed limits. There were no employer contributions to the plan during the years ended December 31, 2014 or 2015.</w:t>
      </w:r>
    </w:p>
    <w:p>
      <w:pPr>
        <w:spacing w:after="0" w:line="331"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lease our facility under a non-cancellable operating lease for which we exercised our option to renew for an additional five-year period. The lease now expires in August 2021.</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Rent expense was $0.4 million during the years ended December 31, 2014 and 2015, respectively. At December 31, 2015, deferred rent aggregated $0.1 million, of which $21,000 is included in other current liabilities and $0.1 million is included in noncurrent liabilities in the accompanying consolidated balance sheet. At December 31, 2015, the future minimum annual obligations under non-cancellable operating lease commitments are as follows:</w:t>
      </w:r>
    </w:p>
    <w:p>
      <w:pPr>
        <w:spacing w:after="0" w:line="165"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Years Ending December 31,</w:t>
      </w:r>
    </w:p>
    <w:p>
      <w:pPr>
        <w:spacing w:after="0" w:line="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(in thousands)</w:t>
      </w:r>
    </w:p>
    <w:p>
      <w:pPr>
        <w:spacing w:after="0" w:line="8" w:lineRule="exact"/>
        <w:rPr>
          <w:sz w:val="20"/>
          <w:szCs w:val="20"/>
          <w:color w:val="auto"/>
        </w:rPr>
      </w:pPr>
    </w:p>
    <w:tbl>
      <w:tblPr>
        <w:tblLayout w:type="fixed"/>
        <w:tblInd w:w="184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10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2017</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2019</w:t>
            </w:r>
          </w:p>
        </w:tc>
        <w:tc>
          <w:tcPr>
            <w:tcW w:w="3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payments required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3,154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entered into collaborative license agreements that provide us with rights to use certain know-how, technology and patent rights maintained by the licensors in our research and development efforts. Terms of the license agreements may require us to make upfront payments, milestone payments upon the achievement of certain product research and development objectives and royalty payments on fees received under our sublicensing arrangements and/or future sales, if any, of commercial products resulting from the collaboration.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Certain of the licensing agreements require guaranteed minimum annual payments. Terms of the licensing agreements generally range from the remaining life of the patent up to 17 years and, in some cases, may be subject to earlier termination by either party upon specified circumstances.</w:t>
      </w:r>
    </w:p>
    <w:p>
      <w:pPr>
        <w:spacing w:after="0" w:line="14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Total expense incurred under all collaborative licensing agreements for upfront, milestone and royalty payments were $0.2 million during each of the years ended December 31, 2014 and 2015. Total cash paid under these agreements was $0.2 million during each of the years ended December 31, 2014 and 2015.</w:t>
      </w:r>
    </w:p>
    <w:p>
      <w:pPr>
        <w:spacing w:after="0" w:line="18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Future minimum annual obligations under all such license agreements were $0.2 million in aggregate. These obligations are payable through ten years from the first commercial sale, if any, or expiration of the last patent to expire, the dates of which are not determinable at this time.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17" w:lineRule="exact"/>
        <w:rPr>
          <w:sz w:val="20"/>
          <w:szCs w:val="20"/>
          <w:color w:val="auto"/>
        </w:rPr>
      </w:pPr>
    </w:p>
    <w:p>
      <w:pPr>
        <w:ind w:right="440" w:firstLine="456"/>
        <w:spacing w:after="0" w:line="308" w:lineRule="auto"/>
        <w:rPr>
          <w:sz w:val="20"/>
          <w:szCs w:val="20"/>
          <w:color w:val="auto"/>
        </w:rPr>
      </w:pPr>
      <w:r>
        <w:rPr>
          <w:rFonts w:ascii="Arial" w:cs="Arial" w:eastAsia="Arial" w:hAnsi="Arial"/>
          <w:sz w:val="17"/>
          <w:szCs w:val="17"/>
          <w:color w:val="auto"/>
        </w:rPr>
        <w:t>At December 31, 2014 and 2015, we were contingently liable for a standby letter of credit issued by a commercial bank for $85,000 and $60,000, respectively, for security on our lease. A restricted cash account with these amounts was held as cash collateral for the letter of credit.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are, from time to time, involved in legal proceedings, regulatory actions, claims and litigation arising in the ordinary course of business. Currently, we are not a defendant in any lawsuit.</w:t>
      </w:r>
    </w:p>
    <w:p>
      <w:pPr>
        <w:spacing w:after="0" w:line="315"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Significant components of our deferred tax assets and liabilities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40" w:type="dxa"/>
            <w:vAlign w:val="bottom"/>
            <w:gridSpan w:val="2"/>
            <w:vMerge w:val="continue"/>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2014</w:t>
            </w:r>
          </w:p>
        </w:tc>
        <w:tc>
          <w:tcPr>
            <w:tcW w:w="6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8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16,480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2,285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Total deferred tax assets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18,985</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Fixed assets</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Convertible promissory note</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700"/>
              <w:spacing w:after="0"/>
              <w:rPr>
                <w:sz w:val="20"/>
                <w:szCs w:val="20"/>
                <w:color w:val="auto"/>
              </w:rPr>
            </w:pPr>
            <w:r>
              <w:rPr>
                <w:rFonts w:ascii="Arial" w:cs="Arial" w:eastAsia="Arial" w:hAnsi="Arial"/>
                <w:sz w:val="18"/>
                <w:szCs w:val="18"/>
                <w:color w:val="auto"/>
              </w:rPr>
              <w:t>Total deferred tax liabilities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6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deferred tax assets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18,836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ind w:left="1060"/>
              <w:spacing w:after="0"/>
              <w:rPr>
                <w:sz w:val="20"/>
                <w:szCs w:val="20"/>
                <w:color w:val="auto"/>
              </w:rPr>
            </w:pPr>
            <w:r>
              <w:rPr>
                <w:rFonts w:ascii="Arial" w:cs="Arial" w:eastAsia="Arial" w:hAnsi="Arial"/>
                <w:sz w:val="18"/>
                <w:szCs w:val="18"/>
                <w:color w:val="auto"/>
              </w:rPr>
              <w:t>Less: valuation allowance</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w w:val="89"/>
              </w:rPr>
              <w:t>(18,836)</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Deferred tax assets, net of valuation allowance</w:t>
            </w:r>
          </w:p>
        </w:tc>
        <w:tc>
          <w:tcPr>
            <w:tcW w:w="18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recorded a full valuation allowance against our net deferred tax assets due to the uncertainty surrounding the realization of such assets.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determined it more likely than not that the deferred tax assets are not realizable due to our historical loss position.</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 December 31, 2015, we had federal and state net operating loss carryforwards (“NOL”) of $34.5 million and $41.5 million, respectively. The federal and state NOLs will begin to expire in 2028 and 2017, respectively, unless previously utilized. At December 31, 2015 we had federal and California research tax credit carryforwards of $1.4 million and $1.7 million, respectively. The federal research tax credit carryforward will begin to expire in 2026 and the California state credits carryforward indefinitely.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80"/>
          </w:cols>
          <w:pgMar w:left="240" w:top="460" w:right="2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above NOL carryforward and the research tax credit carryforwards may be subject to an annual limitation under Section 382 and 383 of the Internal Revenue Code of 1986,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In September 2015, we completed a Section 382 analysis through December 31, 2014 and determined that there was an ownership change in 2007 that may limit the utilization of approximately $5.3 million and $5.4 million in federal and state NOLs, respectively, and $0.2 million in both federal and state research tax credits. Our use of federal NOL carryforwards could be limited further by the provisions of Section 382 of the U.S. Internal Revenue Code of 1986, as amended, depending upon the timing and amount of additional equity securities that we have issued or will issue. State NOL carryforwards may be similarly limited. If eliminated, the related asset would be removed from the deferred tax asset schedule with a corresponding reduction in the valuation allowance. Due to the existence of the valuation allowance, limitations created by future ownership changes, if any, will not impact our effective tax rate.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the expected statutory federal income tax provision to our actual income tax provision:</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vMerge w:val="continue"/>
          </w:tcPr>
          <w:p>
            <w:pPr>
              <w:spacing w:after="0"/>
              <w:rPr>
                <w:sz w:val="12"/>
                <w:szCs w:val="12"/>
                <w:color w:val="auto"/>
              </w:rPr>
            </w:pPr>
          </w:p>
        </w:tc>
        <w:tc>
          <w:tcPr>
            <w:tcW w:w="6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Expected income tax expense (benefit) at federal statutory tax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5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Change in fair value of preferred stock warrant liabilities</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Return to provision adjustment</w:t>
            </w:r>
          </w:p>
        </w:tc>
        <w:tc>
          <w:tcPr>
            <w:tcW w:w="12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Rate differential</w:t>
            </w:r>
          </w:p>
        </w:tc>
        <w:tc>
          <w:tcPr>
            <w:tcW w:w="12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Research credits</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Change in the valuation allowance</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(1,235)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6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At December 31, 2014 and 2015,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642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Decrease related to prior year tax positions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Increase related to current year tax positions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Balance at the end of the year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8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anticipate there will be a significant change in unrecognized tax benefits within the next 12 months.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00"/>
          </w:cols>
          <w:pgMar w:left="240" w:top="460" w:right="2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policy is to recognize interest and penalties related to income tax matters in the provision for income taxes. At December 31, 2014 and 2015, there were no interest or penalties on uncertain tax benefits.</w:t>
      </w:r>
    </w:p>
    <w:p>
      <w:pPr>
        <w:spacing w:after="0" w:line="170"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We file income tax returns in the United States, California and Australia. Due to our losses incurred, we are essentially subject to income tax examination by tax authorities from inception to date.</w:t>
      </w:r>
    </w:p>
    <w:p>
      <w:pPr>
        <w:spacing w:after="0" w:line="315"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have evaluated subsequent events from the balance sheet date through February 12, 2016, the date at which the consolidated financial statements were issued.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Payment</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In January 2016, we earned a $4.0 million milestone payment from one of our collaborators. We expect to receive this $4.0 million milestone payment in February 2016.</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685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6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12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561340</wp:posOffset>
            </wp:positionV>
            <wp:extent cx="2118360" cy="5575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300"/>
        <w:spacing w:after="0"/>
        <w:rPr>
          <w:sz w:val="20"/>
          <w:szCs w:val="20"/>
          <w:color w:val="auto"/>
        </w:rPr>
      </w:pPr>
      <w:r>
        <w:rPr>
          <w:rFonts w:ascii="Arial" w:cs="Arial" w:eastAsia="Arial" w:hAnsi="Arial"/>
          <w:sz w:val="36"/>
          <w:szCs w:val="36"/>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Arial" w:cs="Arial" w:eastAsia="Arial" w:hAnsi="Arial"/>
          <w:sz w:val="32"/>
          <w:szCs w:val="3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681355</wp:posOffset>
            </wp:positionV>
            <wp:extent cx="43478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2759"/>
        <w:spacing w:after="0"/>
        <w:rPr>
          <w:sz w:val="20"/>
          <w:szCs w:val="20"/>
          <w:color w:val="auto"/>
        </w:rPr>
      </w:pPr>
      <w:r>
        <w:rPr>
          <w:rFonts w:ascii="Arial" w:cs="Arial" w:eastAsia="Arial" w:hAnsi="Arial"/>
          <w:sz w:val="25"/>
          <w:szCs w:val="25"/>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193675</wp:posOffset>
            </wp:positionV>
            <wp:extent cx="434784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Credit Suisse</w:t>
      </w:r>
    </w:p>
    <w:p>
      <w:pPr>
        <w:spacing w:after="0" w:line="267"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Stifel</w:t>
      </w:r>
    </w:p>
    <w:p>
      <w:pPr>
        <w:spacing w:after="0" w:line="25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JMP Securities</w:t>
      </w:r>
    </w:p>
    <w:p>
      <w:pPr>
        <w:spacing w:after="0" w:line="247"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640715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following table sets forth all costs and expenses, other than underwriting discounts and commissions, paid or payable by the Registrant in connection with the sale of the common stock being registered. All amounts shown are estimates except for the SEC registration fee and the FINRA filing fee: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7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Amount</w:t>
            </w:r>
          </w:p>
        </w:tc>
      </w:tr>
      <w:tr>
        <w:trPr>
          <w:trHeight w:val="149"/>
        </w:trPr>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Paid or</w:t>
            </w:r>
          </w:p>
        </w:tc>
      </w:tr>
      <w:tr>
        <w:trPr>
          <w:trHeight w:val="171"/>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580" w:type="dxa"/>
            <w:vAlign w:val="bottom"/>
            <w:gridSpan w:val="4"/>
          </w:tcPr>
          <w:p>
            <w:pPr>
              <w:ind w:left="1860"/>
              <w:spacing w:after="0"/>
              <w:rPr>
                <w:sz w:val="20"/>
                <w:szCs w:val="20"/>
                <w:color w:val="auto"/>
              </w:rPr>
            </w:pPr>
            <w:r>
              <w:rPr>
                <w:rFonts w:ascii="Arial" w:cs="Arial" w:eastAsia="Arial" w:hAnsi="Arial"/>
                <w:sz w:val="14"/>
                <w:szCs w:val="14"/>
                <w:b w:val="1"/>
                <w:bCs w:val="1"/>
                <w:color w:val="auto"/>
              </w:rPr>
              <w:t>to be Paid</w:t>
            </w:r>
          </w:p>
        </w:tc>
      </w:tr>
      <w:tr>
        <w:trPr>
          <w:trHeight w:val="210"/>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FINRA filing fee</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13,438</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60" w:type="dxa"/>
            <w:vAlign w:val="bottom"/>
            <w:gridSpan w:val="2"/>
          </w:tcPr>
          <w:p>
            <w:pPr>
              <w:ind w:left="680"/>
              <w:spacing w:after="0"/>
              <w:rPr>
                <w:sz w:val="20"/>
                <w:szCs w:val="20"/>
                <w:color w:val="auto"/>
              </w:rPr>
            </w:pPr>
            <w:r>
              <w:rPr>
                <w:rFonts w:ascii="Arial" w:cs="Arial" w:eastAsia="Arial" w:hAnsi="Arial"/>
                <w:sz w:val="18"/>
                <w:szCs w:val="18"/>
                <w:color w:val="auto"/>
              </w:rPr>
              <w:t>Total</w:t>
            </w: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5860" w:type="dxa"/>
            <w:vAlign w:val="bottom"/>
            <w:gridSpan w:val="2"/>
          </w:tcPr>
          <w:p>
            <w:pPr>
              <w:spacing w:after="0"/>
              <w:rPr>
                <w:sz w:val="11"/>
                <w:szCs w:val="11"/>
                <w:color w:val="auto"/>
              </w:rPr>
            </w:pPr>
          </w:p>
        </w:tc>
        <w:tc>
          <w:tcPr>
            <w:tcW w:w="1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740" w:type="dxa"/>
            <w:vAlign w:val="bottom"/>
            <w:gridSpan w:val="3"/>
          </w:tcPr>
          <w:p>
            <w:pPr>
              <w:ind w:left="180"/>
              <w:spacing w:after="0"/>
              <w:rPr>
                <w:sz w:val="20"/>
                <w:szCs w:val="20"/>
                <w:color w:val="auto"/>
              </w:rPr>
            </w:pPr>
            <w:r>
              <w:rPr>
                <w:rFonts w:ascii="Arial" w:cs="Arial" w:eastAsia="Arial" w:hAnsi="Arial"/>
                <w:sz w:val="18"/>
                <w:szCs w:val="18"/>
                <w:color w:val="auto"/>
              </w:rPr>
              <w:t>To be completed by amendment.</w:t>
            </w: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w:t>
      </w:r>
    </w:p>
    <w:p>
      <w:pPr>
        <w:spacing w:after="0" w:line="18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permitted by the Delaware General Corporation Law, the Registrant’s restated certificate of incorporation to be effective in connection with the closing of this offering contains provisions that eliminate the personal liability of its directors for monetary damages for any breach of fiduciary duties as a director, except liability for the following:</w:t>
      </w:r>
    </w:p>
    <w:p>
      <w:pPr>
        <w:spacing w:after="0" w:line="87" w:lineRule="exact"/>
        <w:rPr>
          <w:sz w:val="20"/>
          <w:szCs w:val="20"/>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Registrant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(regarding unlawful dividends and stock purchases);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permitted by the Delaware General Corporation Law, the Registrant’s restated bylaws to be effective upon the closing of this offering, provide that:</w:t>
      </w:r>
    </w:p>
    <w:p>
      <w:pPr>
        <w:spacing w:after="0" w:line="154" w:lineRule="exact"/>
        <w:rPr>
          <w:sz w:val="20"/>
          <w:szCs w:val="20"/>
          <w:color w:val="auto"/>
        </w:rPr>
      </w:pPr>
    </w:p>
    <w:p>
      <w:pPr>
        <w:ind w:left="900" w:right="240" w:hanging="325"/>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 is required to indemnify its directors and executive officers to the fullest extent permitted by the Delaware General Corporation Law, subject to limited exceptions;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 may indemnify its other employees and agents as set forth in the Delaware General Corporation Law;</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60"/>
          </w:cols>
          <w:pgMar w:left="240" w:top="459" w:right="2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60" w:hanging="325"/>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Registrant is required to advance expenses, as incurred, to its directors and executive officers in connection with a legal proceeding to the fullest extent permitted by the Delaware General Corporation Law, subject to limited exceptions;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rights conferred in the restated bylaws are not exclusive.</w:t>
      </w:r>
    </w:p>
    <w:p>
      <w:pPr>
        <w:spacing w:after="0" w:line="22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Prior to the closing of this offering, the Registrant has entered into indemnification agreements with each of its current directors and executive officers to provide these directors and executive officers additional contractual assurances regarding the scope of the indemnification set forth in the Registrant’s restated certificate of incorporation and restated bylaws and to provide additional procedural protections. There is no pending litigation or proceeding involving a director or executive officer of the Registrant for which indemnification is sought. Reference is also made to Section 9 of the underwriting agreement to be filed as Exhibit 1.1 to this registration statement, which provides for the indemnification of executive officers, directors and controlling persons of the Registrant against certain liabilities. The indemnification provisions in the Registrant’s restated certificate of incorporation,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Registrant currently carries liability insurance for its directors and officers.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Reference is made to the following documents filed as exhibits to this Registration Statement regarding relevant indemnification provisions described above and elsewhere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20" w:type="dxa"/>
            <w:vAlign w:val="bottom"/>
            <w:gridSpan w:val="2"/>
          </w:tcPr>
          <w:p>
            <w:pPr>
              <w:spacing w:after="0"/>
              <w:rPr>
                <w:sz w:val="20"/>
                <w:szCs w:val="20"/>
                <w:color w:val="auto"/>
              </w:rPr>
            </w:pPr>
            <w:r>
              <w:rPr>
                <w:rFonts w:ascii="Arial" w:cs="Arial" w:eastAsia="Arial" w:hAnsi="Arial"/>
                <w:sz w:val="14"/>
                <w:szCs w:val="14"/>
                <w:b w:val="1"/>
                <w:bCs w:val="1"/>
                <w:color w:val="auto"/>
              </w:rPr>
              <w:t>Exhibit Document</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97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Underwriting Agreement.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Restated Bylaws to be effective upon the closing of this offering.</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tcPr>
          <w:p>
            <w:pPr>
              <w:spacing w:after="0"/>
              <w:rPr>
                <w:sz w:val="20"/>
                <w:szCs w:val="20"/>
                <w:color w:val="auto"/>
              </w:rPr>
            </w:pPr>
            <w:r>
              <w:rPr>
                <w:rFonts w:ascii="Arial" w:cs="Arial" w:eastAsia="Arial" w:hAnsi="Arial"/>
                <w:sz w:val="18"/>
                <w:szCs w:val="18"/>
                <w:color w:val="auto"/>
                <w:w w:val="96"/>
              </w:rPr>
              <w:t>Amended and Restated Investors’ Rights Agreement dated July 13, 2015 among the Registrant and certain of its stockholders, as amended.</w:t>
            </w:r>
          </w:p>
        </w:tc>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of Indemnification Agreement.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lists set forth information regarding all securities sold or granted by us within the past three years that were not registered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Act, and the consideration, if any, received by us for such securities:</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Stock Option Grants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Between December 31, 2012 and December 31, 2015, the Registrant granted options to purchase 9,345,891 shares of common stock under our 2006</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Equity Incentive Plan to our directors, officers, employees, consultants, and other service providers with per share exercise prices ranging from $0.10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$1.22. In this same period, the Registrant issued 1,060,855 shares of common stock upon exercise of stock options previously issued under the 2006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Incentive Plan to our directors, officers, employees, consultants, and other service providers for cash consideration in the aggregate amount of $163,826.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and the common stock issuable upon the exercise of such options as described in this section (a) of Item 15 were issued pursuant to written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compensatory plans or arrangements with the Company’s employees and directors in reliance on the exemption provided by Rule 701 promulgated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All recipients either received adequate information about the Company or had access, through employment or other relationships, to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Warrants to Purchase Common Stock</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 August 2013, the Registrant issued a warrant to an accredited investor to purchase 822,386 shares of Registrant’s common stock. The common stock warrant has a per share exercise price of $0.65. The securities issued in this transaction were exempt from the registration requirements of the Securities Act in reliance upon Section 4(2) under the Securities Act.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 Warrants to Purchase Preferred Stock</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In December 2014, the Registrant issued warrants to accredited investors to purchase an aggregate of 288,462 shares of the Registrant’s Series C convertible preferred stock. The preferred stock warrants have a per share exercise price of $0.65. The securities issued in this transaction were exempt from the registration requirements of the Securities Act in reliance upon Section 4(2) under the Securities Act.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 Sales of Preferred Stock</w:t>
      </w:r>
    </w:p>
    <w:p>
      <w:pPr>
        <w:spacing w:after="0" w:line="117" w:lineRule="exact"/>
        <w:rPr>
          <w:sz w:val="20"/>
          <w:szCs w:val="20"/>
          <w:color w:val="auto"/>
        </w:rPr>
      </w:pPr>
    </w:p>
    <w:p>
      <w:pPr>
        <w:jc w:val="both"/>
        <w:ind w:firstLine="464"/>
        <w:spacing w:after="0" w:line="259" w:lineRule="auto"/>
        <w:tabs>
          <w:tab w:leader="none" w:pos="6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August 2013, the Registrant issued an aggregate of 14,258,530 shares of Registrant’s common stock to an accredited investor upon the conversion of 3,000,000 previously-held shares of Series A convertible preferred stock and 6,019,065 previously-held shares of Series B convertible preferred stock. The securities issued in this transaction were exempt from the registration requirements of the Securities Act in reliance upon on Rule 506 promulgated under the Securities Act.</w:t>
      </w:r>
    </w:p>
    <w:p>
      <w:pPr>
        <w:spacing w:after="0" w:line="186" w:lineRule="exact"/>
        <w:rPr>
          <w:rFonts w:ascii="Arial" w:cs="Arial" w:eastAsia="Arial" w:hAnsi="Arial"/>
          <w:sz w:val="18"/>
          <w:szCs w:val="18"/>
          <w:color w:val="auto"/>
        </w:rPr>
      </w:pPr>
    </w:p>
    <w:p>
      <w:pPr>
        <w:ind w:right="20" w:firstLine="464"/>
        <w:spacing w:after="0" w:line="259" w:lineRule="auto"/>
        <w:tabs>
          <w:tab w:leader="none" w:pos="6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April 2014, the Registrant issued an aggregate of 3,318,054 shares of the Registrant’s Series C-1 convertible preferred stock at a purchase price of $0.65 per share for an aggregate purchase price of $2.2 million to 12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6" w:lineRule="exact"/>
        <w:rPr>
          <w:rFonts w:ascii="Arial" w:cs="Arial" w:eastAsia="Arial" w:hAnsi="Arial"/>
          <w:sz w:val="18"/>
          <w:szCs w:val="18"/>
          <w:color w:val="auto"/>
        </w:rPr>
      </w:pPr>
    </w:p>
    <w:p>
      <w:pPr>
        <w:jc w:val="both"/>
        <w:ind w:right="20" w:firstLine="464"/>
        <w:spacing w:after="0" w:line="259" w:lineRule="auto"/>
        <w:tabs>
          <w:tab w:leader="none" w:pos="63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 July 2015, the Registrant issued an aggregate of 38,436,851 shares of the Registrant’s Series D convertible preferred stock at a purchase price of $1.06 per share for an aggregate purchase price of $40.8 million to 19 purchasers that represented to us that they are each a sophisticated accredited investor and qualified institutional buyer. The securities issued in this transaction were exempt from registration requirements of the Securities Act in reliance on Rule 506 promulgated under the Securities Act.</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and the Registrant believes each transaction was exempt from the registration requirements of the Securities Act as stated above. All recipients of the foregoing transactions either received adequate information about the Registrant or had access, through their relationships with the Registrant, to such information. Furthermore, the Registrant affixed appropriate legends to the share certificates and instruments issued in each foregoing transaction setting forth that the securities had not been registered and the applicable restrictions on transfer.</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immediately following signature page.</w:t>
      </w:r>
    </w:p>
    <w:p>
      <w:pPr>
        <w:spacing w:after="0" w:line="252" w:lineRule="exact"/>
        <w:rPr>
          <w:sz w:val="20"/>
          <w:szCs w:val="20"/>
          <w:color w:val="auto"/>
        </w:rPr>
      </w:pPr>
    </w:p>
    <w:p>
      <w:pPr>
        <w:ind w:left="900" w:hanging="446"/>
        <w:spacing w:after="0"/>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jc w:val="center"/>
        <w:ind w:left="620" w:right="80"/>
        <w:spacing w:after="0" w:line="449"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notes. II-3</w:t>
      </w:r>
    </w:p>
    <w:p>
      <w:pPr>
        <w:sectPr>
          <w:pgSz w:w="11900" w:h="16838" w:orient="portrait"/>
          <w:cols w:equalWidth="0" w:num="1">
            <w:col w:w="11380"/>
          </w:cols>
          <w:pgMar w:left="240" w:top="460" w:right="2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UNDERTAKINGS.</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right="120" w:firstLine="464"/>
        <w:spacing w:after="0" w:line="264"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1" w:lineRule="exact"/>
        <w:rPr>
          <w:rFonts w:ascii="Arial" w:cs="Arial" w:eastAsia="Arial" w:hAnsi="Arial"/>
          <w:sz w:val="18"/>
          <w:szCs w:val="18"/>
          <w:color w:val="auto"/>
        </w:rPr>
      </w:pPr>
    </w:p>
    <w:p>
      <w:pPr>
        <w:ind w:right="240" w:firstLine="464"/>
        <w:spacing w:after="0" w:line="264"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60" w:right="2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Pursuant to the requirements of the Securities Act, the Registrant has duly caused this amendment to the registration statement on Form S-1 to be signed on its behalf by the undersigned, thereunto duly authorized, in San Diego, California, on the 16th day of February, 2016.</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ANAPTYSBIO,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Hamza Suria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21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520" w:type="dxa"/>
            <w:vAlign w:val="bottom"/>
          </w:tcPr>
          <w:p>
            <w:pPr>
              <w:spacing w:after="0"/>
              <w:rPr>
                <w:sz w:val="16"/>
                <w:szCs w:val="16"/>
                <w:color w:val="auto"/>
              </w:rPr>
            </w:pPr>
          </w:p>
        </w:tc>
      </w:tr>
      <w:tr>
        <w:trPr>
          <w:trHeight w:val="196"/>
        </w:trPr>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1080"/>
              <w:spacing w:after="0" w:line="196" w:lineRule="exact"/>
              <w:rPr>
                <w:sz w:val="20"/>
                <w:szCs w:val="20"/>
                <w:color w:val="auto"/>
              </w:rPr>
            </w:pPr>
            <w:r>
              <w:rPr>
                <w:rFonts w:ascii="Arial" w:cs="Arial" w:eastAsia="Arial" w:hAnsi="Arial"/>
                <w:sz w:val="18"/>
                <w:szCs w:val="18"/>
                <w:color w:val="auto"/>
              </w:rPr>
              <w:t>/s/</w:t>
            </w:r>
          </w:p>
        </w:tc>
        <w:tc>
          <w:tcPr>
            <w:tcW w:w="23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Hamza Suria</w:t>
            </w:r>
          </w:p>
        </w:tc>
        <w:tc>
          <w:tcPr>
            <w:tcW w:w="580" w:type="dxa"/>
            <w:vAlign w:val="bottom"/>
          </w:tcPr>
          <w:p>
            <w:pPr>
              <w:spacing w:after="0"/>
              <w:rPr>
                <w:sz w:val="17"/>
                <w:szCs w:val="17"/>
                <w:color w:val="auto"/>
              </w:rPr>
            </w:pPr>
          </w:p>
        </w:tc>
        <w:tc>
          <w:tcPr>
            <w:tcW w:w="2260" w:type="dxa"/>
            <w:vAlign w:val="bottom"/>
            <w:gridSpan w:val="2"/>
          </w:tcPr>
          <w:p>
            <w:pPr>
              <w:ind w:left="400"/>
              <w:spacing w:after="0" w:line="196" w:lineRule="exact"/>
              <w:rPr>
                <w:sz w:val="20"/>
                <w:szCs w:val="20"/>
                <w:color w:val="auto"/>
              </w:rPr>
            </w:pPr>
            <w:r>
              <w:rPr>
                <w:rFonts w:ascii="Arial" w:cs="Arial" w:eastAsia="Arial" w:hAnsi="Arial"/>
                <w:sz w:val="18"/>
                <w:szCs w:val="18"/>
                <w:color w:val="auto"/>
                <w:w w:val="87"/>
              </w:rPr>
              <w:t>President, Chief Executive</w:t>
            </w:r>
          </w:p>
        </w:tc>
        <w:tc>
          <w:tcPr>
            <w:tcW w:w="2240" w:type="dxa"/>
            <w:vAlign w:val="bottom"/>
          </w:tcPr>
          <w:p>
            <w:pPr>
              <w:ind w:left="100"/>
              <w:spacing w:after="0" w:line="196" w:lineRule="exact"/>
              <w:rPr>
                <w:sz w:val="20"/>
                <w:szCs w:val="20"/>
                <w:color w:val="auto"/>
              </w:rPr>
            </w:pPr>
            <w:r>
              <w:rPr>
                <w:rFonts w:ascii="Arial" w:cs="Arial" w:eastAsia="Arial" w:hAnsi="Arial"/>
                <w:sz w:val="18"/>
                <w:szCs w:val="18"/>
                <w:color w:val="auto"/>
              </w:rPr>
              <w:t>Officer and Director</w:t>
            </w:r>
          </w:p>
        </w:tc>
        <w:tc>
          <w:tcPr>
            <w:tcW w:w="1980" w:type="dxa"/>
            <w:vAlign w:val="bottom"/>
            <w:gridSpan w:val="3"/>
          </w:tcPr>
          <w:p>
            <w:pPr>
              <w:jc w:val="center"/>
              <w:ind w:left="570"/>
              <w:spacing w:after="0" w:line="196" w:lineRule="exact"/>
              <w:rPr>
                <w:sz w:val="20"/>
                <w:szCs w:val="20"/>
                <w:color w:val="auto"/>
              </w:rPr>
            </w:pPr>
            <w:r>
              <w:rPr>
                <w:rFonts w:ascii="Arial" w:cs="Arial" w:eastAsia="Arial" w:hAnsi="Arial"/>
                <w:sz w:val="18"/>
                <w:szCs w:val="18"/>
                <w:color w:val="auto"/>
                <w:w w:val="89"/>
              </w:rPr>
              <w:t>February 16, 2016</w:t>
            </w:r>
          </w:p>
        </w:tc>
      </w:tr>
      <w:tr>
        <w:trPr>
          <w:trHeight w:val="224"/>
        </w:trPr>
        <w:tc>
          <w:tcPr>
            <w:tcW w:w="340" w:type="dxa"/>
            <w:vAlign w:val="bottom"/>
          </w:tcPr>
          <w:p>
            <w:pPr>
              <w:spacing w:after="0"/>
              <w:rPr>
                <w:sz w:val="19"/>
                <w:szCs w:val="19"/>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Hamza Suria</w:t>
            </w:r>
          </w:p>
        </w:tc>
        <w:tc>
          <w:tcPr>
            <w:tcW w:w="580" w:type="dxa"/>
            <w:vAlign w:val="bottom"/>
          </w:tcPr>
          <w:p>
            <w:pPr>
              <w:spacing w:after="0"/>
              <w:rPr>
                <w:sz w:val="19"/>
                <w:szCs w:val="19"/>
                <w:color w:val="auto"/>
              </w:rPr>
            </w:pPr>
          </w:p>
        </w:tc>
        <w:tc>
          <w:tcPr>
            <w:tcW w:w="4500" w:type="dxa"/>
            <w:vAlign w:val="bottom"/>
            <w:gridSpan w:val="3"/>
          </w:tcPr>
          <w:p>
            <w:pPr>
              <w:jc w:val="center"/>
              <w:ind w:right="190"/>
              <w:spacing w:after="0"/>
              <w:rPr>
                <w:sz w:val="20"/>
                <w:szCs w:val="20"/>
                <w:color w:val="auto"/>
              </w:rPr>
            </w:pPr>
            <w:r>
              <w:rPr>
                <w:rFonts w:ascii="Arial" w:cs="Arial" w:eastAsia="Arial" w:hAnsi="Arial"/>
                <w:sz w:val="18"/>
                <w:szCs w:val="18"/>
                <w:color w:val="auto"/>
                <w:w w:val="94"/>
              </w:rPr>
              <w:t>(Principal Executive Officer)</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00" w:type="dxa"/>
            <w:vAlign w:val="bottom"/>
            <w:tcBorders>
              <w:bottom w:val="single" w:sz="8" w:color="auto"/>
            </w:tcBorders>
            <w:gridSpan w:val="3"/>
          </w:tcPr>
          <w:p>
            <w:pPr>
              <w:jc w:val="center"/>
              <w:ind w:left="16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3"/>
          </w:tcPr>
          <w:p>
            <w:pPr>
              <w:jc w:val="center"/>
              <w:ind w:right="170"/>
              <w:spacing w:after="0"/>
              <w:rPr>
                <w:sz w:val="20"/>
                <w:szCs w:val="20"/>
                <w:color w:val="auto"/>
              </w:rPr>
            </w:pPr>
            <w:r>
              <w:rPr>
                <w:rFonts w:ascii="Arial" w:cs="Arial" w:eastAsia="Arial" w:hAnsi="Arial"/>
                <w:sz w:val="18"/>
                <w:szCs w:val="18"/>
                <w:color w:val="auto"/>
                <w:w w:val="94"/>
              </w:rPr>
              <w:t>Chief Financial Officer</w:t>
            </w:r>
          </w:p>
        </w:tc>
        <w:tc>
          <w:tcPr>
            <w:tcW w:w="198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February 16, 2016</w:t>
            </w:r>
          </w:p>
        </w:tc>
      </w:tr>
      <w:tr>
        <w:trPr>
          <w:trHeight w:val="224"/>
        </w:trPr>
        <w:tc>
          <w:tcPr>
            <w:tcW w:w="340" w:type="dxa"/>
            <w:vAlign w:val="bottom"/>
          </w:tcPr>
          <w:p>
            <w:pPr>
              <w:spacing w:after="0"/>
              <w:rPr>
                <w:sz w:val="19"/>
                <w:szCs w:val="19"/>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Robert E. Hoffman</w:t>
            </w:r>
          </w:p>
        </w:tc>
        <w:tc>
          <w:tcPr>
            <w:tcW w:w="580" w:type="dxa"/>
            <w:vAlign w:val="bottom"/>
          </w:tcPr>
          <w:p>
            <w:pPr>
              <w:spacing w:after="0"/>
              <w:rPr>
                <w:sz w:val="19"/>
                <w:szCs w:val="19"/>
                <w:color w:val="auto"/>
              </w:rPr>
            </w:pPr>
          </w:p>
        </w:tc>
        <w:tc>
          <w:tcPr>
            <w:tcW w:w="4500" w:type="dxa"/>
            <w:vAlign w:val="bottom"/>
            <w:gridSpan w:val="3"/>
          </w:tcPr>
          <w:p>
            <w:pPr>
              <w:jc w:val="center"/>
              <w:ind w:right="170"/>
              <w:spacing w:after="0"/>
              <w:rPr>
                <w:sz w:val="20"/>
                <w:szCs w:val="20"/>
                <w:color w:val="auto"/>
              </w:rPr>
            </w:pPr>
            <w:r>
              <w:rPr>
                <w:rFonts w:ascii="Arial" w:cs="Arial" w:eastAsia="Arial" w:hAnsi="Arial"/>
                <w:sz w:val="18"/>
                <w:szCs w:val="18"/>
                <w:color w:val="auto"/>
                <w:w w:val="93"/>
              </w:rPr>
              <w:t>(Principal Accounting and Financial Officer)</w:t>
            </w: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00" w:type="dxa"/>
            <w:vAlign w:val="bottom"/>
            <w:tcBorders>
              <w:bottom w:val="single" w:sz="8" w:color="auto"/>
            </w:tcBorders>
            <w:gridSpan w:val="3"/>
          </w:tcPr>
          <w:p>
            <w:pPr>
              <w:jc w:val="center"/>
              <w:ind w:left="16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3"/>
          </w:tcPr>
          <w:p>
            <w:pPr>
              <w:jc w:val="center"/>
              <w:ind w:right="17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February 16, 2016</w:t>
            </w:r>
          </w:p>
        </w:tc>
      </w:tr>
      <w:tr>
        <w:trPr>
          <w:trHeight w:val="224"/>
        </w:trPr>
        <w:tc>
          <w:tcPr>
            <w:tcW w:w="340" w:type="dxa"/>
            <w:vAlign w:val="bottom"/>
          </w:tcPr>
          <w:p>
            <w:pPr>
              <w:spacing w:after="0"/>
              <w:rPr>
                <w:sz w:val="19"/>
                <w:szCs w:val="19"/>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Tiba Aynechi, Ph.D.</w:t>
            </w: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00" w:type="dxa"/>
            <w:vAlign w:val="bottom"/>
            <w:tcBorders>
              <w:bottom w:val="single" w:sz="8" w:color="auto"/>
            </w:tcBorders>
            <w:gridSpan w:val="3"/>
          </w:tcPr>
          <w:p>
            <w:pPr>
              <w:jc w:val="center"/>
              <w:ind w:left="16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3"/>
          </w:tcPr>
          <w:p>
            <w:pPr>
              <w:jc w:val="center"/>
              <w:ind w:right="17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February 16, 2016</w:t>
            </w:r>
          </w:p>
        </w:tc>
      </w:tr>
      <w:tr>
        <w:trPr>
          <w:trHeight w:val="224"/>
        </w:trPr>
        <w:tc>
          <w:tcPr>
            <w:tcW w:w="340" w:type="dxa"/>
            <w:vAlign w:val="bottom"/>
          </w:tcPr>
          <w:p>
            <w:pPr>
              <w:spacing w:after="0"/>
              <w:rPr>
                <w:sz w:val="19"/>
                <w:szCs w:val="19"/>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Carol G. Gallagher, Pharm.D.</w:t>
            </w: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00" w:type="dxa"/>
            <w:vAlign w:val="bottom"/>
            <w:tcBorders>
              <w:bottom w:val="single" w:sz="8" w:color="auto"/>
            </w:tcBorders>
            <w:gridSpan w:val="3"/>
          </w:tcPr>
          <w:p>
            <w:pPr>
              <w:jc w:val="center"/>
              <w:ind w:left="16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3"/>
          </w:tcPr>
          <w:p>
            <w:pPr>
              <w:jc w:val="center"/>
              <w:ind w:right="17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February 16, 2016</w:t>
            </w:r>
          </w:p>
        </w:tc>
      </w:tr>
      <w:tr>
        <w:trPr>
          <w:trHeight w:val="224"/>
        </w:trPr>
        <w:tc>
          <w:tcPr>
            <w:tcW w:w="340" w:type="dxa"/>
            <w:vAlign w:val="bottom"/>
          </w:tcPr>
          <w:p>
            <w:pPr>
              <w:spacing w:after="0"/>
              <w:rPr>
                <w:sz w:val="19"/>
                <w:szCs w:val="19"/>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Nicholas B. Lydon, Ph.D., FRS</w:t>
            </w: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00" w:type="dxa"/>
            <w:vAlign w:val="bottom"/>
            <w:tcBorders>
              <w:bottom w:val="single" w:sz="8" w:color="auto"/>
            </w:tcBorders>
            <w:gridSpan w:val="3"/>
          </w:tcPr>
          <w:p>
            <w:pPr>
              <w:jc w:val="center"/>
              <w:ind w:left="16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3"/>
          </w:tcPr>
          <w:p>
            <w:pPr>
              <w:jc w:val="center"/>
              <w:ind w:right="17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February 16, 2016</w:t>
            </w:r>
          </w:p>
        </w:tc>
      </w:tr>
      <w:tr>
        <w:trPr>
          <w:trHeight w:val="224"/>
        </w:trPr>
        <w:tc>
          <w:tcPr>
            <w:tcW w:w="340" w:type="dxa"/>
            <w:vAlign w:val="bottom"/>
          </w:tcPr>
          <w:p>
            <w:pPr>
              <w:spacing w:after="0"/>
              <w:rPr>
                <w:sz w:val="19"/>
                <w:szCs w:val="19"/>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8"/>
                <w:szCs w:val="18"/>
                <w:color w:val="auto"/>
                <w:w w:val="94"/>
              </w:rPr>
              <w:t>Hollings Renton</w:t>
            </w: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00" w:type="dxa"/>
            <w:vAlign w:val="bottom"/>
            <w:tcBorders>
              <w:bottom w:val="single" w:sz="8" w:color="auto"/>
            </w:tcBorders>
            <w:gridSpan w:val="3"/>
          </w:tcPr>
          <w:p>
            <w:pPr>
              <w:jc w:val="center"/>
              <w:ind w:left="16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3"/>
          </w:tcPr>
          <w:p>
            <w:pPr>
              <w:jc w:val="center"/>
              <w:ind w:right="17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February 16, 2016</w:t>
            </w:r>
          </w:p>
        </w:tc>
      </w:tr>
      <w:tr>
        <w:trPr>
          <w:trHeight w:val="224"/>
        </w:trPr>
        <w:tc>
          <w:tcPr>
            <w:tcW w:w="340" w:type="dxa"/>
            <w:vAlign w:val="bottom"/>
          </w:tcPr>
          <w:p>
            <w:pPr>
              <w:spacing w:after="0"/>
              <w:rPr>
                <w:sz w:val="19"/>
                <w:szCs w:val="19"/>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8"/>
                <w:szCs w:val="18"/>
                <w:color w:val="auto"/>
                <w:w w:val="88"/>
              </w:rPr>
              <w:t>John Schmid</w:t>
            </w: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00" w:type="dxa"/>
            <w:vAlign w:val="bottom"/>
            <w:tcBorders>
              <w:bottom w:val="single" w:sz="8" w:color="auto"/>
            </w:tcBorders>
            <w:gridSpan w:val="3"/>
          </w:tcPr>
          <w:p>
            <w:pPr>
              <w:jc w:val="center"/>
              <w:ind w:left="16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3"/>
          </w:tcPr>
          <w:p>
            <w:pPr>
              <w:jc w:val="center"/>
              <w:ind w:right="17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February 16, 2016</w:t>
            </w:r>
          </w:p>
        </w:tc>
      </w:tr>
      <w:tr>
        <w:trPr>
          <w:trHeight w:val="224"/>
        </w:trPr>
        <w:tc>
          <w:tcPr>
            <w:tcW w:w="340" w:type="dxa"/>
            <w:vAlign w:val="bottom"/>
          </w:tcPr>
          <w:p>
            <w:pPr>
              <w:spacing w:after="0"/>
              <w:rPr>
                <w:sz w:val="19"/>
                <w:szCs w:val="19"/>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8"/>
                <w:szCs w:val="18"/>
                <w:color w:val="auto"/>
                <w:w w:val="87"/>
              </w:rPr>
              <w:t>James A. Schoeneck</w:t>
            </w: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391"/>
        </w:trPr>
        <w:tc>
          <w:tcPr>
            <w:tcW w:w="2300" w:type="dxa"/>
            <w:vAlign w:val="bottom"/>
            <w:tcBorders>
              <w:bottom w:val="single" w:sz="8" w:color="auto"/>
            </w:tcBorders>
            <w:gridSpan w:val="3"/>
          </w:tcPr>
          <w:p>
            <w:pPr>
              <w:jc w:val="center"/>
              <w:ind w:left="16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3"/>
          </w:tcPr>
          <w:p>
            <w:pPr>
              <w:jc w:val="center"/>
              <w:ind w:right="170"/>
              <w:spacing w:after="0"/>
              <w:rPr>
                <w:sz w:val="20"/>
                <w:szCs w:val="20"/>
                <w:color w:val="auto"/>
              </w:rPr>
            </w:pPr>
            <w:r>
              <w:rPr>
                <w:rFonts w:ascii="Arial" w:cs="Arial" w:eastAsia="Arial" w:hAnsi="Arial"/>
                <w:sz w:val="18"/>
                <w:szCs w:val="18"/>
                <w:color w:val="auto"/>
                <w:w w:val="95"/>
              </w:rPr>
              <w:t>Director</w:t>
            </w:r>
          </w:p>
        </w:tc>
        <w:tc>
          <w:tcPr>
            <w:tcW w:w="1980" w:type="dxa"/>
            <w:vAlign w:val="bottom"/>
            <w:gridSpan w:val="3"/>
          </w:tcPr>
          <w:p>
            <w:pPr>
              <w:jc w:val="center"/>
              <w:ind w:left="570"/>
              <w:spacing w:after="0"/>
              <w:rPr>
                <w:sz w:val="20"/>
                <w:szCs w:val="20"/>
                <w:color w:val="auto"/>
              </w:rPr>
            </w:pPr>
            <w:r>
              <w:rPr>
                <w:rFonts w:ascii="Arial" w:cs="Arial" w:eastAsia="Arial" w:hAnsi="Arial"/>
                <w:sz w:val="18"/>
                <w:szCs w:val="18"/>
                <w:color w:val="auto"/>
                <w:w w:val="89"/>
              </w:rPr>
              <w:t>February 16, 2016</w:t>
            </w:r>
          </w:p>
        </w:tc>
      </w:tr>
      <w:tr>
        <w:trPr>
          <w:trHeight w:val="224"/>
        </w:trPr>
        <w:tc>
          <w:tcPr>
            <w:tcW w:w="340" w:type="dxa"/>
            <w:vAlign w:val="bottom"/>
          </w:tcPr>
          <w:p>
            <w:pPr>
              <w:spacing w:after="0"/>
              <w:rPr>
                <w:sz w:val="19"/>
                <w:szCs w:val="19"/>
                <w:color w:val="auto"/>
              </w:rPr>
            </w:pPr>
          </w:p>
        </w:tc>
        <w:tc>
          <w:tcPr>
            <w:tcW w:w="3660" w:type="dxa"/>
            <w:vAlign w:val="bottom"/>
            <w:gridSpan w:val="3"/>
          </w:tcPr>
          <w:p>
            <w:pPr>
              <w:jc w:val="center"/>
              <w:ind w:right="340"/>
              <w:spacing w:after="0"/>
              <w:rPr>
                <w:sz w:val="20"/>
                <w:szCs w:val="20"/>
                <w:color w:val="auto"/>
              </w:rPr>
            </w:pPr>
            <w:r>
              <w:rPr>
                <w:rFonts w:ascii="Arial" w:cs="Arial" w:eastAsia="Arial" w:hAnsi="Arial"/>
                <w:sz w:val="18"/>
                <w:szCs w:val="18"/>
                <w:color w:val="auto"/>
                <w:w w:val="89"/>
              </w:rPr>
              <w:t>James N. Topper, M.D., Ph.D.</w:t>
            </w:r>
          </w:p>
        </w:tc>
        <w:tc>
          <w:tcPr>
            <w:tcW w:w="5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4000" w:type="dxa"/>
            <w:vAlign w:val="bottom"/>
            <w:gridSpan w:val="4"/>
          </w:tcPr>
          <w:p>
            <w:pPr>
              <w:spacing w:after="0"/>
              <w:rPr>
                <w:sz w:val="20"/>
                <w:szCs w:val="20"/>
                <w:color w:val="auto"/>
              </w:rPr>
            </w:pPr>
            <w:r>
              <w:rPr>
                <w:rFonts w:ascii="Arial" w:cs="Arial" w:eastAsia="Arial" w:hAnsi="Arial"/>
                <w:sz w:val="18"/>
                <w:szCs w:val="18"/>
                <w:color w:val="auto"/>
              </w:rPr>
              <w:t>* Pursuant to Power of Attorney</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432"/>
        </w:trPr>
        <w:tc>
          <w:tcPr>
            <w:tcW w:w="4000" w:type="dxa"/>
            <w:vAlign w:val="bottom"/>
            <w:gridSpan w:val="4"/>
          </w:tcPr>
          <w:p>
            <w:pPr>
              <w:spacing w:after="0"/>
              <w:rPr>
                <w:sz w:val="20"/>
                <w:szCs w:val="20"/>
                <w:color w:val="auto"/>
              </w:rPr>
            </w:pPr>
            <w:r>
              <w:rPr>
                <w:rFonts w:ascii="Arial" w:cs="Arial" w:eastAsia="Arial" w:hAnsi="Arial"/>
                <w:sz w:val="18"/>
                <w:szCs w:val="18"/>
                <w:color w:val="auto"/>
              </w:rPr>
              <w:t>By:  /s/ Hamza Suria</w:t>
            </w:r>
          </w:p>
        </w:tc>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95"/>
        </w:trPr>
        <w:tc>
          <w:tcPr>
            <w:tcW w:w="340" w:type="dxa"/>
            <w:vAlign w:val="bottom"/>
          </w:tcPr>
          <w:p>
            <w:pPr>
              <w:spacing w:after="0"/>
              <w:rPr>
                <w:sz w:val="16"/>
                <w:szCs w:val="16"/>
                <w:color w:val="auto"/>
              </w:rPr>
            </w:pPr>
          </w:p>
        </w:tc>
        <w:tc>
          <w:tcPr>
            <w:tcW w:w="3660" w:type="dxa"/>
            <w:vAlign w:val="bottom"/>
            <w:tcBorders>
              <w:top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Hamza Suria</w:t>
            </w:r>
          </w:p>
        </w:tc>
        <w:tc>
          <w:tcPr>
            <w:tcW w:w="580" w:type="dxa"/>
            <w:vAlign w:val="bottom"/>
            <w:tcBorders>
              <w:top w:val="single" w:sz="8" w:color="auto"/>
            </w:tcBorders>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3660" w:type="dxa"/>
            <w:vAlign w:val="bottom"/>
            <w:gridSpan w:val="3"/>
          </w:tcPr>
          <w:p>
            <w:pPr>
              <w:ind w:left="40"/>
              <w:spacing w:after="0"/>
              <w:rPr>
                <w:sz w:val="20"/>
                <w:szCs w:val="20"/>
                <w:color w:val="auto"/>
              </w:rPr>
            </w:pPr>
            <w:r>
              <w:rPr>
                <w:rFonts w:ascii="Arial" w:cs="Arial" w:eastAsia="Arial" w:hAnsi="Arial"/>
                <w:sz w:val="18"/>
                <w:szCs w:val="18"/>
                <w:color w:val="auto"/>
              </w:rPr>
              <w:t>Attorney-in-fact</w:t>
            </w:r>
          </w:p>
        </w:tc>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500" w:type="dxa"/>
            <w:vAlign w:val="bottom"/>
            <w:gridSpan w:val="3"/>
          </w:tcPr>
          <w:p>
            <w:pPr>
              <w:ind w:left="1000"/>
              <w:spacing w:after="0"/>
              <w:rPr>
                <w:sz w:val="20"/>
                <w:szCs w:val="20"/>
                <w:color w:val="auto"/>
              </w:rPr>
            </w:pPr>
            <w:r>
              <w:rPr>
                <w:rFonts w:ascii="Arial" w:cs="Arial" w:eastAsia="Arial" w:hAnsi="Arial"/>
                <w:sz w:val="18"/>
                <w:szCs w:val="18"/>
                <w:color w:val="auto"/>
              </w:rPr>
              <w:t>II-5</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060"/>
          </w:cols>
          <w:pgMar w:left="240" w:top="460" w:right="5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0" w:type="dxa"/>
            <w:vAlign w:val="bottom"/>
            <w:gridSpan w:val="3"/>
          </w:tcPr>
          <w:p>
            <w:pPr>
              <w:ind w:left="4080"/>
              <w:spacing w:after="0"/>
              <w:rPr>
                <w:sz w:val="20"/>
                <w:szCs w:val="20"/>
                <w:color w:val="auto"/>
              </w:rPr>
            </w:pPr>
            <w:r>
              <w:rPr>
                <w:rFonts w:ascii="Arial" w:cs="Arial" w:eastAsia="Arial" w:hAnsi="Arial"/>
                <w:sz w:val="18"/>
                <w:szCs w:val="18"/>
                <w:b w:val="1"/>
                <w:bCs w:val="1"/>
                <w:color w:val="auto"/>
              </w:rPr>
              <w:t>EXHIBIT INDEX</w:t>
            </w:r>
          </w:p>
        </w:tc>
      </w:tr>
      <w:tr>
        <w:trPr>
          <w:trHeight w:val="369"/>
        </w:trPr>
        <w:tc>
          <w:tcPr>
            <w:tcW w:w="60" w:type="dxa"/>
            <w:vAlign w:val="bottom"/>
          </w:tcPr>
          <w:p>
            <w:pPr>
              <w:spacing w:after="0"/>
              <w:rPr>
                <w:sz w:val="24"/>
                <w:szCs w:val="2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Exhibit</w:t>
            </w:r>
          </w:p>
        </w:tc>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220" w:type="dxa"/>
            <w:vAlign w:val="bottom"/>
          </w:tcPr>
          <w:p>
            <w:pPr>
              <w:spacing w:after="0"/>
              <w:rPr>
                <w:sz w:val="24"/>
                <w:szCs w:val="24"/>
                <w:color w:val="auto"/>
              </w:rPr>
            </w:pPr>
          </w:p>
        </w:tc>
      </w:tr>
      <w:tr>
        <w:trPr>
          <w:trHeight w:val="185"/>
        </w:trPr>
        <w:tc>
          <w:tcPr>
            <w:tcW w:w="9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10400" w:type="dxa"/>
            <w:vAlign w:val="bottom"/>
            <w:gridSpan w:val="3"/>
          </w:tcPr>
          <w:p>
            <w:pPr>
              <w:ind w:left="464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6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291"/>
        </w:trPr>
        <w:tc>
          <w:tcPr>
            <w:tcW w:w="60" w:type="dxa"/>
            <w:vAlign w:val="bottom"/>
          </w:tcPr>
          <w:p>
            <w:pPr>
              <w:spacing w:after="0"/>
              <w:rPr>
                <w:sz w:val="24"/>
                <w:szCs w:val="2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1.1†</w:t>
            </w: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324"/>
        </w:trPr>
        <w:tc>
          <w:tcPr>
            <w:tcW w:w="60" w:type="dxa"/>
            <w:vAlign w:val="bottom"/>
          </w:tcPr>
          <w:p>
            <w:pPr>
              <w:spacing w:after="0"/>
              <w:rPr>
                <w:sz w:val="24"/>
                <w:szCs w:val="2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3.1†</w:t>
            </w: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Amended and Restated Certificate of Incorporation, as amended to date, as currently in effect.</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Form of Restated Certificate of Incorporation to be effective upon the closing of this offering.</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Bylaws, as currently in effect.</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Form of Restated Bylaws to be effective upon the closing of this offering.</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Form of Common Stock Certificate.</w:t>
            </w:r>
          </w:p>
        </w:tc>
      </w:tr>
      <w:tr>
        <w:trPr>
          <w:trHeight w:val="310"/>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w w:val="98"/>
              </w:rPr>
              <w:t>Fourth Amended and Restated Investors’ Rights Agreement, dated July 13, 2015, by and among the Registrant and certain of its</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stockholders.</w:t>
            </w:r>
          </w:p>
        </w:tc>
      </w:tr>
      <w:tr>
        <w:trPr>
          <w:trHeight w:val="324"/>
        </w:trPr>
        <w:tc>
          <w:tcPr>
            <w:tcW w:w="60" w:type="dxa"/>
            <w:vAlign w:val="bottom"/>
          </w:tcPr>
          <w:p>
            <w:pPr>
              <w:spacing w:after="0"/>
              <w:rPr>
                <w:sz w:val="24"/>
                <w:szCs w:val="24"/>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w w:val="96"/>
              </w:rPr>
              <w:t>5.1†</w:t>
            </w: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Opinion of Fenwick &amp; West LLP.</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10.1*</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Form of Indemnity Agreement.</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10.2*</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2006 Equity Incentive Plan and forms of award agreements.</w:t>
            </w:r>
          </w:p>
        </w:tc>
      </w:tr>
      <w:tr>
        <w:trPr>
          <w:trHeight w:val="324"/>
        </w:trPr>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w w:val="88"/>
              </w:rPr>
              <w:t>10.3†</w:t>
            </w: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w w:val="89"/>
              </w:rPr>
              <w:t>2016 Equity Incentive Plan, to become effective on the date the registration statement is declared effective, and forms of award agreements.</w:t>
            </w:r>
          </w:p>
        </w:tc>
      </w:tr>
      <w:tr>
        <w:trPr>
          <w:trHeight w:val="310"/>
        </w:trPr>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w w:val="88"/>
              </w:rPr>
              <w:t>10.4†</w:t>
            </w: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w w:val="91"/>
              </w:rPr>
              <w:t>2016 Employee Stock Purchase Plan, to become effective on the date the registration statement is declared effective, and forms of award</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agreements.</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10.5*</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Employment Agreement, effective as of January 1, 2012, by and between the Registrant and Hamza Suria, as 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10.6*</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Employment Agreement, effective as of July 13, 2015, by and between the Registrant and Robert Hoffman, as 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10.7*</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Employment Agreement, effective as of October 20, 2014, by and between the Registrant and Marco Londei.</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10.8*</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Office Lease, dated April 19, 2011, by and between the Registrant and Kilroy Realty, L.P., as amended.</w:t>
            </w:r>
          </w:p>
        </w:tc>
      </w:tr>
      <w:tr>
        <w:trPr>
          <w:trHeight w:val="32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5"/>
              </w:rPr>
              <w:t>10.9*+</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w w:val="96"/>
              </w:rPr>
              <w:t>Antibody Generation Agreement, dated December 22, 2011, by and between the Registrant and Celgene Corporation, as modified.</w:t>
            </w:r>
          </w:p>
        </w:tc>
      </w:tr>
      <w:tr>
        <w:trPr>
          <w:trHeight w:val="310"/>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10.10+</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w w:val="96"/>
              </w:rPr>
              <w:t>Collaboration and Exclusive License Agreement, dated March 10, 2014, by and among the Registrant, TESARO, Inc. and TESARO</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Development, Ltd., as amended.</w:t>
            </w: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10.11*+</w:t>
            </w: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License Agreement, dated August 30, 2006, by and between the Registrant and Medical Research Council, as amended.</w:t>
            </w:r>
          </w:p>
        </w:tc>
      </w:tr>
      <w:tr>
        <w:trPr>
          <w:trHeight w:val="310"/>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w w:val="92"/>
              </w:rPr>
              <w:t>10.12*+</w:t>
            </w: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w w:val="98"/>
              </w:rPr>
              <w:t>Non-Exclusive Research and Commercial License Agreement, dated May 15, 2009, by and between the Registrant and Millipore</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Corporation.</w:t>
            </w:r>
          </w:p>
        </w:tc>
      </w:tr>
      <w:tr>
        <w:trPr>
          <w:trHeight w:val="310"/>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88"/>
              </w:rPr>
              <w:t>10.13</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w w:val="92"/>
              </w:rPr>
              <w:t>Loan and Security Agreement, dated December 24, 2014, by and among the Registrant, Oxford Finance LLC and Silicon Valley Bank, as</w:t>
            </w:r>
          </w:p>
        </w:tc>
      </w:tr>
      <w:tr>
        <w:trPr>
          <w:trHeight w:val="230"/>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amended.</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21.1*</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560" w:type="dxa"/>
            <w:vAlign w:val="bottom"/>
            <w:gridSpan w:val="2"/>
          </w:tcPr>
          <w:p>
            <w:pPr>
              <w:jc w:val="right"/>
              <w:ind w:right="154"/>
              <w:spacing w:after="0"/>
              <w:rPr>
                <w:sz w:val="20"/>
                <w:szCs w:val="20"/>
                <w:color w:val="auto"/>
              </w:rPr>
            </w:pPr>
            <w:r>
              <w:rPr>
                <w:rFonts w:ascii="Arial" w:cs="Arial" w:eastAsia="Arial" w:hAnsi="Arial"/>
                <w:sz w:val="18"/>
                <w:szCs w:val="18"/>
                <w:color w:val="auto"/>
                <w:w w:val="85"/>
              </w:rPr>
              <w:t>23.1</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Consent of KPMG LLP, an independent registered public accounting firm.</w:t>
            </w:r>
          </w:p>
        </w:tc>
      </w:tr>
      <w:tr>
        <w:trPr>
          <w:trHeight w:val="324"/>
        </w:trPr>
        <w:tc>
          <w:tcPr>
            <w:tcW w:w="940" w:type="dxa"/>
            <w:vAlign w:val="bottom"/>
            <w:gridSpan w:val="3"/>
          </w:tcPr>
          <w:p>
            <w:pPr>
              <w:jc w:val="right"/>
              <w:ind w:right="520"/>
              <w:spacing w:after="0"/>
              <w:rPr>
                <w:sz w:val="20"/>
                <w:szCs w:val="20"/>
                <w:color w:val="auto"/>
              </w:rPr>
            </w:pPr>
            <w:r>
              <w:rPr>
                <w:rFonts w:ascii="Arial" w:cs="Arial" w:eastAsia="Arial" w:hAnsi="Arial"/>
                <w:sz w:val="18"/>
                <w:szCs w:val="18"/>
                <w:color w:val="auto"/>
                <w:w w:val="88"/>
              </w:rPr>
              <w:t>23.2†</w:t>
            </w: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Consent of Fenwick &amp; West LLP (included in Exhibit 5.1).</w:t>
            </w:r>
          </w:p>
        </w:tc>
      </w:tr>
      <w:tr>
        <w:trPr>
          <w:trHeight w:val="324"/>
        </w:trPr>
        <w:tc>
          <w:tcPr>
            <w:tcW w:w="560" w:type="dxa"/>
            <w:vAlign w:val="bottom"/>
            <w:gridSpan w:val="2"/>
          </w:tcPr>
          <w:p>
            <w:pPr>
              <w:jc w:val="right"/>
              <w:ind w:right="54"/>
              <w:spacing w:after="0"/>
              <w:rPr>
                <w:sz w:val="20"/>
                <w:szCs w:val="20"/>
                <w:color w:val="auto"/>
              </w:rPr>
            </w:pPr>
            <w:r>
              <w:rPr>
                <w:rFonts w:ascii="Arial" w:cs="Arial" w:eastAsia="Arial" w:hAnsi="Arial"/>
                <w:sz w:val="18"/>
                <w:szCs w:val="18"/>
                <w:color w:val="auto"/>
                <w:w w:val="95"/>
              </w:rPr>
              <w:t>24.1*</w:t>
            </w:r>
          </w:p>
        </w:tc>
        <w:tc>
          <w:tcPr>
            <w:tcW w:w="380" w:type="dxa"/>
            <w:vAlign w:val="bottom"/>
          </w:tcPr>
          <w:p>
            <w:pPr>
              <w:spacing w:after="0"/>
              <w:rPr>
                <w:sz w:val="24"/>
                <w:szCs w:val="24"/>
                <w:color w:val="auto"/>
              </w:rPr>
            </w:pPr>
          </w:p>
        </w:tc>
        <w:tc>
          <w:tcPr>
            <w:tcW w:w="10400" w:type="dxa"/>
            <w:vAlign w:val="bottom"/>
            <w:gridSpan w:val="3"/>
          </w:tcPr>
          <w:p>
            <w:pPr>
              <w:ind w:left="340"/>
              <w:spacing w:after="0"/>
              <w:rPr>
                <w:sz w:val="20"/>
                <w:szCs w:val="20"/>
                <w:color w:val="auto"/>
              </w:rPr>
            </w:pPr>
            <w:r>
              <w:rPr>
                <w:rFonts w:ascii="Arial" w:cs="Arial" w:eastAsia="Arial" w:hAnsi="Arial"/>
                <w:sz w:val="18"/>
                <w:szCs w:val="18"/>
                <w:color w:val="auto"/>
              </w:rPr>
              <w:t>Power of Attorney. Reference is made to the signature page hereto.</w:t>
            </w:r>
          </w:p>
        </w:tc>
      </w:tr>
    </w:tbl>
    <w:p>
      <w:pPr>
        <w:sectPr>
          <w:pgSz w:w="11900" w:h="16838" w:orient="portrait"/>
          <w:cols w:equalWidth="0" w:num="1">
            <w:col w:w="11340"/>
          </w:cols>
          <w:pgMar w:left="240" w:top="459" w:right="3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89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9" w:lineRule="exact"/>
        <w:rPr>
          <w:sz w:val="20"/>
          <w:szCs w:val="20"/>
          <w:color w:val="auto"/>
        </w:rPr>
      </w:pPr>
    </w:p>
    <w:p>
      <w:pPr>
        <w:ind w:left="220" w:hanging="212"/>
        <w:spacing w:after="0" w:line="261" w:lineRule="auto"/>
        <w:tabs>
          <w:tab w:leader="none" w:pos="2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Registrant has omitted and filed separately with the SEC portions of the exhibit pursuant to a confidential treatment request under Rule 406 promulgated under the Securities Act.</w:t>
      </w:r>
    </w:p>
    <w:p>
      <w:pPr>
        <w:sectPr>
          <w:pgSz w:w="11900" w:h="16838" w:orient="portrait"/>
          <w:cols w:equalWidth="0" w:num="1">
            <w:col w:w="11220"/>
          </w:cols>
          <w:pgMar w:left="240" w:top="460" w:right="439" w:bottom="1440" w:gutter="0" w:footer="0" w:header="0"/>
        </w:sectPr>
      </w:pPr>
    </w:p>
    <w:bookmarkStart w:id="198" w:name="page199"/>
    <w:bookmarkEnd w:id="198"/>
    <w:p>
      <w:pPr>
        <w:ind w:left="10200"/>
        <w:spacing w:after="0"/>
        <w:rPr>
          <w:sz w:val="20"/>
          <w:szCs w:val="20"/>
          <w:color w:val="auto"/>
        </w:rPr>
      </w:pPr>
      <w:r>
        <w:rPr>
          <w:rFonts w:ascii="Arial" w:cs="Arial" w:eastAsia="Arial" w:hAnsi="Arial"/>
          <w:sz w:val="18"/>
          <w:szCs w:val="18"/>
          <w:b w:val="1"/>
          <w:bCs w:val="1"/>
          <w:color w:val="auto"/>
        </w:rPr>
        <w:t>EXHIBIT 10.10</w:t>
      </w:r>
    </w:p>
    <w:p>
      <w:pPr>
        <w:spacing w:after="0" w:line="135" w:lineRule="exact"/>
        <w:rPr>
          <w:sz w:val="20"/>
          <w:szCs w:val="20"/>
          <w:color w:val="auto"/>
        </w:rPr>
      </w:pPr>
    </w:p>
    <w:p>
      <w:pPr>
        <w:ind w:left="6860"/>
        <w:spacing w:after="0"/>
        <w:tabs>
          <w:tab w:leader="none" w:pos="7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Certain confidential information contained in this</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document, marked by brackets, has been omitted and</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filed separately with the Securities and Exchange</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Commission pursuant to Rule 406 of the Securities Act</w:t>
      </w:r>
    </w:p>
    <w:p>
      <w:pPr>
        <w:spacing w:after="0" w:line="32"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of 1933, as amended.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EXCLUSIVE LICENSE AGREEMENT</w:t>
      </w:r>
    </w:p>
    <w:p>
      <w:pPr>
        <w:spacing w:after="0" w:line="225"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color w:val="auto"/>
        </w:rPr>
        <w:t>This COLLABORATION AND EXCLUSIVE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March 10 , 2014 (the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is made by and between (i) </w:t>
      </w:r>
      <w:r>
        <w:rPr>
          <w:rFonts w:ascii="Arial" w:cs="Arial" w:eastAsia="Arial" w:hAnsi="Arial"/>
          <w:sz w:val="18"/>
          <w:szCs w:val="18"/>
          <w:b w:val="1"/>
          <w:bCs w:val="1"/>
          <w:color w:val="auto"/>
        </w:rPr>
        <w:t>AnaptysBio, Inc.</w:t>
      </w:r>
      <w:r>
        <w:rPr>
          <w:rFonts w:ascii="Arial" w:cs="Arial" w:eastAsia="Arial" w:hAnsi="Arial"/>
          <w:sz w:val="18"/>
          <w:szCs w:val="18"/>
          <w:color w:val="auto"/>
        </w:rPr>
        <w:t>, a Delaware corporation, having a place of business at 10421 Pacific Center Court, Suite 200, San Diego, California 92121 (“</w:t>
      </w:r>
      <w:r>
        <w:rPr>
          <w:rFonts w:ascii="Arial" w:cs="Arial" w:eastAsia="Arial" w:hAnsi="Arial"/>
          <w:sz w:val="18"/>
          <w:szCs w:val="18"/>
          <w:b w:val="1"/>
          <w:bCs w:val="1"/>
          <w:color w:val="auto"/>
        </w:rPr>
        <w:t>AnaptysBio</w:t>
      </w:r>
      <w:r>
        <w:rPr>
          <w:rFonts w:ascii="Arial" w:cs="Arial" w:eastAsia="Arial" w:hAnsi="Arial"/>
          <w:sz w:val="18"/>
          <w:szCs w:val="18"/>
          <w:color w:val="auto"/>
        </w:rPr>
        <w:t xml:space="preserve">”), and (ii) </w:t>
      </w:r>
      <w:r>
        <w:rPr>
          <w:rFonts w:ascii="Arial" w:cs="Arial" w:eastAsia="Arial" w:hAnsi="Arial"/>
          <w:sz w:val="18"/>
          <w:szCs w:val="18"/>
          <w:b w:val="1"/>
          <w:bCs w:val="1"/>
          <w:color w:val="auto"/>
        </w:rPr>
        <w:t>TESARO, Inc.</w:t>
      </w:r>
      <w:r>
        <w:rPr>
          <w:rFonts w:ascii="Arial" w:cs="Arial" w:eastAsia="Arial" w:hAnsi="Arial"/>
          <w:sz w:val="18"/>
          <w:szCs w:val="18"/>
          <w:color w:val="auto"/>
        </w:rPr>
        <w:t>, a Delaware corporation, having a place of business at 1000 Winter Street, Suite 3300, Waltham, Massachusetts 02541 (“</w:t>
      </w:r>
      <w:r>
        <w:rPr>
          <w:rFonts w:ascii="Arial" w:cs="Arial" w:eastAsia="Arial" w:hAnsi="Arial"/>
          <w:sz w:val="18"/>
          <w:szCs w:val="18"/>
          <w:b w:val="1"/>
          <w:bCs w:val="1"/>
          <w:color w:val="auto"/>
        </w:rPr>
        <w:t>TESARO US</w:t>
      </w:r>
      <w:r>
        <w:rPr>
          <w:rFonts w:ascii="Arial" w:cs="Arial" w:eastAsia="Arial" w:hAnsi="Arial"/>
          <w:sz w:val="18"/>
          <w:szCs w:val="18"/>
          <w:color w:val="auto"/>
        </w:rPr>
        <w:t xml:space="preserve">”) and </w:t>
      </w:r>
      <w:r>
        <w:rPr>
          <w:rFonts w:ascii="Arial" w:cs="Arial" w:eastAsia="Arial" w:hAnsi="Arial"/>
          <w:sz w:val="18"/>
          <w:szCs w:val="18"/>
          <w:b w:val="1"/>
          <w:bCs w:val="1"/>
          <w:color w:val="auto"/>
        </w:rPr>
        <w:t>TESARO Development, Ltd.</w:t>
      </w:r>
      <w:r>
        <w:rPr>
          <w:rFonts w:ascii="Arial" w:cs="Arial" w:eastAsia="Arial" w:hAnsi="Arial"/>
          <w:sz w:val="18"/>
          <w:szCs w:val="18"/>
          <w:color w:val="auto"/>
        </w:rPr>
        <w:t>, a Bermuda corporation, having its principal office at Clarendon House, 2 Church Street, Hamilton HM 11, Bermuda (together with TESARO US, “TESARO”).</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AnaptysBio has skills, expertise and proprietary technology for the discovery, generation and optimization of immunotherapy antibodies.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 AnaptysBio is developing therapeutic antibodies against immune checkpoint proteins for use in the treatment of cancer and related conditions.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 TESARO possesses expertise in the research, development, manufacturing and commercialization of treatments for cancer and related conditions.</w:t>
      </w:r>
    </w:p>
    <w:p>
      <w:pPr>
        <w:spacing w:after="0" w:line="24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 TESARO and AnaptysBio desire to enter a collaboration wherein AnaptysBio will perform certain discovery and early development of therapeutic antibodies against immune checkpoint proteins, with the goal of generating immunotherapy antibodies to such targets for subsequent preclinical, clinical, regulatory and commercial development by TESARO.</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for and in consideration of the covenants, conditions and undertakings hereinafter set forth, it is agreed by and between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Parties as follows:</w:t>
      </w:r>
    </w:p>
    <w:p>
      <w:pPr>
        <w:spacing w:after="0" w:line="234" w:lineRule="exact"/>
        <w:rPr>
          <w:sz w:val="20"/>
          <w:szCs w:val="20"/>
          <w:color w:val="auto"/>
        </w:rPr>
      </w:pPr>
    </w:p>
    <w:p>
      <w:pPr>
        <w:ind w:left="460" w:hanging="452"/>
        <w:spacing w:after="0"/>
        <w:tabs>
          <w:tab w:leader="none" w:pos="4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As used herein, the following terms will have the meanings set forth below:</w:t>
      </w:r>
    </w:p>
    <w:p>
      <w:pPr>
        <w:spacing w:after="0" w:line="221" w:lineRule="exact"/>
        <w:rPr>
          <w:sz w:val="20"/>
          <w:szCs w:val="20"/>
          <w:color w:val="auto"/>
        </w:rPr>
      </w:pPr>
    </w:p>
    <w:p>
      <w:pPr>
        <w:jc w:val="both"/>
        <w:ind w:right="20" w:firstLine="456"/>
        <w:spacing w:after="0" w:line="314"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shall mean any corporation or other entity, whether de jure or de facto, which is directly or indirectly controlling, controlled by or under</w:t>
      </w:r>
      <w:r>
        <w:rPr>
          <w:rFonts w:ascii="Arial" w:cs="Arial" w:eastAsia="Arial" w:hAnsi="Arial"/>
          <w:sz w:val="16"/>
          <w:szCs w:val="16"/>
          <w:b w:val="1"/>
          <w:bCs w:val="1"/>
          <w:color w:val="auto"/>
        </w:rPr>
        <w:t xml:space="preserve"> </w:t>
      </w:r>
      <w:r>
        <w:rPr>
          <w:rFonts w:ascii="Arial" w:cs="Arial" w:eastAsia="Arial" w:hAnsi="Arial"/>
          <w:sz w:val="16"/>
          <w:szCs w:val="16"/>
          <w:color w:val="auto"/>
        </w:rPr>
        <w:t>common control of a Party hereto for so long as such control exists. For the purposes of this Section 1.1, “control” shall mean the direct or indirect ownership of at least fifty percent (50%) of the outstanding shares or other voting rights of the subject entity having the power to vote, or if not meeting the preceding,</w:t>
      </w:r>
    </w:p>
    <w:p>
      <w:pPr>
        <w:sectPr>
          <w:pgSz w:w="11900" w:h="16838" w:orient="portrait"/>
          <w:cols w:equalWidth="0" w:num="1">
            <w:col w:w="11420"/>
          </w:cols>
          <w:pgMar w:left="240" w:top="121" w:right="239" w:bottom="1440" w:gutter="0" w:footer="0" w:header="0"/>
        </w:sectPr>
      </w:pPr>
    </w:p>
    <w:bookmarkStart w:id="199" w:name="page200"/>
    <w:bookmarkEnd w:id="199"/>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maximum voting right that may be held by the particular Party under the laws of the country where such entity exists, or the power to otherwise direct the affairs of the entity.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AnaptysBio IP Rights</w:t>
      </w:r>
      <w:r>
        <w:rPr>
          <w:rFonts w:ascii="Arial" w:cs="Arial" w:eastAsia="Arial" w:hAnsi="Arial"/>
          <w:sz w:val="18"/>
          <w:szCs w:val="18"/>
          <w:color w:val="auto"/>
        </w:rPr>
        <w:t>” shall mean, collectively, the AnaptysBio Patents and the AnaptysBio Know-How.</w:t>
      </w:r>
    </w:p>
    <w:p>
      <w:pPr>
        <w:spacing w:after="0" w:line="22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w:t>
      </w:r>
      <w:r>
        <w:rPr>
          <w:rFonts w:ascii="Arial" w:cs="Arial" w:eastAsia="Arial" w:hAnsi="Arial"/>
          <w:sz w:val="16"/>
          <w:szCs w:val="16"/>
          <w:b w:val="1"/>
          <w:bCs w:val="1"/>
          <w:color w:val="auto"/>
        </w:rPr>
        <w:t>AnaptysBio Know-How</w:t>
      </w:r>
      <w:r>
        <w:rPr>
          <w:rFonts w:ascii="Arial" w:cs="Arial" w:eastAsia="Arial" w:hAnsi="Arial"/>
          <w:sz w:val="16"/>
          <w:szCs w:val="16"/>
          <w:color w:val="auto"/>
        </w:rPr>
        <w:t>” shall mean all trade secret and other proprietary know- how rights in and to all data, information, compositions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technology (including, but not limited to, formulae, procedures, protocols, techniques and results of experimentation and testing) which are necessary or useful for TESARO to make, use, develop, sell or seek regulatory approval to market a Product, or to practice any method or process, and which</w:t>
      </w:r>
    </w:p>
    <w:p>
      <w:pPr>
        <w:spacing w:after="0" w:line="2" w:lineRule="exact"/>
        <w:rPr>
          <w:sz w:val="20"/>
          <w:szCs w:val="20"/>
          <w:color w:val="auto"/>
        </w:rPr>
      </w:pPr>
    </w:p>
    <w:p>
      <w:pPr>
        <w:ind w:right="240" w:firstLine="8"/>
        <w:spacing w:after="0" w:line="261" w:lineRule="auto"/>
        <w:tabs>
          <w:tab w:leader="none" w:pos="23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AnaptysBio discloses or makes available to TESARO under this Agreement, or (b) are within the Control of AnaptysBio. AnaptysBio Know-How shall exclude the AnaptysBio Platform.</w:t>
      </w:r>
    </w:p>
    <w:p>
      <w:pPr>
        <w:spacing w:after="0" w:line="180"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AnaptysBio Patents</w:t>
      </w:r>
      <w:r>
        <w:rPr>
          <w:rFonts w:ascii="Arial" w:cs="Arial" w:eastAsia="Arial" w:hAnsi="Arial"/>
          <w:sz w:val="18"/>
          <w:szCs w:val="18"/>
          <w:color w:val="auto"/>
        </w:rPr>
        <w:t>” shall mean all Patents owned or Controlled by AnaptysBio to the extent claiming the manufacture, composition or use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Antibodies. AnaptysBio Patents shall exclude Patents included within the AnaptysBio Platform.</w:t>
      </w:r>
    </w:p>
    <w:p>
      <w:pPr>
        <w:spacing w:after="0" w:line="162" w:lineRule="exact"/>
        <w:rPr>
          <w:sz w:val="20"/>
          <w:szCs w:val="20"/>
          <w:color w:val="auto"/>
        </w:rPr>
      </w:pPr>
    </w:p>
    <w:p>
      <w:pPr>
        <w:ind w:right="160" w:firstLine="456"/>
        <w:spacing w:after="0" w:line="285"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w:t>
      </w:r>
      <w:r>
        <w:rPr>
          <w:rFonts w:ascii="Arial" w:cs="Arial" w:eastAsia="Arial" w:hAnsi="Arial"/>
          <w:sz w:val="16"/>
          <w:szCs w:val="16"/>
          <w:b w:val="1"/>
          <w:bCs w:val="1"/>
          <w:color w:val="auto"/>
        </w:rPr>
        <w:t>AnaptysBio Platform</w:t>
      </w:r>
      <w:r>
        <w:rPr>
          <w:rFonts w:ascii="Arial" w:cs="Arial" w:eastAsia="Arial" w:hAnsi="Arial"/>
          <w:sz w:val="16"/>
          <w:szCs w:val="16"/>
          <w:color w:val="auto"/>
        </w:rPr>
        <w:t>” shall mean: (a) all know-how, trade secrets, data, inventions, proprietary software, works of authorship, designs,</w:t>
      </w:r>
      <w:r>
        <w:rPr>
          <w:rFonts w:ascii="Arial" w:cs="Arial" w:eastAsia="Arial" w:hAnsi="Arial"/>
          <w:sz w:val="16"/>
          <w:szCs w:val="16"/>
          <w:b w:val="1"/>
          <w:bCs w:val="1"/>
          <w:color w:val="auto"/>
        </w:rPr>
        <w:t xml:space="preserve"> </w:t>
      </w:r>
      <w:r>
        <w:rPr>
          <w:rFonts w:ascii="Arial" w:cs="Arial" w:eastAsia="Arial" w:hAnsi="Arial"/>
          <w:sz w:val="16"/>
          <w:szCs w:val="16"/>
          <w:color w:val="auto"/>
        </w:rPr>
        <w:t>techniques, methods, processes, formulations, structure and other information relating to compounds, compositions, specifications, reagents, ideas and information relating to AnaptysBio’s proprietary technology that is, in each case, generally applicable to the discovery, modification, optimization and/or humanization of antibodies and/or other proteins, and/or nucleic acids relating thereto (including, without limitation, the expression, manufacture and formulation of any of the foregoing); and (b) all patent and other intellectual property rights in any of the foregoing; provided, that the AnaptysBio Platform shall not include any Patents covering the composition of matter, in whole or in part, of any Development Antibody or the Patents set forth on Schedule</w:t>
      </w:r>
    </w:p>
    <w:p>
      <w:pPr>
        <w:spacing w:after="0" w:line="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12.2(i). Without limiting the generality of the foregoing, AnaptysBio Platform shall include any such information generated, discovered or developed in whole or in part by employees or agents of AnaptysBio in performing any Discovery Program, or otherwise generated, discovered or developed in whole or in part by employees or agents of AnaptysBio during the term of this Agreement; in each case, to the extent any of the foregoing: (i) relate to the AnaptysBio Platform, improvements to the AnaptysBio Platform, or the use of the AnaptysBio Platform or any such AnaptysBio Platform improvements; or (ii) are generally applicable to the discovery, modification, optimization or humanization of proteins and nucleic acids (including, without limitation, the expression and manufacture thereof); provided, that the AnaptysBio Platform shall not include any Patents covering the composition of matter, in whole or in part, of any Development Antibody or the Patents set forth on Schedule 12.2(i).</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Collaboration IP Rights</w:t>
      </w:r>
      <w:r>
        <w:rPr>
          <w:rFonts w:ascii="Arial" w:cs="Arial" w:eastAsia="Arial" w:hAnsi="Arial"/>
          <w:sz w:val="18"/>
          <w:szCs w:val="18"/>
          <w:color w:val="auto"/>
        </w:rPr>
        <w:t>” shall mean all Collaboration Patents and Collaboration Know-How.</w:t>
      </w:r>
    </w:p>
    <w:p>
      <w:pPr>
        <w:spacing w:after="0" w:line="225"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Collaboration Know-How</w:t>
      </w:r>
      <w:r>
        <w:rPr>
          <w:rFonts w:ascii="Arial" w:cs="Arial" w:eastAsia="Arial" w:hAnsi="Arial"/>
          <w:sz w:val="18"/>
          <w:szCs w:val="18"/>
          <w:color w:val="auto"/>
        </w:rPr>
        <w:t>” shall mean all proprietary ideas, inventions, data, instructions, processes, formulas, expert opinions and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biological, chemical, pharmacological, toxicological, pharmaceutical, physical and analytical, clinical, safety, manufacturing and quality control data and information developed solely 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00" w:name="page201"/>
    <w:bookmarkEnd w:id="200"/>
    <w:p>
      <w:pPr>
        <w:ind w:right="4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jointly by AnaptysBio and/or TESARO during and in connection with the Discovery Program, or by or for TESARO, its Affiliate or sublicensees in connection with the further development of a Product during and in connection with the Discovery Program. Collaboration Know-How shall exclude the AnaptysBio Platform.</w:t>
      </w:r>
    </w:p>
    <w:p>
      <w:pPr>
        <w:spacing w:after="0" w:line="177"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color w:val="auto"/>
        </w:rPr>
        <w:t>“</w:t>
      </w:r>
      <w:r>
        <w:rPr>
          <w:rFonts w:ascii="Arial" w:cs="Arial" w:eastAsia="Arial" w:hAnsi="Arial"/>
          <w:sz w:val="16"/>
          <w:szCs w:val="16"/>
          <w:b w:val="1"/>
          <w:bCs w:val="1"/>
          <w:color w:val="auto"/>
        </w:rPr>
        <w:t>Collaboration Patents</w:t>
      </w:r>
      <w:r>
        <w:rPr>
          <w:rFonts w:ascii="Arial" w:cs="Arial" w:eastAsia="Arial" w:hAnsi="Arial"/>
          <w:sz w:val="16"/>
          <w:szCs w:val="16"/>
          <w:color w:val="auto"/>
        </w:rPr>
        <w:t>” shall mean all Patents the subject of which are inventions conceived and reduced to practice solely or jointly by</w:t>
      </w:r>
      <w:r>
        <w:rPr>
          <w:rFonts w:ascii="Arial" w:cs="Arial" w:eastAsia="Arial" w:hAnsi="Arial"/>
          <w:sz w:val="16"/>
          <w:szCs w:val="16"/>
          <w:b w:val="1"/>
          <w:bCs w:val="1"/>
          <w:color w:val="auto"/>
        </w:rPr>
        <w:t xml:space="preserve"> </w:t>
      </w:r>
      <w:r>
        <w:rPr>
          <w:rFonts w:ascii="Arial" w:cs="Arial" w:eastAsia="Arial" w:hAnsi="Arial"/>
          <w:sz w:val="16"/>
          <w:szCs w:val="16"/>
          <w:color w:val="auto"/>
        </w:rPr>
        <w:t>AnaptysBio and/or TESARO during and in connection with the Discovery Program, or by or for TESARO, its Affiliate or sublicensees in connection with the further development of a Product during and in connection with the Discovery Program. Collaboration Patents shall exclude the AnaptysBio Platform.</w:t>
      </w:r>
    </w:p>
    <w:p>
      <w:pPr>
        <w:spacing w:after="0" w:line="142" w:lineRule="exact"/>
        <w:rPr>
          <w:sz w:val="20"/>
          <w:szCs w:val="20"/>
          <w:color w:val="auto"/>
        </w:rPr>
      </w:pPr>
    </w:p>
    <w:p>
      <w:pPr>
        <w:ind w:right="800" w:firstLine="456"/>
        <w:spacing w:after="0" w:line="282"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Product that contains a Development Antibody and at least one other therapeutically active product or</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ingredient which is not a Development Antibody.</w:t>
      </w:r>
    </w:p>
    <w:p>
      <w:pPr>
        <w:spacing w:after="0" w:line="16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a Party, such efforts that are consistent with the efforts and resources normally used</w:t>
      </w:r>
      <w:r>
        <w:rPr>
          <w:rFonts w:ascii="Arial" w:cs="Arial" w:eastAsia="Arial" w:hAnsi="Arial"/>
          <w:sz w:val="18"/>
          <w:szCs w:val="18"/>
          <w:b w:val="1"/>
          <w:bCs w:val="1"/>
          <w:color w:val="auto"/>
        </w:rPr>
        <w:t xml:space="preserve"> </w:t>
      </w:r>
      <w:r>
        <w:rPr>
          <w:rFonts w:ascii="Arial" w:cs="Arial" w:eastAsia="Arial" w:hAnsi="Arial"/>
          <w:sz w:val="18"/>
          <w:szCs w:val="18"/>
          <w:color w:val="auto"/>
        </w:rPr>
        <w:t>by such Party in the exercise of its reasonable business discretion relating to the research, development and commercialization of a pharmaceutical or biologic product owned by it or to which it has exclusive rights, with similar product characteristics, which is of similar market potential at a similar stage in its development or product life, taking into account issues of patent coverage, safety and efficacy, product profile, the competitiveness of the marketplace, the proprietary position of the compound or product, the regulatory structure involved, the potential or actual profitability of the applicable products (including pricing and reimbursement status achieved or to be achieved), and other relevant factors, including technical, legal, scientific and/or medical factors. For purposes of clarity, Commercially Reasonable Efforts would be determined on a market-by-market and indication- by-indication basis for a particular product and it is anticipated that the level of effort may be different for different markets and may change over time, reflecting changes in the status of the product and the market(s) involved. [*]</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have the meaning set forth in Section 10.1.</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w:t>
      </w:r>
      <w:r>
        <w:rPr>
          <w:rFonts w:ascii="Arial" w:cs="Arial" w:eastAsia="Arial" w:hAnsi="Arial"/>
          <w:sz w:val="18"/>
          <w:szCs w:val="18"/>
          <w:b w:val="1"/>
          <w:bCs w:val="1"/>
          <w:color w:val="auto"/>
        </w:rPr>
        <w:t>Controls,</w:t>
      </w:r>
      <w:r>
        <w:rPr>
          <w:rFonts w:ascii="Arial" w:cs="Arial" w:eastAsia="Arial" w:hAnsi="Arial"/>
          <w:sz w:val="18"/>
          <w:szCs w:val="18"/>
          <w:color w:val="auto"/>
        </w:rPr>
        <w:t>” “</w:t>
      </w:r>
      <w:r>
        <w:rPr>
          <w:rFonts w:ascii="Arial" w:cs="Arial" w:eastAsia="Arial" w:hAnsi="Arial"/>
          <w:sz w:val="18"/>
          <w:szCs w:val="18"/>
          <w:b w:val="1"/>
          <w:bCs w:val="1"/>
          <w:color w:val="auto"/>
        </w:rPr>
        <w:t>Controlled</w:t>
      </w:r>
      <w:r>
        <w:rPr>
          <w:rFonts w:ascii="Arial" w:cs="Arial" w:eastAsia="Arial" w:hAnsi="Arial"/>
          <w:sz w:val="18"/>
          <w:szCs w:val="18"/>
          <w:color w:val="auto"/>
        </w:rPr>
        <w:t>” or “</w:t>
      </w:r>
      <w:r>
        <w:rPr>
          <w:rFonts w:ascii="Arial" w:cs="Arial" w:eastAsia="Arial" w:hAnsi="Arial"/>
          <w:sz w:val="18"/>
          <w:szCs w:val="18"/>
          <w:b w:val="1"/>
          <w:bCs w:val="1"/>
          <w:color w:val="auto"/>
        </w:rPr>
        <w:t>Controlling</w:t>
      </w:r>
      <w:r>
        <w:rPr>
          <w:rFonts w:ascii="Arial" w:cs="Arial" w:eastAsia="Arial" w:hAnsi="Arial"/>
          <w:sz w:val="18"/>
          <w:szCs w:val="18"/>
          <w:color w:val="auto"/>
        </w:rPr>
        <w:t>” shall mean possession of the ability to grant the licenses or sublicenses as provided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violating the terms of any agreement or other arrangements with any Third Party.</w:t>
      </w:r>
    </w:p>
    <w:p>
      <w:pPr>
        <w:spacing w:after="0" w:line="162" w:lineRule="exact"/>
        <w:rPr>
          <w:sz w:val="20"/>
          <w:szCs w:val="20"/>
          <w:color w:val="auto"/>
        </w:rPr>
      </w:pPr>
    </w:p>
    <w:p>
      <w:pPr>
        <w:ind w:right="540" w:firstLine="456"/>
        <w:spacing w:after="0" w:line="261"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Development Antibody</w:t>
      </w:r>
      <w:r>
        <w:rPr>
          <w:rFonts w:ascii="Arial" w:cs="Arial" w:eastAsia="Arial" w:hAnsi="Arial"/>
          <w:sz w:val="18"/>
          <w:szCs w:val="18"/>
          <w:color w:val="auto"/>
        </w:rPr>
        <w:t>” shall mean any antibody that is developed using the AnaptysBio Platform antibody technology under one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and is a Target Antagonist. In addition, the antibodies existing as of the Effective Date and identified on Exhibit C attached to the Supplmental Information Package, which Exhibit also sets forth the sequence of such antibodies, shall each be a “Development Antibody” under this Agreement.</w:t>
      </w:r>
    </w:p>
    <w:p>
      <w:pPr>
        <w:spacing w:after="0" w:line="180"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Development Programs</w:t>
      </w:r>
      <w:r>
        <w:rPr>
          <w:rFonts w:ascii="Arial" w:cs="Arial" w:eastAsia="Arial" w:hAnsi="Arial"/>
          <w:sz w:val="18"/>
          <w:szCs w:val="18"/>
          <w:color w:val="auto"/>
        </w:rPr>
        <w:t>” shall mean, collectively, the PD-1 Development Program, TIM-3 Development Program and LAG-3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and “</w:t>
      </w:r>
      <w:r>
        <w:rPr>
          <w:rFonts w:ascii="Arial" w:cs="Arial" w:eastAsia="Arial" w:hAnsi="Arial"/>
          <w:sz w:val="18"/>
          <w:szCs w:val="18"/>
          <w:b w:val="1"/>
          <w:bCs w:val="1"/>
          <w:color w:val="auto"/>
        </w:rPr>
        <w:t>Development Program</w:t>
      </w:r>
      <w:r>
        <w:rPr>
          <w:rFonts w:ascii="Arial" w:cs="Arial" w:eastAsia="Arial" w:hAnsi="Arial"/>
          <w:sz w:val="18"/>
          <w:szCs w:val="18"/>
          <w:color w:val="auto"/>
        </w:rPr>
        <w:t>” shall mean any of such programs.</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Discovery Plan</w:t>
      </w:r>
      <w:r>
        <w:rPr>
          <w:rFonts w:ascii="Arial" w:cs="Arial" w:eastAsia="Arial" w:hAnsi="Arial"/>
          <w:sz w:val="18"/>
          <w:szCs w:val="18"/>
          <w:color w:val="auto"/>
        </w:rPr>
        <w:t>” shall mean the written research plan governing the joint effort of the Parties in conducting the applicable Discovery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which may be amended from</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01" w:name="page202"/>
    <w:bookmarkEnd w:id="201"/>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time to time, in accordance with this Agreement. The initial Discovery Plan for each Discovery Program is attached to the Supplemental Information Package as Exhibits A-1 – A-3.</w:t>
      </w:r>
    </w:p>
    <w:p>
      <w:pPr>
        <w:spacing w:after="0" w:line="166"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Discovery Programs</w:t>
      </w:r>
      <w:r>
        <w:rPr>
          <w:rFonts w:ascii="Arial" w:cs="Arial" w:eastAsia="Arial" w:hAnsi="Arial"/>
          <w:sz w:val="18"/>
          <w:szCs w:val="18"/>
          <w:color w:val="auto"/>
        </w:rPr>
        <w:t>” shall mean, collectively, the PD-1 Discovery Program, TIM-3 Discovery Program and LAG-3 Discovery Program, and</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Discovery Program</w:t>
      </w:r>
      <w:r>
        <w:rPr>
          <w:rFonts w:ascii="Arial" w:cs="Arial" w:eastAsia="Arial" w:hAnsi="Arial"/>
          <w:sz w:val="18"/>
          <w:szCs w:val="18"/>
          <w:color w:val="auto"/>
        </w:rPr>
        <w:t>” shall mean any of such programs.</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Discovery Program Term</w:t>
      </w:r>
      <w:r>
        <w:rPr>
          <w:rFonts w:ascii="Arial" w:cs="Arial" w:eastAsia="Arial" w:hAnsi="Arial"/>
          <w:sz w:val="18"/>
          <w:szCs w:val="18"/>
          <w:color w:val="auto"/>
        </w:rPr>
        <w:t>” shall mean, with respect to a Discovery Program, the term of such Discovery Program, as provided in Section 2.7</w:t>
      </w:r>
      <w:r>
        <w:rPr>
          <w:rFonts w:ascii="Arial" w:cs="Arial" w:eastAsia="Arial" w:hAnsi="Arial"/>
          <w:sz w:val="18"/>
          <w:szCs w:val="18"/>
          <w:b w:val="1"/>
          <w:bCs w:val="1"/>
          <w:color w:val="auto"/>
        </w:rPr>
        <w:t xml:space="preserve"> </w:t>
      </w:r>
      <w:r>
        <w:rPr>
          <w:rFonts w:ascii="Arial" w:cs="Arial" w:eastAsia="Arial" w:hAnsi="Arial"/>
          <w:sz w:val="18"/>
          <w:szCs w:val="18"/>
          <w:color w:val="auto"/>
        </w:rPr>
        <w:t>below.</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shall mean the European Agency for the Evaluation of Medicinal Products of the European Union, or the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shall mean the Food and Drug Administration of the United States, or the successor thereto.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shall mean all uses of Products for any purpose, including the [*].</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FTE</w:t>
      </w:r>
      <w:r>
        <w:rPr>
          <w:rFonts w:ascii="Arial" w:cs="Arial" w:eastAsia="Arial" w:hAnsi="Arial"/>
          <w:sz w:val="18"/>
          <w:szCs w:val="18"/>
          <w:color w:val="auto"/>
        </w:rPr>
        <w:t>” shall mean a full-time person working on the Discovery Program, or in the case of less than a full-time, dedicated person, a full-time,</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person year, based upon a total of [*] hours per year of work in connection with a Discovery Program.</w:t>
      </w:r>
    </w:p>
    <w:p>
      <w:pPr>
        <w:spacing w:after="0" w:line="162" w:lineRule="exact"/>
        <w:rPr>
          <w:sz w:val="20"/>
          <w:szCs w:val="20"/>
          <w:color w:val="auto"/>
        </w:rPr>
      </w:pPr>
    </w:p>
    <w:p>
      <w:pPr>
        <w:ind w:right="580" w:firstLine="456"/>
        <w:spacing w:after="0" w:line="282"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GLP Study</w:t>
      </w:r>
      <w:r>
        <w:rPr>
          <w:rFonts w:ascii="Arial" w:cs="Arial" w:eastAsia="Arial" w:hAnsi="Arial"/>
          <w:sz w:val="18"/>
          <w:szCs w:val="18"/>
          <w:color w:val="auto"/>
        </w:rPr>
        <w:t>” shall mean any in vitro or in vivo study that (i) is required under 21 C.F.R. § 58 to be governed under the principles of good</w:t>
      </w:r>
      <w:r>
        <w:rPr>
          <w:rFonts w:ascii="Arial" w:cs="Arial" w:eastAsia="Arial" w:hAnsi="Arial"/>
          <w:sz w:val="18"/>
          <w:szCs w:val="18"/>
          <w:b w:val="1"/>
          <w:bCs w:val="1"/>
          <w:color w:val="auto"/>
        </w:rPr>
        <w:t xml:space="preserve"> </w:t>
      </w:r>
      <w:r>
        <w:rPr>
          <w:rFonts w:ascii="Arial" w:cs="Arial" w:eastAsia="Arial" w:hAnsi="Arial"/>
          <w:sz w:val="18"/>
          <w:szCs w:val="18"/>
          <w:color w:val="auto"/>
        </w:rPr>
        <w:t>laboratory practice, or (ii) is performed by a GLP vendor.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shall mean an investigational new drug application filed with the FDA as more fully defined in 21 C.F.R. § 312.3</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JSC</w:t>
      </w:r>
      <w:r>
        <w:rPr>
          <w:rFonts w:ascii="Arial" w:cs="Arial" w:eastAsia="Arial" w:hAnsi="Arial"/>
          <w:sz w:val="18"/>
          <w:szCs w:val="18"/>
          <w:color w:val="auto"/>
        </w:rPr>
        <w:t>” or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shall have the meaning set forth in Section 4.1.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LAG-3</w:t>
      </w:r>
      <w:r>
        <w:rPr>
          <w:rFonts w:ascii="Arial" w:cs="Arial" w:eastAsia="Arial" w:hAnsi="Arial"/>
          <w:sz w:val="18"/>
          <w:szCs w:val="18"/>
          <w:color w:val="auto"/>
        </w:rPr>
        <w:t>” shall mean lymphocyte-activation gene 3, encoded by the LAG3 gene, also known as CD223.</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LAG-3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LAG-3 Discovery Program.</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LAG-3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LAG-3, including dual-reactive antibodies that are directed to antagonize both PD-1 and LAG-3.</w:t>
      </w:r>
    </w:p>
    <w:p>
      <w:pPr>
        <w:spacing w:after="0" w:line="162"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MAA</w:t>
      </w:r>
      <w:r>
        <w:rPr>
          <w:rFonts w:ascii="Arial" w:cs="Arial" w:eastAsia="Arial" w:hAnsi="Arial"/>
          <w:sz w:val="18"/>
          <w:szCs w:val="18"/>
          <w:color w:val="auto"/>
        </w:rPr>
        <w:t>” means a Marketing Authorization Application, or similar application for marketing approval of a Product for use in the Field submitted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EMA.</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02" w:name="page203"/>
    <w:bookmarkEnd w:id="202"/>
    <w:p>
      <w:pPr>
        <w:ind w:right="1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1.29. </w:t>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shall mean a New Drug Application or Biologics License Application, or similar application for marketing approval of a Product for use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Field submitted to the FDA.</w:t>
      </w:r>
    </w:p>
    <w:p>
      <w:pPr>
        <w:spacing w:after="0" w:line="162" w:lineRule="exact"/>
        <w:rPr>
          <w:sz w:val="20"/>
          <w:szCs w:val="20"/>
          <w:color w:val="auto"/>
        </w:rPr>
      </w:pPr>
    </w:p>
    <w:p>
      <w:pPr>
        <w:jc w:val="both"/>
        <w:ind w:right="260" w:firstLine="456"/>
        <w:spacing w:after="0" w:line="266"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with respect to any Product, the gross invoiced sales price of such Product sold by TESARO, its Affiliates or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(the “Selling Party”), in arm’s- length sales to Third Parties, less deductions allowed to the Third Party customer by the Selling Party, to the extent actually taken by the Third Party customer, on such sales for:</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maximum allowed for deductions resulting from clauses [*], collectively, shall not exceed [*] percent ([*]) of the total Net Sales.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 Product is sold as part of a Combination Product, for purposes of determining payments due hereunder, Net Sales of such Product shall be deemed to be an amount equal to the following: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(X divided by Y) multiplied by Z,</w:t>
      </w:r>
    </w:p>
    <w:p>
      <w:pPr>
        <w:spacing w:after="0" w:line="225"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where “X” is the average sales price during the applicable reporting period achieved for the relevant Product in the country in which such sale occurred when the Product contains only the Product and no other active pharmaceutical ingredient;</w:t>
      </w:r>
    </w:p>
    <w:p>
      <w:pPr>
        <w:spacing w:after="0" w:line="170"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“Y” is the sum of the average sales price during the applicable reporting period achieved in that country (as applicable) of each active pharmaceutical ingredient included in the Combination Product when such compound is sold as a separate product and not as part of a Combination Product; and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“Z” is the single price at which the relevant Combination Product was actually sold.</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the event that no separate sale of either (i) the Product and no other active pharmaceutical ingredient or (ii) the other active pharmaceutical ingredient(s) of the Combination Product are made during the accounting period in which the sale was made or if the price for a particular therapeutically active ingredient or relevant product cannot otherwise be determined for an accounting period, Net Sales allocable to the Product shall be determined by mutual agreement reached in good faith by the Parties prior to the end of the accounting period in question based on an equitable method of determining the same that takes into account, variations in potency, the relative contribution of each therapeutically active ingredient in the Combination Product, and relative value to the end user of each therapeutically active ingredient.</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Sales among TESARO and its Affiliates or sublicensees shall be excluded from the computation of Net Sales, and no royalties will be payable on such sales except where such Affiliates or sublicensees are end users; provided, however, in that any subsequent resale to a Third Party shall be included within Net Sales.</w:t>
      </w:r>
    </w:p>
    <w:p>
      <w:pPr>
        <w:spacing w:after="0" w:line="181" w:lineRule="exact"/>
        <w:rPr>
          <w:sz w:val="20"/>
          <w:szCs w:val="20"/>
          <w:color w:val="auto"/>
        </w:rPr>
      </w:pPr>
    </w:p>
    <w:p>
      <w:pPr>
        <w:ind w:right="620" w:firstLine="456"/>
        <w:spacing w:after="0" w:line="308" w:lineRule="auto"/>
        <w:rPr>
          <w:sz w:val="20"/>
          <w:szCs w:val="20"/>
          <w:color w:val="auto"/>
        </w:rPr>
      </w:pPr>
      <w:r>
        <w:rPr>
          <w:rFonts w:ascii="Arial" w:cs="Arial" w:eastAsia="Arial" w:hAnsi="Arial"/>
          <w:sz w:val="17"/>
          <w:szCs w:val="17"/>
          <w:color w:val="auto"/>
        </w:rPr>
        <w:t>Notwithstanding the foregoing, Net Sales shall be calculated and accounted for in accordance with United States generally accepted accounting principles (“GAAP”); provided, that if TESARO should change accounting standards during the term of this Agreement due to a</w:t>
      </w:r>
    </w:p>
    <w:p>
      <w:pPr>
        <w:spacing w:after="0" w:line="75"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03" w:name="page204"/>
    <w:bookmarkEnd w:id="203"/>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merger, acquisition or requirement of applicable laws, then Net Sales hereunder may be calculated and accounted for in accordance with such different set of accounting standards, consistently applied, following such change.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shall mean, respectively, AnaptysBio or TESARO, individually, or AnaptysBio and TESARO, collectively.</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shall mean (a) all patents and patent applications in any country or supranational jurisdiction in the Territory, and (b) any substitutions,</w:t>
      </w:r>
      <w:r>
        <w:rPr>
          <w:rFonts w:ascii="Arial" w:cs="Arial" w:eastAsia="Arial" w:hAnsi="Arial"/>
          <w:sz w:val="18"/>
          <w:szCs w:val="18"/>
          <w:b w:val="1"/>
          <w:bCs w:val="1"/>
          <w:color w:val="auto"/>
        </w:rPr>
        <w:t xml:space="preserve"> </w:t>
      </w:r>
      <w:r>
        <w:rPr>
          <w:rFonts w:ascii="Arial" w:cs="Arial" w:eastAsia="Arial" w:hAnsi="Arial"/>
          <w:sz w:val="18"/>
          <w:szCs w:val="18"/>
          <w:color w:val="auto"/>
        </w:rPr>
        <w:t>divisions, continuations, continuations-in-part, provisional applications, reissues, renewals, registrations, confirmations, re-examinations, extensions, supplementary protection certificates and the like of any such patents or patent applications.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PD-1</w:t>
      </w:r>
      <w:r>
        <w:rPr>
          <w:rFonts w:ascii="Arial" w:cs="Arial" w:eastAsia="Arial" w:hAnsi="Arial"/>
          <w:sz w:val="18"/>
          <w:szCs w:val="18"/>
          <w:color w:val="auto"/>
        </w:rPr>
        <w:t>” shall mean programmed cell death protein 1, encoded by the PDCD1 gene, also known as CD279.</w:t>
      </w:r>
    </w:p>
    <w:p>
      <w:pPr>
        <w:spacing w:after="0" w:line="22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PD-1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PD-1 Discovery Program.</w:t>
      </w:r>
    </w:p>
    <w:p>
      <w:pPr>
        <w:spacing w:after="0" w:line="162"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PD-1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PD-1, including the antibody identified on Exhibit C to the Supplemental Information Package. [*]</w:t>
      </w:r>
    </w:p>
    <w:p>
      <w:pPr>
        <w:spacing w:after="0" w:line="162"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shall mean a human clinical trial in any country that is intended to initially evaluate the effectiveness of a Product for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indication or indications in patients with the disease or indication under study and would satisfy requirements of 21 CFR 312.21(b) or its foreign equivalent.</w:t>
      </w:r>
    </w:p>
    <w:p>
      <w:pPr>
        <w:spacing w:after="0" w:line="176"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Phase III Clinical Trial</w:t>
      </w:r>
      <w:r>
        <w:rPr>
          <w:rFonts w:ascii="Arial" w:cs="Arial" w:eastAsia="Arial" w:hAnsi="Arial"/>
          <w:sz w:val="18"/>
          <w:szCs w:val="18"/>
          <w:color w:val="auto"/>
        </w:rPr>
        <w:t>” shall mean a human clinical trial in any country, the results of which could be used to establish safety and efficacy of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as a basis for an NDA, and would satisfy requirements of 21 CFR 312.21(c) or its foreign equivalent.</w:t>
      </w:r>
    </w:p>
    <w:p>
      <w:pPr>
        <w:spacing w:after="0" w:line="162"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shall mean any pharmaceutical or biologic product or therapy including one or more Development Antibodies, in whole or in part, as</w:t>
      </w:r>
      <w:r>
        <w:rPr>
          <w:rFonts w:ascii="Arial" w:cs="Arial" w:eastAsia="Arial" w:hAnsi="Arial"/>
          <w:sz w:val="18"/>
          <w:szCs w:val="18"/>
          <w:b w:val="1"/>
          <w:bCs w:val="1"/>
          <w:color w:val="auto"/>
        </w:rPr>
        <w:t xml:space="preserve"> </w:t>
      </w:r>
      <w:r>
        <w:rPr>
          <w:rFonts w:ascii="Arial" w:cs="Arial" w:eastAsia="Arial" w:hAnsi="Arial"/>
          <w:sz w:val="18"/>
          <w:szCs w:val="18"/>
          <w:color w:val="auto"/>
        </w:rPr>
        <w:t>an active ingredient.</w:t>
      </w:r>
    </w:p>
    <w:p>
      <w:pPr>
        <w:spacing w:after="0" w:line="162"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Subcontractor</w:t>
      </w:r>
      <w:r>
        <w:rPr>
          <w:rFonts w:ascii="Arial" w:cs="Arial" w:eastAsia="Arial" w:hAnsi="Arial"/>
          <w:sz w:val="18"/>
          <w:szCs w:val="18"/>
          <w:color w:val="auto"/>
        </w:rPr>
        <w:t>” means a Third Party which a Party has engaged to perform services in connection with such Party fulfilling its obligations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exercising its rights under and pursuant to this Agreement.</w:t>
      </w:r>
    </w:p>
    <w:p>
      <w:pPr>
        <w:spacing w:after="0" w:line="162" w:lineRule="exact"/>
        <w:rPr>
          <w:sz w:val="20"/>
          <w:szCs w:val="20"/>
          <w:color w:val="auto"/>
        </w:rPr>
      </w:pPr>
    </w:p>
    <w:p>
      <w:pPr>
        <w:ind w:right="700" w:firstLine="456"/>
        <w:spacing w:after="0" w:line="282"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Supplemental Information Package</w:t>
      </w:r>
      <w:r>
        <w:rPr>
          <w:rFonts w:ascii="Arial" w:cs="Arial" w:eastAsia="Arial" w:hAnsi="Arial"/>
          <w:sz w:val="18"/>
          <w:szCs w:val="18"/>
          <w:color w:val="auto"/>
        </w:rPr>
        <w:t>” means the Supplemental Information Package delivered in connection with the execution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by the Parties on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Target(s)</w:t>
      </w:r>
      <w:r>
        <w:rPr>
          <w:rFonts w:ascii="Arial" w:cs="Arial" w:eastAsia="Arial" w:hAnsi="Arial"/>
          <w:sz w:val="18"/>
          <w:szCs w:val="18"/>
          <w:color w:val="auto"/>
        </w:rPr>
        <w:t>” shall mean LAG-3, PD-1 and TIM-3.</w:t>
      </w:r>
    </w:p>
    <w:p>
      <w:pPr>
        <w:spacing w:after="0" w:line="225"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Target Antagonist</w:t>
      </w:r>
      <w:r>
        <w:rPr>
          <w:rFonts w:ascii="Arial" w:cs="Arial" w:eastAsia="Arial" w:hAnsi="Arial"/>
          <w:sz w:val="18"/>
          <w:szCs w:val="18"/>
          <w:color w:val="auto"/>
        </w:rPr>
        <w:t>” shall mean an antibody that is created against and selected in order to antagonize Target(s), and does anatagonize that</w:t>
      </w:r>
      <w:r>
        <w:rPr>
          <w:rFonts w:ascii="Arial" w:cs="Arial" w:eastAsia="Arial" w:hAnsi="Arial"/>
          <w:sz w:val="18"/>
          <w:szCs w:val="18"/>
          <w:b w:val="1"/>
          <w:bCs w:val="1"/>
          <w:color w:val="auto"/>
        </w:rPr>
        <w:t xml:space="preserve"> </w:t>
      </w:r>
      <w:r>
        <w:rPr>
          <w:rFonts w:ascii="Arial" w:cs="Arial" w:eastAsia="Arial" w:hAnsi="Arial"/>
          <w:sz w:val="18"/>
          <w:szCs w:val="18"/>
          <w:color w:val="auto"/>
        </w:rPr>
        <w:t>Target.</w:t>
      </w:r>
    </w:p>
    <w:p>
      <w:pPr>
        <w:spacing w:after="0" w:line="94"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04" w:name="page205"/>
    <w:bookmarkEnd w:id="204"/>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1.43.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shall mean worldwide.</w:t>
      </w:r>
    </w:p>
    <w:p>
      <w:pPr>
        <w:spacing w:after="0" w:line="22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TESARO Know-How</w:t>
      </w:r>
      <w:r>
        <w:rPr>
          <w:rFonts w:ascii="Arial" w:cs="Arial" w:eastAsia="Arial" w:hAnsi="Arial"/>
          <w:sz w:val="18"/>
          <w:szCs w:val="18"/>
          <w:color w:val="auto"/>
        </w:rPr>
        <w:t>” shall mean all proprietary ideas, inventions, data, instructions, processes, formulas, expert opinions and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biological, chemical, pharmacological, toxicological, pharmaceutical, physical and analytical, clinical, safety, manufacturing and quality control data and information developed by or for TESARO, its Affiliate or sublicensees in connection with the further development of a Product and Controlled by TESARO.</w:t>
      </w:r>
    </w:p>
    <w:p>
      <w:pPr>
        <w:spacing w:after="0" w:line="1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TESARO Patents</w:t>
      </w:r>
      <w:r>
        <w:rPr>
          <w:rFonts w:ascii="Arial" w:cs="Arial" w:eastAsia="Arial" w:hAnsi="Arial"/>
          <w:sz w:val="18"/>
          <w:szCs w:val="18"/>
          <w:color w:val="auto"/>
        </w:rPr>
        <w:t>” shall mean all Patents Controlled by TESARO the subject of which are inventions conceived and reduced to practice by or</w:t>
      </w:r>
      <w:r>
        <w:rPr>
          <w:rFonts w:ascii="Arial" w:cs="Arial" w:eastAsia="Arial" w:hAnsi="Arial"/>
          <w:sz w:val="18"/>
          <w:szCs w:val="18"/>
          <w:b w:val="1"/>
          <w:bCs w:val="1"/>
          <w:color w:val="auto"/>
        </w:rPr>
        <w:t xml:space="preserve"> </w:t>
      </w:r>
      <w:r>
        <w:rPr>
          <w:rFonts w:ascii="Arial" w:cs="Arial" w:eastAsia="Arial" w:hAnsi="Arial"/>
          <w:sz w:val="18"/>
          <w:szCs w:val="18"/>
          <w:color w:val="auto"/>
        </w:rPr>
        <w:t>for TESARO, its Affiliate or sublicensees in connection with the further development of a Product.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TIM-3</w:t>
      </w:r>
      <w:r>
        <w:rPr>
          <w:rFonts w:ascii="Arial" w:cs="Arial" w:eastAsia="Arial" w:hAnsi="Arial"/>
          <w:sz w:val="18"/>
          <w:szCs w:val="18"/>
          <w:color w:val="auto"/>
        </w:rPr>
        <w:t>” shall mean the T cell immunoglobulin and mucin protein 3 protein, encoded by the TIM3 gene.</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TIM-3 Development Program</w:t>
      </w:r>
      <w:r>
        <w:rPr>
          <w:rFonts w:ascii="Arial" w:cs="Arial" w:eastAsia="Arial" w:hAnsi="Arial"/>
          <w:sz w:val="18"/>
          <w:szCs w:val="18"/>
          <w:color w:val="auto"/>
        </w:rPr>
        <w:t>” shall mean the development program to be conducted in accordance with Section 3 for the development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Antibodies generated under the TIM-3 Discovery Program.</w:t>
      </w:r>
    </w:p>
    <w:p>
      <w:pPr>
        <w:spacing w:after="0" w:line="162"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TIM-3 Discovery Program</w:t>
      </w:r>
      <w:r>
        <w:rPr>
          <w:rFonts w:ascii="Arial" w:cs="Arial" w:eastAsia="Arial" w:hAnsi="Arial"/>
          <w:sz w:val="18"/>
          <w:szCs w:val="18"/>
          <w:color w:val="auto"/>
        </w:rPr>
        <w:t>” shall mean the discovery program to be conducted in accordance with Section 2 for the development of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directed to antagonize TIM-3, including dual-reactive antibodies that are directed to antagonize both PD-1 and TIM-3.</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shall mean any person or entity other than AnaptysBio and TESARO, and their respective Affiliates.</w:t>
      </w:r>
    </w:p>
    <w:p>
      <w:pPr>
        <w:spacing w:after="0" w:line="225"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 xml:space="preserve">1.50. </w:t>
      </w:r>
      <w:r>
        <w:rPr>
          <w:rFonts w:ascii="Arial" w:cs="Arial" w:eastAsia="Arial" w:hAnsi="Arial"/>
          <w:sz w:val="17"/>
          <w:szCs w:val="17"/>
          <w:color w:val="auto"/>
        </w:rPr>
        <w:t>“</w:t>
      </w:r>
      <w:r>
        <w:rPr>
          <w:rFonts w:ascii="Arial" w:cs="Arial" w:eastAsia="Arial" w:hAnsi="Arial"/>
          <w:sz w:val="17"/>
          <w:szCs w:val="17"/>
          <w:b w:val="1"/>
          <w:bCs w:val="1"/>
          <w:color w:val="auto"/>
        </w:rPr>
        <w:t>Third Party In-License</w:t>
      </w:r>
      <w:r>
        <w:rPr>
          <w:rFonts w:ascii="Arial" w:cs="Arial" w:eastAsia="Arial" w:hAnsi="Arial"/>
          <w:sz w:val="17"/>
          <w:szCs w:val="17"/>
          <w:color w:val="auto"/>
        </w:rPr>
        <w:t>” shall mean any agreement between AnaptysBio or any Affiliate thereof and any Third Party under which AnaptysBio</w:t>
      </w:r>
      <w:r>
        <w:rPr>
          <w:rFonts w:ascii="Arial" w:cs="Arial" w:eastAsia="Arial" w:hAnsi="Arial"/>
          <w:sz w:val="17"/>
          <w:szCs w:val="17"/>
          <w:b w:val="1"/>
          <w:bCs w:val="1"/>
          <w:color w:val="auto"/>
        </w:rPr>
        <w:t xml:space="preserve"> </w:t>
      </w:r>
      <w:r>
        <w:rPr>
          <w:rFonts w:ascii="Arial" w:cs="Arial" w:eastAsia="Arial" w:hAnsi="Arial"/>
          <w:sz w:val="17"/>
          <w:szCs w:val="17"/>
          <w:color w:val="auto"/>
        </w:rPr>
        <w:t>or such Affiliate is or has been granted a license or other rights under the AnaptysBio IP Rights or with respect to the AnaptysBio Platform.</w:t>
      </w:r>
    </w:p>
    <w:p>
      <w:pPr>
        <w:spacing w:after="0" w:line="165" w:lineRule="exact"/>
        <w:rPr>
          <w:sz w:val="20"/>
          <w:szCs w:val="20"/>
          <w:color w:val="auto"/>
        </w:rPr>
      </w:pPr>
    </w:p>
    <w:p>
      <w:pPr>
        <w:ind w:left="460" w:hanging="452"/>
        <w:spacing w:after="0"/>
        <w:tabs>
          <w:tab w:leader="none" w:pos="4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PROGRAMS</w:t>
      </w:r>
    </w:p>
    <w:p>
      <w:pPr>
        <w:spacing w:after="0" w:line="225"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2.1. Goals</w:t>
      </w:r>
      <w:r>
        <w:rPr>
          <w:rFonts w:ascii="Arial" w:cs="Arial" w:eastAsia="Arial" w:hAnsi="Arial"/>
          <w:sz w:val="18"/>
          <w:szCs w:val="18"/>
          <w:color w:val="auto"/>
        </w:rPr>
        <w:t>. The goals of the Discovery Programs are the discovery of Development Antibodies directed to the applicable Targets, and characterization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certain testing, including certain efficacy, pharmacology and toxicology studies, provided that none shall be a GLP Study, all as set forth in the applicable Discovery Plan for such Discovery Program.</w:t>
      </w:r>
    </w:p>
    <w:p>
      <w:pPr>
        <w:spacing w:after="0" w:line="17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2.2. Responsibility</w:t>
      </w:r>
      <w:r>
        <w:rPr>
          <w:rFonts w:ascii="Arial" w:cs="Arial" w:eastAsia="Arial" w:hAnsi="Arial"/>
          <w:sz w:val="18"/>
          <w:szCs w:val="18"/>
          <w:color w:val="auto"/>
        </w:rPr>
        <w:t>. AnaptysBio shall hold the primary responsibility for executing each of the Discovery Programs in accordance with each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Plan. AnaptysBio shall utilize resources and methodologies as needed with respect to the AnaptysBio Platform to generate Development Antibodies with respect to each Target.</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2.3. Conduct of the Discovery Program</w:t>
      </w:r>
      <w:r>
        <w:rPr>
          <w:rFonts w:ascii="Arial" w:cs="Arial" w:eastAsia="Arial" w:hAnsi="Arial"/>
          <w:sz w:val="18"/>
          <w:szCs w:val="18"/>
          <w:color w:val="auto"/>
        </w:rPr>
        <w:t>. Subject to the terms and conditions set forth herein, AnaptysBio agrees to conduct research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which shall be funded as set forth in Section 6. During each Discovery Program Term, AnaptysBio shall use Commercially Reasonable Efforts to conduct each Discovery Program in accordance with the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205" w:name="page206"/>
    <w:bookmarkEnd w:id="205"/>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Discovery Plan within the time schedules contemplated therein and to keep TESARO informed as to the progress and results of the Discovery Programs hereunder.</w:t>
      </w:r>
    </w:p>
    <w:p>
      <w:pPr>
        <w:spacing w:after="0" w:line="16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color w:val="auto"/>
        </w:rPr>
        <w:t>2.4. Discovery Plans</w:t>
      </w:r>
      <w:r>
        <w:rPr>
          <w:rFonts w:ascii="Arial" w:cs="Arial" w:eastAsia="Arial" w:hAnsi="Arial"/>
          <w:sz w:val="18"/>
          <w:szCs w:val="18"/>
          <w:color w:val="auto"/>
        </w:rPr>
        <w:t>. Each Discovery Program shall be carried out in accordance with a mutually agreed upon written Discovery Plan, which shall</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specific research objectives and the research tasks to be performed and resources to be provided by AnaptysBio. The initial Discovery Plans, attached to the Supplemental Information Package as Exhibits A-1 – A-3, establish: (i) the scope of the research activities which will be performed under the applicable Discovery Program; (ii) the research objectives and work plan activities with respect to such Discovery Program; and (iii) the criteria for determining when a Development Antibody shall be advanced into its respective Development Program. The Discovery Plans may be amended or modified from time to time by approval of the JSC.</w:t>
      </w:r>
    </w:p>
    <w:p>
      <w:pPr>
        <w:spacing w:after="0" w:line="188"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2.5. Discovery Budgets</w:t>
      </w:r>
      <w:r>
        <w:rPr>
          <w:rFonts w:ascii="Arial" w:cs="Arial" w:eastAsia="Arial" w:hAnsi="Arial"/>
          <w:sz w:val="18"/>
          <w:szCs w:val="18"/>
          <w:color w:val="auto"/>
        </w:rPr>
        <w:t>. Each Discovery Plan includes a budget covering the activities to be conducted by AnaptysBio under such Discovery Plan, 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Parties (each, a “</w:t>
      </w:r>
      <w:r>
        <w:rPr>
          <w:rFonts w:ascii="Arial" w:cs="Arial" w:eastAsia="Arial" w:hAnsi="Arial"/>
          <w:sz w:val="18"/>
          <w:szCs w:val="18"/>
          <w:b w:val="1"/>
          <w:bCs w:val="1"/>
          <w:color w:val="auto"/>
        </w:rPr>
        <w:t>Discovery Budget</w:t>
      </w:r>
      <w:r>
        <w:rPr>
          <w:rFonts w:ascii="Arial" w:cs="Arial" w:eastAsia="Arial" w:hAnsi="Arial"/>
          <w:sz w:val="18"/>
          <w:szCs w:val="18"/>
          <w:color w:val="auto"/>
        </w:rPr>
        <w:t>”). The Discovery Budgets may be amended from time to time by approval of the JSC, but, unless otherwise decided by the JSC, only following a JSC-approved modification to the applicable Discovery Plan which necessitates a change in the applicable Discovery Budget. At all times the Discovery Budgets shall reflect the Parties’ good faith estimate of the costs reasonably necessary in order for AnaptysBio to complete its activities set forth in the Discovery Plans.</w:t>
      </w:r>
    </w:p>
    <w:p>
      <w:pPr>
        <w:spacing w:after="0" w:line="184"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2.6. Discovery Program Costs</w:t>
      </w:r>
      <w:r>
        <w:rPr>
          <w:rFonts w:ascii="Arial" w:cs="Arial" w:eastAsia="Arial" w:hAnsi="Arial"/>
          <w:sz w:val="18"/>
          <w:szCs w:val="18"/>
          <w:color w:val="auto"/>
        </w:rPr>
        <w:t>. During the applicable Discovery Program Term and subject to TESARO funding the costs of each Discovery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6.1, AnaptysBio shall [*]. At the beginning of each calendar quarter, [*].</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2.7. Term of Discovery Program</w:t>
      </w:r>
      <w:r>
        <w:rPr>
          <w:rFonts w:ascii="Arial" w:cs="Arial" w:eastAsia="Arial" w:hAnsi="Arial"/>
          <w:sz w:val="17"/>
          <w:szCs w:val="17"/>
          <w:color w:val="auto"/>
        </w:rPr>
        <w:t>. Each Discovery Program Term shall commence on the Effective Date and shall end upon the earlier of [*].</w:t>
      </w:r>
    </w:p>
    <w:p>
      <w:pPr>
        <w:spacing w:after="0" w:line="237" w:lineRule="exact"/>
        <w:rPr>
          <w:sz w:val="20"/>
          <w:szCs w:val="20"/>
          <w:color w:val="auto"/>
        </w:rPr>
      </w:pPr>
    </w:p>
    <w:p>
      <w:pPr>
        <w:ind w:right="140" w:firstLine="456"/>
        <w:spacing w:after="0" w:line="289" w:lineRule="auto"/>
        <w:rPr>
          <w:sz w:val="20"/>
          <w:szCs w:val="20"/>
          <w:color w:val="auto"/>
        </w:rPr>
      </w:pPr>
      <w:r>
        <w:rPr>
          <w:rFonts w:ascii="Arial" w:cs="Arial" w:eastAsia="Arial" w:hAnsi="Arial"/>
          <w:sz w:val="17"/>
          <w:szCs w:val="17"/>
          <w:b w:val="1"/>
          <w:bCs w:val="1"/>
          <w:color w:val="auto"/>
        </w:rPr>
        <w:t xml:space="preserve">2.8. Third Party Licenses. </w:t>
      </w:r>
      <w:r>
        <w:rPr>
          <w:rFonts w:ascii="Arial" w:cs="Arial" w:eastAsia="Arial" w:hAnsi="Arial"/>
          <w:sz w:val="17"/>
          <w:szCs w:val="17"/>
          <w:color w:val="auto"/>
        </w:rPr>
        <w:t>In the event that the Parties agree to acquire additional technologies, equipment or other fixed assets from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specifically for use in the conduct of a Discovery Program, TESARO will be responsible for the payment of any amounts due to Third Parties for the license of intellectual property which directly applies to any Target, and the costs of negotiating, preparing and executing any such license.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2.9. Records; Inspection</w:t>
      </w:r>
      <w:r>
        <w:rPr>
          <w:rFonts w:ascii="Arial" w:cs="Arial" w:eastAsia="Arial" w:hAnsi="Arial"/>
          <w:sz w:val="18"/>
          <w:szCs w:val="18"/>
          <w:color w:val="auto"/>
        </w:rPr>
        <w:t>.</w:t>
      </w:r>
    </w:p>
    <w:p>
      <w:pPr>
        <w:spacing w:after="0" w:line="225" w:lineRule="exact"/>
        <w:rPr>
          <w:sz w:val="20"/>
          <w:szCs w:val="20"/>
          <w:color w:val="auto"/>
        </w:rPr>
      </w:pPr>
    </w:p>
    <w:p>
      <w:pPr>
        <w:ind w:right="100" w:firstLine="921"/>
        <w:spacing w:after="0" w:line="256" w:lineRule="auto"/>
        <w:tabs>
          <w:tab w:leader="none" w:pos="1168"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Records</w:t>
      </w:r>
      <w:r>
        <w:rPr>
          <w:rFonts w:ascii="Arial" w:cs="Arial" w:eastAsia="Arial" w:hAnsi="Arial"/>
          <w:sz w:val="18"/>
          <w:szCs w:val="18"/>
          <w:color w:val="auto"/>
        </w:rPr>
        <w:t>. AnaptysBio and TESARO shall maintain records of each Discovery Program (or cause such records to be maintained) in sufficient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detail and in good scientific manner as will properly reflect all work done and results achieved in the performance of the Discovery Program (including all data in the form required under any applicable governmental regulations or as directed by the JSC). All such records shall be owned by AnaptysBio, and licensed to TESARO on a Discovery Program-by-Discovery Program basis in accordance with Section 5.1 and AnaptysBio shall deliver copies of any such records to TESARO upon TESARO’s written request. AnaptysBio shall maintain any such records, to the extent not delivered to TESARO, during the applicable Discovery Program Term and for a</w:t>
      </w:r>
    </w:p>
    <w:p>
      <w:pPr>
        <w:spacing w:after="0" w:line="120"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06" w:name="page207"/>
    <w:bookmarkEnd w:id="206"/>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of at least five (5) years thereafter, and shall provide TESARO access to such records at AnaptysBio’s place of business upon reasonable advance notice by TESARO.</w:t>
      </w:r>
    </w:p>
    <w:p>
      <w:pPr>
        <w:spacing w:after="0" w:line="166" w:lineRule="exact"/>
        <w:rPr>
          <w:sz w:val="20"/>
          <w:szCs w:val="20"/>
          <w:color w:val="auto"/>
        </w:rPr>
      </w:pPr>
    </w:p>
    <w:p>
      <w:pPr>
        <w:ind w:right="160" w:firstLine="921"/>
        <w:spacing w:after="0" w:line="261" w:lineRule="auto"/>
        <w:tabs>
          <w:tab w:leader="none" w:pos="1178"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Information Exchange</w:t>
      </w:r>
      <w:r>
        <w:rPr>
          <w:rFonts w:ascii="Arial" w:cs="Arial" w:eastAsia="Arial" w:hAnsi="Arial"/>
          <w:sz w:val="18"/>
          <w:szCs w:val="18"/>
          <w:color w:val="auto"/>
        </w:rPr>
        <w:t>. During each Discovery Program Term, each of TESARO and AnaptysBio shall use their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disclose to the other Party all material information relating to the applicable Discovery Program promptly after it is learned or its materiality is appreciated. Each Party shall also keep the other Party, including the Joint Steering Committee, informed as to its progress under each Discovery Plan. [*]</w:t>
      </w:r>
    </w:p>
    <w:p>
      <w:pPr>
        <w:spacing w:after="0" w:line="180"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color w:val="auto"/>
        </w:rPr>
        <w:t>2.10. Technology Transfer</w:t>
      </w:r>
      <w:r>
        <w:rPr>
          <w:rFonts w:ascii="Arial" w:cs="Arial" w:eastAsia="Arial" w:hAnsi="Arial"/>
          <w:sz w:val="17"/>
          <w:szCs w:val="17"/>
          <w:color w:val="auto"/>
        </w:rPr>
        <w:t>. At any time after cessation, termination or completion of the applicable Discovery Program, or as reasonably requested by</w:t>
      </w:r>
      <w:r>
        <w:rPr>
          <w:rFonts w:ascii="Arial" w:cs="Arial" w:eastAsia="Arial" w:hAnsi="Arial"/>
          <w:sz w:val="17"/>
          <w:szCs w:val="17"/>
          <w:b w:val="1"/>
          <w:bCs w:val="1"/>
          <w:color w:val="auto"/>
        </w:rPr>
        <w:t xml:space="preserve"> </w:t>
      </w:r>
      <w:r>
        <w:rPr>
          <w:rFonts w:ascii="Arial" w:cs="Arial" w:eastAsia="Arial" w:hAnsi="Arial"/>
          <w:sz w:val="17"/>
          <w:szCs w:val="17"/>
          <w:color w:val="auto"/>
        </w:rPr>
        <w:t>TESARO at any time after the Effective Date, TESARO shall have the right to request that AnaptysBio commence a technology transfer to TESARO, or its designee, of any tangible embodiments of AnaptysBio Know-How or other information and technology reasonably necessary for the GLP manufacture, clinical and/or commercial manufacture of Products or any Development Antibodies with respect to such Discovery Program. The cost of a technology transfer shall be borne by TESARO and shall be based on the FTE rates set forth herein. [*]</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2.11. Subcontracting</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7" w:lineRule="auto"/>
        <w:tabs>
          <w:tab w:leader="none" w:pos="1168"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AnaptysBio Right to Subcontract</w:t>
      </w:r>
      <w:r>
        <w:rPr>
          <w:rFonts w:ascii="Arial" w:cs="Arial" w:eastAsia="Arial" w:hAnsi="Arial"/>
          <w:sz w:val="16"/>
          <w:szCs w:val="16"/>
          <w:color w:val="auto"/>
        </w:rPr>
        <w:t>. Subject to the terms of this Agreement, AnaptysBio shall have the right to engage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to perform certain of its obligations under the Discovery Plans; provided, that with respect to each subcontract: (i) AnaptysBio shall notify TESARO in writing (on a confidential basis) in advance (including a description of the activity(ies) to be subcontracted, the identity of the Subcontractor and the countries involved); (ii) AnaptysBio shall ensure that each of its Subcontractors accepts and complies with all applicable terms and conditions of this Agreement, and AnaptysBio shall remain responsible for the performance of its Subcontractors hereunder; (iii) no subcontract shall contain any royalty bearing licenses or any milestone payment obligations, in each case, payable by AnaptysBio, without the prior written consent of TESARO; and (iv) any such subcontract shall (A) be in writing, (B) be subject and subordinate to the terms and conditions of this Agreement, (C) contain terms and conditions which are consistent with the terms and conditions of this Agreement, (D) not in any way diminish, reduce or eliminate any of AnaptysBio’s obligations under this Agreement, (E) impose on the Subcontractor all applicable obligations under the terms of this Agreement, including the reporting, audit, inspection and confidentiality provisions hereunder, as well as a provision prohibiting such Subcontractor from further sublicensing or subcontracting, and (F) use reasonable efforts to cause such subcontract to be assignable to TESARO without consent of the Subcontractor. Notwithstanding the foregoing, approval of the JSC will be required if AnaptysBio desires to engage a Subcontractor to perform work related to chemistry, manufacturing and controls.</w:t>
      </w:r>
    </w:p>
    <w:p>
      <w:pPr>
        <w:spacing w:after="0" w:line="168" w:lineRule="exact"/>
        <w:rPr>
          <w:rFonts w:ascii="Arial" w:cs="Arial" w:eastAsia="Arial" w:hAnsi="Arial"/>
          <w:sz w:val="16"/>
          <w:szCs w:val="16"/>
          <w:b w:val="1"/>
          <w:bCs w:val="1"/>
          <w:color w:val="auto"/>
        </w:rPr>
      </w:pPr>
    </w:p>
    <w:p>
      <w:pPr>
        <w:ind w:right="160" w:firstLine="921"/>
        <w:spacing w:after="0" w:line="314" w:lineRule="auto"/>
        <w:tabs>
          <w:tab w:leader="none" w:pos="1178"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TESARO Right to Subcontract</w:t>
      </w:r>
      <w:r>
        <w:rPr>
          <w:rFonts w:ascii="Arial" w:cs="Arial" w:eastAsia="Arial" w:hAnsi="Arial"/>
          <w:sz w:val="16"/>
          <w:szCs w:val="16"/>
          <w:color w:val="auto"/>
        </w:rPr>
        <w:t>. Subject to the terms of this Agreement, TESARO shall have the right to engage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to perform certain of its obligations and exercise its rights under this Agreement (including any activities under the Development Programs); provided, that with respect to each subcontract: (i) TESARO shall ensure that each of its Subcontractors accepts and complies with all applicable terms and</w:t>
      </w:r>
    </w:p>
    <w:p>
      <w:pPr>
        <w:spacing w:after="0" w:line="75" w:lineRule="exact"/>
        <w:rPr>
          <w:sz w:val="20"/>
          <w:szCs w:val="20"/>
          <w:color w:val="auto"/>
        </w:rPr>
      </w:pPr>
    </w:p>
    <w:p>
      <w:pPr>
        <w:jc w:val="both"/>
        <w:ind w:left="5920"/>
        <w:spacing w:after="0"/>
        <w:tabs>
          <w:tab w:leader="none" w:pos="862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this Agreement, and TESARO shall remain responsible for the performance of its Subcontractors hereunder; and (ii) any such subcontract shall</w:t>
      </w:r>
    </w:p>
    <w:p>
      <w:pPr>
        <w:spacing w:after="0" w:line="46" w:lineRule="exact"/>
        <w:rPr>
          <w:sz w:val="20"/>
          <w:szCs w:val="20"/>
          <w:color w:val="auto"/>
        </w:rPr>
      </w:pPr>
    </w:p>
    <w:p>
      <w:pPr>
        <w:ind w:firstLine="8"/>
        <w:spacing w:after="0" w:line="295" w:lineRule="auto"/>
        <w:tabs>
          <w:tab w:leader="none" w:pos="295"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be in writing, (B) be subject and subordinate to the terms and conditions of this Agreement, (C) contain terms and conditions which are consistent with the terms and conditions of this Agreement, (D) not in any way diminish, reduce or eliminate any of TESARO’s obligations under this Agreement, (E) impose on the Subcontractor all applicable obligations under the terms of this Agreement, including the reporting, audit, inspection and confidentiality provisions hereunder, and (F) use reasonable efforts to cause such subcontract to be assignable to AnaptysBio without consent of the Subcontractor.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2.12. </w:t>
      </w:r>
      <w:r>
        <w:rPr>
          <w:rFonts w:ascii="Arial" w:cs="Arial" w:eastAsia="Arial" w:hAnsi="Arial"/>
          <w:sz w:val="18"/>
          <w:szCs w:val="18"/>
          <w:color w:val="auto"/>
        </w:rPr>
        <w:t>[*]</w:t>
      </w:r>
    </w:p>
    <w:p>
      <w:pPr>
        <w:spacing w:after="0" w:line="252"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PROGRAMS</w:t>
      </w:r>
    </w:p>
    <w:p>
      <w:pPr>
        <w:spacing w:after="0" w:line="225" w:lineRule="exact"/>
        <w:rPr>
          <w:sz w:val="20"/>
          <w:szCs w:val="20"/>
          <w:color w:val="auto"/>
        </w:rPr>
      </w:pPr>
    </w:p>
    <w:p>
      <w:pPr>
        <w:ind w:right="200" w:firstLine="456"/>
        <w:spacing w:after="0" w:line="261" w:lineRule="auto"/>
        <w:rPr>
          <w:sz w:val="20"/>
          <w:szCs w:val="20"/>
          <w:color w:val="auto"/>
        </w:rPr>
      </w:pPr>
      <w:r>
        <w:rPr>
          <w:rFonts w:ascii="Arial" w:cs="Arial" w:eastAsia="Arial" w:hAnsi="Arial"/>
          <w:sz w:val="18"/>
          <w:szCs w:val="18"/>
          <w:b w:val="1"/>
          <w:bCs w:val="1"/>
          <w:color w:val="auto"/>
        </w:rPr>
        <w:t>3.1. Development Program Activities</w:t>
      </w:r>
      <w:r>
        <w:rPr>
          <w:rFonts w:ascii="Arial" w:cs="Arial" w:eastAsia="Arial" w:hAnsi="Arial"/>
          <w:sz w:val="18"/>
          <w:szCs w:val="18"/>
          <w:color w:val="auto"/>
        </w:rPr>
        <w:t>. Following completion of each Discovery Program, TESARO shall be responsible, at its sole expense, for</w:t>
      </w:r>
      <w:r>
        <w:rPr>
          <w:rFonts w:ascii="Arial" w:cs="Arial" w:eastAsia="Arial" w:hAnsi="Arial"/>
          <w:sz w:val="18"/>
          <w:szCs w:val="18"/>
          <w:b w:val="1"/>
          <w:bCs w:val="1"/>
          <w:color w:val="auto"/>
        </w:rPr>
        <w:t xml:space="preserve"> </w:t>
      </w:r>
      <w:r>
        <w:rPr>
          <w:rFonts w:ascii="Arial" w:cs="Arial" w:eastAsia="Arial" w:hAnsi="Arial"/>
          <w:sz w:val="18"/>
          <w:szCs w:val="18"/>
          <w:color w:val="auto"/>
        </w:rPr>
        <w:t>conducting the Development Program, which shall include without limitation all pre-IND activities, including cross-reactivity studies and pilot studies to enable GLP pharmacology/toxicology studies, GMP manufacturing, regulatory filings, clinical trials and commercialization activities with respect to one or more Development Antibodies under each Development Program.</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3.2. Records; Inspection</w:t>
      </w:r>
      <w:r>
        <w:rPr>
          <w:rFonts w:ascii="Arial" w:cs="Arial" w:eastAsia="Arial" w:hAnsi="Arial"/>
          <w:sz w:val="18"/>
          <w:szCs w:val="18"/>
          <w:color w:val="auto"/>
        </w:rPr>
        <w:t>.</w:t>
      </w:r>
    </w:p>
    <w:p>
      <w:pPr>
        <w:spacing w:after="0" w:line="225" w:lineRule="exact"/>
        <w:rPr>
          <w:sz w:val="20"/>
          <w:szCs w:val="20"/>
          <w:color w:val="auto"/>
        </w:rPr>
      </w:pPr>
    </w:p>
    <w:p>
      <w:pPr>
        <w:jc w:val="both"/>
        <w:ind w:right="60" w:firstLine="921"/>
        <w:spacing w:after="0" w:line="281" w:lineRule="auto"/>
        <w:tabs>
          <w:tab w:leader="none" w:pos="1168"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Records</w:t>
      </w:r>
      <w:r>
        <w:rPr>
          <w:rFonts w:ascii="Arial" w:cs="Arial" w:eastAsia="Arial" w:hAnsi="Arial"/>
          <w:sz w:val="17"/>
          <w:szCs w:val="17"/>
          <w:color w:val="auto"/>
        </w:rPr>
        <w:t>. TESARO shall maintain records of each Development Program (or cause such records to be maintained) in sufficient detail and in</w:t>
      </w:r>
      <w:r>
        <w:rPr>
          <w:rFonts w:ascii="Arial" w:cs="Arial" w:eastAsia="Arial" w:hAnsi="Arial"/>
          <w:sz w:val="17"/>
          <w:szCs w:val="17"/>
          <w:b w:val="1"/>
          <w:bCs w:val="1"/>
          <w:color w:val="auto"/>
        </w:rPr>
        <w:t xml:space="preserve"> </w:t>
      </w:r>
      <w:r>
        <w:rPr>
          <w:rFonts w:ascii="Arial" w:cs="Arial" w:eastAsia="Arial" w:hAnsi="Arial"/>
          <w:sz w:val="17"/>
          <w:szCs w:val="17"/>
          <w:color w:val="auto"/>
        </w:rPr>
        <w:t>good scientific manner as will properly reflect all work done and results achieved in the performance of the Development Program (including all data in the form required under any applicable governmental regulations). TESARO shall maintain such records for a period of [*], and shall provide AnaptysBio access to such records at TESARO’s place of business upon reasonable advance notice by AnaptysBio in accordance with Section 7.4.</w:t>
      </w:r>
    </w:p>
    <w:p>
      <w:pPr>
        <w:spacing w:after="0" w:line="164" w:lineRule="exact"/>
        <w:rPr>
          <w:rFonts w:ascii="Arial" w:cs="Arial" w:eastAsia="Arial" w:hAnsi="Arial"/>
          <w:sz w:val="17"/>
          <w:szCs w:val="17"/>
          <w:b w:val="1"/>
          <w:bCs w:val="1"/>
          <w:color w:val="auto"/>
        </w:rPr>
      </w:pPr>
    </w:p>
    <w:p>
      <w:pPr>
        <w:ind w:right="40" w:firstLine="921"/>
        <w:spacing w:after="0" w:line="261" w:lineRule="auto"/>
        <w:tabs>
          <w:tab w:leader="none" w:pos="1178"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Reports and Information Exchange</w:t>
      </w:r>
      <w:r>
        <w:rPr>
          <w:rFonts w:ascii="Arial" w:cs="Arial" w:eastAsia="Arial" w:hAnsi="Arial"/>
          <w:sz w:val="18"/>
          <w:szCs w:val="18"/>
          <w:color w:val="auto"/>
        </w:rPr>
        <w:t>. During the performance of each Development Program, TESARO shall use Commercially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disclose to AnaptysBio all material information relating to the applicable Development Program promptly after it is learned or its materiality is appreciated. TESARO shall also keep AnaptysBio informed as to its progress under each Development Program. Within sixty (60) days following the end of each calendar quarter of the Development Program, [*].</w:t>
      </w:r>
    </w:p>
    <w:p>
      <w:pPr>
        <w:spacing w:after="0" w:line="180" w:lineRule="exact"/>
        <w:rPr>
          <w:rFonts w:ascii="Arial" w:cs="Arial" w:eastAsia="Arial" w:hAnsi="Arial"/>
          <w:sz w:val="18"/>
          <w:szCs w:val="18"/>
          <w:b w:val="1"/>
          <w:bCs w:val="1"/>
          <w:color w:val="auto"/>
        </w:rPr>
      </w:pPr>
    </w:p>
    <w:p>
      <w:pPr>
        <w:ind w:right="400" w:firstLine="921"/>
        <w:spacing w:after="0" w:line="281" w:lineRule="auto"/>
        <w:tabs>
          <w:tab w:leader="none" w:pos="1148" w:val="left"/>
        </w:tabs>
        <w:numPr>
          <w:ilvl w:val="0"/>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Assistance by AnaptysBio</w:t>
      </w:r>
      <w:r>
        <w:rPr>
          <w:rFonts w:ascii="Arial" w:cs="Arial" w:eastAsia="Arial" w:hAnsi="Arial"/>
          <w:sz w:val="17"/>
          <w:szCs w:val="17"/>
          <w:color w:val="auto"/>
        </w:rPr>
        <w:t>. Upon reasonable request by TESARO, AnaptysBio will in good faith make available key personnel to assist</w:t>
      </w:r>
      <w:r>
        <w:rPr>
          <w:rFonts w:ascii="Arial" w:cs="Arial" w:eastAsia="Arial" w:hAnsi="Arial"/>
          <w:sz w:val="17"/>
          <w:szCs w:val="17"/>
          <w:b w:val="1"/>
          <w:bCs w:val="1"/>
          <w:color w:val="auto"/>
        </w:rPr>
        <w:t xml:space="preserve"> </w:t>
      </w:r>
      <w:r>
        <w:rPr>
          <w:rFonts w:ascii="Arial" w:cs="Arial" w:eastAsia="Arial" w:hAnsi="Arial"/>
          <w:sz w:val="17"/>
          <w:szCs w:val="17"/>
          <w:color w:val="auto"/>
        </w:rPr>
        <w:t>TESARO in the planning, monitoring and strategy of preclinical development, manufacturing and early clinical development under each Development Program, provided that any material expenses incurred by AnaptysBio (including FTEs utilized, reasonable travel expenses and specialized supplies or equipment required) shall be reimbursed by TESARO in accordance with Section 2.6 above.</w:t>
      </w:r>
    </w:p>
    <w:p>
      <w:pPr>
        <w:spacing w:after="0" w:line="97"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08" w:name="page209"/>
    <w:bookmarkEnd w:id="208"/>
    <w:p>
      <w:pPr>
        <w:ind w:left="460" w:hanging="452"/>
        <w:spacing w:after="0"/>
        <w:tabs>
          <w:tab w:leader="none" w:pos="4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w:t>
      </w:r>
    </w:p>
    <w:p>
      <w:pPr>
        <w:spacing w:after="0" w:line="225"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4.1. Joint Steering Committee</w:t>
      </w:r>
      <w:r>
        <w:rPr>
          <w:rFonts w:ascii="Arial" w:cs="Arial" w:eastAsia="Arial" w:hAnsi="Arial"/>
          <w:sz w:val="18"/>
          <w:szCs w:val="18"/>
          <w:color w:val="auto"/>
        </w:rPr>
        <w:t>. Promptly after the Effective Date, TESARO and AnaptysBio will establish a committee (the “</w:t>
      </w:r>
      <w:r>
        <w:rPr>
          <w:rFonts w:ascii="Arial" w:cs="Arial" w:eastAsia="Arial" w:hAnsi="Arial"/>
          <w:sz w:val="18"/>
          <w:szCs w:val="18"/>
          <w:b w:val="1"/>
          <w:bCs w:val="1"/>
          <w:color w:val="auto"/>
        </w:rPr>
        <w:t>Joint Steering Committee</w:t>
      </w:r>
      <w:r>
        <w:rPr>
          <w:rFonts w:ascii="Arial" w:cs="Arial" w:eastAsia="Arial" w:hAnsi="Arial"/>
          <w:sz w:val="18"/>
          <w:szCs w:val="18"/>
          <w:color w:val="auto"/>
        </w:rPr>
        <w:t>” or “JSC”) to oversee, review and recommend direction of each Discovery Program. The responsibilities of the Joint Steering Committee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monitoring, reporting progress, developing strategies and ensuring open and frequent exchange between the Parties regarding each Discovery Program and the activities of the Parties and their Affiliates, Subcontractors and agents thereunder.</w:t>
      </w:r>
    </w:p>
    <w:p>
      <w:pPr>
        <w:spacing w:after="0" w:line="180" w:lineRule="exact"/>
        <w:rPr>
          <w:sz w:val="20"/>
          <w:szCs w:val="20"/>
          <w:color w:val="auto"/>
        </w:rPr>
      </w:pPr>
    </w:p>
    <w:p>
      <w:pPr>
        <w:ind w:right="160" w:firstLine="456"/>
        <w:spacing w:after="0" w:line="281" w:lineRule="auto"/>
        <w:rPr>
          <w:sz w:val="20"/>
          <w:szCs w:val="20"/>
          <w:color w:val="auto"/>
        </w:rPr>
      </w:pPr>
      <w:r>
        <w:rPr>
          <w:rFonts w:ascii="Arial" w:cs="Arial" w:eastAsia="Arial" w:hAnsi="Arial"/>
          <w:sz w:val="17"/>
          <w:szCs w:val="17"/>
          <w:b w:val="1"/>
          <w:bCs w:val="1"/>
          <w:color w:val="auto"/>
        </w:rPr>
        <w:t>4.2. Membership</w:t>
      </w:r>
      <w:r>
        <w:rPr>
          <w:rFonts w:ascii="Arial" w:cs="Arial" w:eastAsia="Arial" w:hAnsi="Arial"/>
          <w:sz w:val="17"/>
          <w:szCs w:val="17"/>
          <w:color w:val="auto"/>
        </w:rPr>
        <w:t>. The JSC shall include [*] of each of TESARO and AnaptysBio, each Party’s members selected by that Party. AnaptysBio and</w:t>
      </w:r>
      <w:r>
        <w:rPr>
          <w:rFonts w:ascii="Arial" w:cs="Arial" w:eastAsia="Arial" w:hAnsi="Arial"/>
          <w:sz w:val="17"/>
          <w:szCs w:val="17"/>
          <w:b w:val="1"/>
          <w:bCs w:val="1"/>
          <w:color w:val="auto"/>
        </w:rPr>
        <w:t xml:space="preserve"> </w:t>
      </w:r>
      <w:r>
        <w:rPr>
          <w:rFonts w:ascii="Arial" w:cs="Arial" w:eastAsia="Arial" w:hAnsi="Arial"/>
          <w:sz w:val="17"/>
          <w:szCs w:val="17"/>
          <w:color w:val="auto"/>
        </w:rPr>
        <w:t>TESARO may each replace its JSC representatives at any time, upon written notice to the other Party. From time to time, the JSC may establish subcommittees to oversee particular projects or activities, and such subcommittees will be constituted as the JSC agrees. Each Party’s JSC members shall be senior individuals empowered to provide timely feedback regarding their Party’s decisions on key matters.</w:t>
      </w:r>
    </w:p>
    <w:p>
      <w:pPr>
        <w:spacing w:after="0" w:line="165"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4.3. Meetings</w:t>
      </w:r>
      <w:r>
        <w:rPr>
          <w:rFonts w:ascii="Arial" w:cs="Arial" w:eastAsia="Arial" w:hAnsi="Arial"/>
          <w:sz w:val="18"/>
          <w:szCs w:val="18"/>
          <w:color w:val="auto"/>
        </w:rPr>
        <w:t>. During each Discovery Program Term, the JSC shall meet at least quarterly, or as agreed by the Parties, at such locations as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agree, and will otherwise communicate regularly by telephone, electronic mail, facsimile and/or video conference. With the consent of the Parties, other representatives of AnaptysBio or TESARO may attend JSC meetings as nonvoting observers. Each Party shall be responsible for all of its own expenses associated with attendance of such meetings. [*]</w:t>
      </w:r>
    </w:p>
    <w:p>
      <w:pPr>
        <w:spacing w:after="0" w:line="180"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4.4. Minutes</w:t>
      </w:r>
      <w:r>
        <w:rPr>
          <w:rFonts w:ascii="Arial" w:cs="Arial" w:eastAsia="Arial" w:hAnsi="Arial"/>
          <w:sz w:val="18"/>
          <w:szCs w:val="18"/>
          <w:color w:val="auto"/>
        </w:rPr>
        <w:t>. The JSC shall keep accurate minutes of its deliberations which shall record all proposed decisions and all actions recommended or taken.</w:t>
      </w:r>
      <w:r>
        <w:rPr>
          <w:rFonts w:ascii="Arial" w:cs="Arial" w:eastAsia="Arial" w:hAnsi="Arial"/>
          <w:sz w:val="18"/>
          <w:szCs w:val="18"/>
          <w:b w:val="1"/>
          <w:bCs w:val="1"/>
          <w:color w:val="auto"/>
        </w:rPr>
        <w:t xml:space="preserve"> </w:t>
      </w:r>
      <w:r>
        <w:rPr>
          <w:rFonts w:ascii="Arial" w:cs="Arial" w:eastAsia="Arial" w:hAnsi="Arial"/>
          <w:sz w:val="18"/>
          <w:szCs w:val="18"/>
          <w:color w:val="auto"/>
        </w:rPr>
        <w:t>The Secretary of the JSC (as appointed by the members of the JSC) shall be responsible for the preparation of draft minutes. [*] All records of the JSC shall at all times be available to both AnaptysBio and TESARO.</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4.5. Decision Making</w:t>
      </w:r>
      <w:r>
        <w:rPr>
          <w:rFonts w:ascii="Arial" w:cs="Arial" w:eastAsia="Arial" w:hAnsi="Arial"/>
          <w:sz w:val="18"/>
          <w:szCs w:val="18"/>
          <w:color w:val="auto"/>
        </w:rPr>
        <w:t>. [*]</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4.6. Development Program Meetings</w:t>
      </w:r>
      <w:r>
        <w:rPr>
          <w:rFonts w:ascii="Arial" w:cs="Arial" w:eastAsia="Arial" w:hAnsi="Arial"/>
          <w:sz w:val="18"/>
          <w:szCs w:val="18"/>
          <w:color w:val="auto"/>
        </w:rPr>
        <w:t>. During each [*] calendar period commencing with the completion of the applicable Discovery Program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for a period of [*] thereafter, and then annually after such [*] period, upon the written request of either Party, TESARO and AnaptysBio shall meet to discuss the progress of each Development Program and review future activities planned by TESARO with respect thereto, including strategic plans for preclinical, clinical and commercial advancement of Products under each Development Program.</w:t>
      </w:r>
    </w:p>
    <w:p>
      <w:pPr>
        <w:spacing w:after="0" w:line="207" w:lineRule="exact"/>
        <w:rPr>
          <w:sz w:val="20"/>
          <w:szCs w:val="20"/>
          <w:color w:val="auto"/>
        </w:rPr>
      </w:pPr>
    </w:p>
    <w:p>
      <w:pPr>
        <w:ind w:left="460" w:right="8720" w:hanging="452"/>
        <w:spacing w:after="0" w:line="501" w:lineRule="auto"/>
        <w:tabs>
          <w:tab w:leader="none" w:pos="449"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LICENSES; EXCLUSIVITY 5.1. Grant</w:t>
      </w:r>
      <w:r>
        <w:rPr>
          <w:rFonts w:ascii="Arial" w:cs="Arial" w:eastAsia="Arial" w:hAnsi="Arial"/>
          <w:sz w:val="18"/>
          <w:szCs w:val="18"/>
          <w:color w:val="auto"/>
        </w:rPr>
        <w:t>.</w:t>
      </w:r>
    </w:p>
    <w:p>
      <w:pPr>
        <w:spacing w:after="0" w:line="4" w:lineRule="exact"/>
        <w:rPr>
          <w:rFonts w:ascii="Arial" w:cs="Arial" w:eastAsia="Arial" w:hAnsi="Arial"/>
          <w:sz w:val="18"/>
          <w:szCs w:val="18"/>
          <w:b w:val="1"/>
          <w:bCs w:val="1"/>
          <w:color w:val="auto"/>
        </w:rPr>
      </w:pPr>
    </w:p>
    <w:p>
      <w:pPr>
        <w:ind w:right="40" w:firstLine="921"/>
        <w:spacing w:after="0" w:line="264" w:lineRule="auto"/>
        <w:tabs>
          <w:tab w:leader="none" w:pos="1168" w:val="left"/>
        </w:tabs>
        <w:numPr>
          <w:ilvl w:val="1"/>
          <w:numId w:val="159"/>
        </w:numPr>
        <w:rPr>
          <w:rFonts w:ascii="Arial" w:cs="Arial" w:eastAsia="Arial" w:hAnsi="Arial"/>
          <w:sz w:val="18"/>
          <w:szCs w:val="18"/>
          <w:b w:val="1"/>
          <w:bCs w:val="1"/>
          <w:color w:val="auto"/>
        </w:rPr>
      </w:pPr>
      <w:r>
        <w:rPr>
          <w:rFonts w:ascii="Arial" w:cs="Arial" w:eastAsia="Arial" w:hAnsi="Arial"/>
          <w:sz w:val="18"/>
          <w:szCs w:val="18"/>
          <w:color w:val="auto"/>
        </w:rPr>
        <w:t>Subject to the terms and conditions of this Agreement, AnaptysBio hereby grants to TESARO and its Affiliates an exclusive license (with the right to grant sublicenses through multiple tiers) under the AnaptysBio IP Rights and Collaboration IP Rights to research, develop, make, have made, use, sell, offer for sale, import and export Products for use in the Field and in the Territory.</w:t>
      </w:r>
    </w:p>
    <w:p>
      <w:pPr>
        <w:spacing w:after="0" w:line="110" w:lineRule="exact"/>
        <w:rPr>
          <w:sz w:val="20"/>
          <w:szCs w:val="20"/>
          <w:color w:val="auto"/>
        </w:rPr>
      </w:pPr>
    </w:p>
    <w:p>
      <w:pPr>
        <w:jc w:val="both"/>
        <w:ind w:left="5880"/>
        <w:spacing w:after="0"/>
        <w:tabs>
          <w:tab w:leader="none" w:pos="8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09" w:name="page210"/>
    <w:bookmarkEnd w:id="209"/>
    <w:p>
      <w:pPr>
        <w:ind w:right="60" w:firstLine="921"/>
        <w:spacing w:after="0" w:line="255" w:lineRule="auto"/>
        <w:tabs>
          <w:tab w:leader="none" w:pos="1178" w:val="left"/>
        </w:tabs>
        <w:numPr>
          <w:ilvl w:val="0"/>
          <w:numId w:val="16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terms and conditions of this Agreement, AnaptysBio hereby grants to TESARO and its Affiliates a non-exclusive license (with the right to grant sublicenses through multiple tiers) under the Patents and other intellectual property constituting the AnaptysBio Platform to research, develop, make, have made, use, sell, offer for sale, import and export Products for use in the Field and in the Territory and as necessary for TESARO to practice the licenses granted to it under Section 5.1(a); provided, however that the foregoing license grant to TESARO is limited to researching, developing, making, having made, selling, offering for sale, importing, exporting and using Development Antibodies previously generated by AnaptysBio, and expressly excludes any license of rights to TESARO to utilize, practice or operate the AnaptysBio Platform to develop or generate new or materially different antibodies.</w:t>
      </w:r>
    </w:p>
    <w:p>
      <w:pPr>
        <w:spacing w:after="0" w:line="185" w:lineRule="exact"/>
        <w:rPr>
          <w:sz w:val="20"/>
          <w:szCs w:val="20"/>
          <w:color w:val="auto"/>
        </w:rPr>
      </w:pPr>
    </w:p>
    <w:p>
      <w:pPr>
        <w:ind w:right="400" w:firstLine="456"/>
        <w:spacing w:after="0" w:line="258" w:lineRule="auto"/>
        <w:rPr>
          <w:sz w:val="20"/>
          <w:szCs w:val="20"/>
          <w:color w:val="auto"/>
        </w:rPr>
      </w:pPr>
      <w:r>
        <w:rPr>
          <w:rFonts w:ascii="Arial" w:cs="Arial" w:eastAsia="Arial" w:hAnsi="Arial"/>
          <w:sz w:val="18"/>
          <w:szCs w:val="18"/>
          <w:b w:val="1"/>
          <w:bCs w:val="1"/>
          <w:color w:val="auto"/>
        </w:rPr>
        <w:t>5.2. No Implied Licenses</w:t>
      </w:r>
      <w:r>
        <w:rPr>
          <w:rFonts w:ascii="Arial" w:cs="Arial" w:eastAsia="Arial" w:hAnsi="Arial"/>
          <w:sz w:val="18"/>
          <w:szCs w:val="18"/>
          <w:color w:val="auto"/>
        </w:rPr>
        <w:t>. Only the licenses granted pursuant to the express terms of this Agreement shall be of any legal force or effect. No other</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or rights shall be created by implication, estoppel or otherwise. Without limiting the foregoing, if a Product contains an active pharmaceutcial ingredient or biologic in addition to the Development Antibody, then the licenses granted to TESARO under AnaptysBio IP Rights and the AnaptysBioPlatform shall not include the right to research, develop, make, have made, use, sell, offer for sale, import and export such other active pharmaceutical ingredient or biologic.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Exclusivity</w:t>
      </w:r>
      <w:r>
        <w:rPr>
          <w:rFonts w:ascii="Arial" w:cs="Arial" w:eastAsia="Arial" w:hAnsi="Arial"/>
          <w:sz w:val="18"/>
          <w:szCs w:val="18"/>
          <w:color w:val="auto"/>
        </w:rPr>
        <w:t>.</w:t>
      </w:r>
    </w:p>
    <w:p>
      <w:pPr>
        <w:spacing w:after="0" w:line="229" w:lineRule="exact"/>
        <w:rPr>
          <w:sz w:val="20"/>
          <w:szCs w:val="20"/>
          <w:color w:val="auto"/>
        </w:rPr>
      </w:pPr>
    </w:p>
    <w:p>
      <w:pPr>
        <w:ind w:right="460" w:firstLine="921"/>
        <w:spacing w:after="0" w:line="277" w:lineRule="auto"/>
        <w:tabs>
          <w:tab w:leader="none" w:pos="1168"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Except to the extent required for AnaptysBio to fulfill its obligations under this Agreement and as permitted under this Agreement, with respect to each Target (or combination of Targets), [*].</w:t>
      </w:r>
    </w:p>
    <w:p>
      <w:pPr>
        <w:spacing w:after="0" w:line="170"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During the Exclusivity Period, and except with respect to a Product pursuant to this Agreement, TESARO shall not [*].</w:t>
      </w:r>
    </w:p>
    <w:p>
      <w:pPr>
        <w:spacing w:after="0" w:line="225" w:lineRule="exact"/>
        <w:rPr>
          <w:rFonts w:ascii="Arial" w:cs="Arial" w:eastAsia="Arial" w:hAnsi="Arial"/>
          <w:sz w:val="18"/>
          <w:szCs w:val="18"/>
          <w:b w:val="1"/>
          <w:bCs w:val="1"/>
          <w:color w:val="auto"/>
        </w:rPr>
      </w:pPr>
    </w:p>
    <w:p>
      <w:pPr>
        <w:ind w:right="60" w:firstLine="921"/>
        <w:spacing w:after="0" w:line="257" w:lineRule="auto"/>
        <w:tabs>
          <w:tab w:leader="none" w:pos="1158"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The exclusivity described in Sections 5.3(a) and 5.3(b) will apply on a Discovery Program/Development Program basis, such that if a Discovery Program or Development Program is terminated for any reason, then the Targets that are subject of that Discovery Program or Development Program shall no longer be subject to the exclusivity. By way of example, if the TIM-3 Discovery Program is terminated, then the exclusivity shall no longer apply to TIM-3 alone or dual-reactivity to TIM-3 and PD-1, but the exclusivity for the other non-terminated Discovery Programs (or Development Programs) shall continue.</w:t>
      </w:r>
    </w:p>
    <w:p>
      <w:pPr>
        <w:spacing w:after="0" w:line="188" w:lineRule="exact"/>
        <w:rPr>
          <w:rFonts w:ascii="Arial" w:cs="Arial" w:eastAsia="Arial" w:hAnsi="Arial"/>
          <w:sz w:val="18"/>
          <w:szCs w:val="18"/>
          <w:b w:val="1"/>
          <w:bCs w:val="1"/>
          <w:color w:val="auto"/>
        </w:rPr>
      </w:pPr>
    </w:p>
    <w:p>
      <w:pPr>
        <w:ind w:firstLine="921"/>
        <w:spacing w:after="0" w:line="272" w:lineRule="auto"/>
        <w:tabs>
          <w:tab w:leader="none" w:pos="1178" w:val="left"/>
        </w:tabs>
        <w:numPr>
          <w:ilvl w:val="0"/>
          <w:numId w:val="161"/>
        </w:numPr>
        <w:rPr>
          <w:rFonts w:ascii="Arial" w:cs="Arial" w:eastAsia="Arial" w:hAnsi="Arial"/>
          <w:sz w:val="17"/>
          <w:szCs w:val="17"/>
          <w:b w:val="1"/>
          <w:bCs w:val="1"/>
          <w:color w:val="auto"/>
        </w:rPr>
      </w:pPr>
      <w:r>
        <w:rPr>
          <w:rFonts w:ascii="Arial" w:cs="Arial" w:eastAsia="Arial" w:hAnsi="Arial"/>
          <w:sz w:val="17"/>
          <w:szCs w:val="17"/>
          <w:color w:val="auto"/>
        </w:rPr>
        <w:t>Notwithstanding the foregoing provision of this Section 5.3, in the event of a Change of Control (as defined below) of AnaptysBio, or if AnaptysBio or an Affiliate acquires any Third Party, business or assets, or any interest therein (an “</w:t>
      </w:r>
      <w:r>
        <w:rPr>
          <w:rFonts w:ascii="Arial" w:cs="Arial" w:eastAsia="Arial" w:hAnsi="Arial"/>
          <w:sz w:val="17"/>
          <w:szCs w:val="17"/>
          <w:b w:val="1"/>
          <w:bCs w:val="1"/>
          <w:color w:val="auto"/>
        </w:rPr>
        <w:t>AnaptysBio Business Acquisition</w:t>
      </w:r>
      <w:r>
        <w:rPr>
          <w:rFonts w:ascii="Arial" w:cs="Arial" w:eastAsia="Arial" w:hAnsi="Arial"/>
          <w:sz w:val="17"/>
          <w:szCs w:val="17"/>
          <w:color w:val="auto"/>
        </w:rPr>
        <w:t>”), the provisions of this Section 5.3 shall not apply to any active research or development program that a portion of the surviving entity or Affiliate that was not AnaptysBio (prior to the Change of Control or AnaptysBio Business Acquisition) had ongoing as of immediately prior to the date of such Change of Control or AnaptysBio Business Acquisition. For purposes of this Section 5.3, a “</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with respect to a Party, the merger, consolidation, sale of substantially all of such Party’s assets or similar transaction or series of transactions, as a result of which such Party’s shareholders before such transaction or series of transactions own less than fifty percent (50%) of the total number of voting securities of</w:t>
      </w:r>
    </w:p>
    <w:p>
      <w:pPr>
        <w:spacing w:after="0" w:line="106"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10" w:name="page211"/>
    <w:bookmarkEnd w:id="210"/>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surviving entity immediately after such transaction or series of transactions. For clarity, if as a result of any such Change of Control, a Party exists as a wholly owned subsidiary of a parent, then the provisions of this Section 5.3 shall continue to apply to such Party as the surviving entity, but not to such parent.</w:t>
      </w:r>
    </w:p>
    <w:p>
      <w:pPr>
        <w:spacing w:after="0" w:line="181" w:lineRule="exact"/>
        <w:rPr>
          <w:sz w:val="20"/>
          <w:szCs w:val="20"/>
          <w:color w:val="auto"/>
        </w:rPr>
      </w:pPr>
    </w:p>
    <w:p>
      <w:pPr>
        <w:ind w:right="60" w:firstLine="921"/>
        <w:spacing w:after="0" w:line="302" w:lineRule="auto"/>
        <w:tabs>
          <w:tab w:leader="none" w:pos="1158" w:val="left"/>
        </w:tabs>
        <w:numPr>
          <w:ilvl w:val="1"/>
          <w:numId w:val="162"/>
        </w:numPr>
        <w:rPr>
          <w:rFonts w:ascii="Arial" w:cs="Arial" w:eastAsia="Arial" w:hAnsi="Arial"/>
          <w:sz w:val="16"/>
          <w:szCs w:val="16"/>
          <w:b w:val="1"/>
          <w:bCs w:val="1"/>
          <w:color w:val="auto"/>
        </w:rPr>
      </w:pPr>
      <w:r>
        <w:rPr>
          <w:rFonts w:ascii="Arial" w:cs="Arial" w:eastAsia="Arial" w:hAnsi="Arial"/>
          <w:sz w:val="16"/>
          <w:szCs w:val="16"/>
          <w:color w:val="auto"/>
        </w:rPr>
        <w:t>Notwithstanding the foregoing provision of this Section 5.3, in the event of a Change of Control of TESARO or if TESARO or an Affiliate acquires any Third Party, business or assets, or any interest therein (a “</w:t>
      </w:r>
      <w:r>
        <w:rPr>
          <w:rFonts w:ascii="Arial" w:cs="Arial" w:eastAsia="Arial" w:hAnsi="Arial"/>
          <w:sz w:val="16"/>
          <w:szCs w:val="16"/>
          <w:b w:val="1"/>
          <w:bCs w:val="1"/>
          <w:color w:val="auto"/>
        </w:rPr>
        <w:t>TESARO Business Acquisition</w:t>
      </w:r>
      <w:r>
        <w:rPr>
          <w:rFonts w:ascii="Arial" w:cs="Arial" w:eastAsia="Arial" w:hAnsi="Arial"/>
          <w:sz w:val="16"/>
          <w:szCs w:val="16"/>
          <w:color w:val="auto"/>
        </w:rPr>
        <w:t>”), the provisions of this Section 5.3 shall not apply to any active research or development program that a portion of the surviving entity or Affiliate that was not TESARO (prior to the Change of Control or TESARO Business Acquisition) had ongoing as of immediately prior to the date of such Change of Control or TESARO Business Acquisition.</w:t>
      </w:r>
    </w:p>
    <w:p>
      <w:pPr>
        <w:spacing w:after="0" w:line="177" w:lineRule="exact"/>
        <w:rPr>
          <w:rFonts w:ascii="Arial" w:cs="Arial" w:eastAsia="Arial" w:hAnsi="Arial"/>
          <w:sz w:val="16"/>
          <w:szCs w:val="16"/>
          <w:b w:val="1"/>
          <w:bCs w:val="1"/>
          <w:color w:val="auto"/>
        </w:rPr>
      </w:pPr>
    </w:p>
    <w:p>
      <w:pPr>
        <w:ind w:left="460" w:hanging="452"/>
        <w:spacing w:after="0"/>
        <w:tabs>
          <w:tab w:leader="none" w:pos="4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6.1. Upfront Payment</w:t>
      </w:r>
      <w:r>
        <w:rPr>
          <w:rFonts w:ascii="Arial" w:cs="Arial" w:eastAsia="Arial" w:hAnsi="Arial"/>
          <w:sz w:val="16"/>
          <w:szCs w:val="16"/>
          <w:color w:val="auto"/>
        </w:rPr>
        <w:t>. Within ten (10) business days following the Effective Date, TESARO shall pay to AnaptysBio a non-creditable, non-refundable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license fee of seventeen million dollars (USD $17,000,000.00).</w:t>
      </w:r>
    </w:p>
    <w:p>
      <w:pPr>
        <w:spacing w:after="0" w:line="20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7"/>
          <w:szCs w:val="17"/>
          <w:b w:val="1"/>
          <w:bCs w:val="1"/>
          <w:color w:val="auto"/>
        </w:rPr>
        <w:t xml:space="preserve">6.2. Discovery Program Funding. </w:t>
      </w:r>
      <w:r>
        <w:rPr>
          <w:rFonts w:ascii="Arial" w:cs="Arial" w:eastAsia="Arial" w:hAnsi="Arial"/>
          <w:sz w:val="17"/>
          <w:szCs w:val="17"/>
          <w:color w:val="auto"/>
        </w:rPr>
        <w:t>TESARO shall reimburse AnaptysBio on a quarterly basis for all [*]. All payments are non-creditable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in Section 6.3 or 6.4) and non-refundable (except pursuant to Section 7.4 or Section 13.2). Within ten (10) days of the end of each calendar quarter, AnaptysBio shall provide TESARO with an invoice for all amounts owed by TESARO under this Section 6.2 for that calendar quarter and TESARO shall pay such amounts within thirty (30) days after receipt of AnaptysBio’s quarterly invoice. All amounts paid by TESARO to AnaptysBio pursuant to this Section 6.2 shall be made in accordance with Section 7.2 with respect to withholding for taxes or any other charges.</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6.3. Upfront Payment</w:t>
      </w:r>
      <w:r>
        <w:rPr>
          <w:rFonts w:ascii="Arial" w:cs="Arial" w:eastAsia="Arial" w:hAnsi="Arial"/>
          <w:sz w:val="17"/>
          <w:szCs w:val="17"/>
          <w:color w:val="auto"/>
        </w:rPr>
        <w:t>. On a Development Program-by-Development Program basis, TESARO shall pay AnaptysBio the following payments [*]:</w:t>
      </w:r>
    </w:p>
    <w:p>
      <w:pPr>
        <w:spacing w:after="0" w:line="24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640" w:type="dxa"/>
            <w:vAlign w:val="bottom"/>
            <w:gridSpan w:val="3"/>
            <w:vMerge w:val="restart"/>
          </w:tcPr>
          <w:p>
            <w:pPr>
              <w:ind w:left="2560"/>
              <w:spacing w:after="0"/>
              <w:rPr>
                <w:sz w:val="20"/>
                <w:szCs w:val="20"/>
                <w:color w:val="auto"/>
              </w:rPr>
            </w:pPr>
            <w:r>
              <w:rPr>
                <w:rFonts w:ascii="Arial" w:cs="Arial" w:eastAsia="Arial" w:hAnsi="Arial"/>
                <w:sz w:val="14"/>
                <w:szCs w:val="14"/>
                <w:b w:val="1"/>
                <w:bCs w:val="1"/>
                <w:color w:val="auto"/>
              </w:rPr>
              <w:t>Milestone Event</w:t>
            </w:r>
          </w:p>
        </w:tc>
        <w:tc>
          <w:tcPr>
            <w:tcW w:w="3940" w:type="dxa"/>
            <w:vAlign w:val="bottom"/>
            <w:gridSpan w:val="3"/>
          </w:tcPr>
          <w:p>
            <w:pPr>
              <w:jc w:val="center"/>
              <w:ind w:right="920"/>
              <w:spacing w:after="0"/>
              <w:rPr>
                <w:sz w:val="20"/>
                <w:szCs w:val="20"/>
                <w:color w:val="auto"/>
              </w:rPr>
            </w:pPr>
            <w:r>
              <w:rPr>
                <w:rFonts w:ascii="Arial" w:cs="Arial" w:eastAsia="Arial" w:hAnsi="Arial"/>
                <w:sz w:val="14"/>
                <w:szCs w:val="14"/>
                <w:b w:val="1"/>
                <w:bCs w:val="1"/>
                <w:color w:val="auto"/>
                <w:w w:val="93"/>
              </w:rPr>
              <w:t>Milestone Payment</w:t>
            </w:r>
          </w:p>
        </w:tc>
        <w:tc>
          <w:tcPr>
            <w:tcW w:w="0" w:type="dxa"/>
            <w:vAlign w:val="bottom"/>
          </w:tcPr>
          <w:p>
            <w:pPr>
              <w:spacing w:after="0"/>
              <w:rPr>
                <w:sz w:val="1"/>
                <w:szCs w:val="1"/>
                <w:color w:val="auto"/>
              </w:rPr>
            </w:pPr>
          </w:p>
        </w:tc>
      </w:tr>
      <w:tr>
        <w:trPr>
          <w:trHeight w:val="171"/>
        </w:trPr>
        <w:tc>
          <w:tcPr>
            <w:tcW w:w="564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302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first GLP PK/tox Study</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w w:val="90"/>
              </w:rPr>
              <w:t>$1,000,000.00</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First IND clearance</w:t>
            </w:r>
          </w:p>
        </w:tc>
        <w:tc>
          <w:tcPr>
            <w:tcW w:w="2100" w:type="dxa"/>
            <w:vAlign w:val="bottom"/>
            <w:gridSpan w:val="2"/>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the first Phase II Clinical Trial</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Initiation of the first Phase III Clinical Trial for first indication</w:t>
            </w:r>
          </w:p>
        </w:tc>
        <w:tc>
          <w:tcPr>
            <w:tcW w:w="2100" w:type="dxa"/>
            <w:vAlign w:val="bottom"/>
            <w:gridSpan w:val="2"/>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Initiation of the first Phase III Clinical Trial for second indication</w:t>
            </w:r>
          </w:p>
        </w:tc>
        <w:tc>
          <w:tcPr>
            <w:tcW w:w="2100" w:type="dxa"/>
            <w:vAlign w:val="bottom"/>
            <w:gridSpan w:val="2"/>
            <w:shd w:val="clear" w:color="auto" w:fill="CCEEFF"/>
          </w:tcPr>
          <w:p>
            <w:pPr>
              <w:jc w:val="center"/>
              <w:ind w:left="85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Filing of the first NDA for the first indication</w:t>
            </w:r>
          </w:p>
        </w:tc>
        <w:tc>
          <w:tcPr>
            <w:tcW w:w="2100" w:type="dxa"/>
            <w:vAlign w:val="bottom"/>
            <w:gridSpan w:val="2"/>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Filing of the first NDA for the second indication</w:t>
            </w:r>
          </w:p>
        </w:tc>
        <w:tc>
          <w:tcPr>
            <w:tcW w:w="210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tcPr>
          <w:p>
            <w:pPr>
              <w:spacing w:after="0"/>
              <w:rPr>
                <w:sz w:val="20"/>
                <w:szCs w:val="20"/>
                <w:color w:val="auto"/>
              </w:rPr>
            </w:pPr>
            <w:r>
              <w:rPr>
                <w:rFonts w:ascii="Arial" w:cs="Arial" w:eastAsia="Arial" w:hAnsi="Arial"/>
                <w:sz w:val="18"/>
                <w:szCs w:val="18"/>
                <w:color w:val="auto"/>
              </w:rPr>
              <w:t>Filing of the first MAA for the first indication</w:t>
            </w:r>
          </w:p>
        </w:tc>
        <w:tc>
          <w:tcPr>
            <w:tcW w:w="2100" w:type="dxa"/>
            <w:vAlign w:val="bottom"/>
            <w:gridSpan w:val="2"/>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Filing of the first MAA for the second indication</w:t>
            </w:r>
          </w:p>
        </w:tc>
        <w:tc>
          <w:tcPr>
            <w:tcW w:w="2100" w:type="dxa"/>
            <w:vAlign w:val="bottom"/>
            <w:gridSpan w:val="2"/>
            <w:shd w:val="clear" w:color="auto" w:fill="CCEEFF"/>
          </w:tcPr>
          <w:p>
            <w:pPr>
              <w:jc w:val="center"/>
              <w:ind w:left="832"/>
              <w:spacing w:after="0"/>
              <w:rPr>
                <w:sz w:val="20"/>
                <w:szCs w:val="20"/>
                <w:color w:val="auto"/>
              </w:rPr>
            </w:pPr>
            <w:r>
              <w:rPr>
                <w:rFonts w:ascii="Arial" w:cs="Arial" w:eastAsia="Arial" w:hAnsi="Arial"/>
                <w:sz w:val="18"/>
                <w:szCs w:val="18"/>
                <w:color w:val="auto"/>
              </w:rPr>
              <w:t>$[*]</w:t>
            </w:r>
          </w:p>
        </w:tc>
        <w:tc>
          <w:tcPr>
            <w:tcW w:w="18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640" w:type="dxa"/>
            <w:vAlign w:val="bottom"/>
            <w:gridSpan w:val="3"/>
          </w:tcPr>
          <w:p>
            <w:pPr>
              <w:ind w:left="4020"/>
              <w:spacing w:after="0"/>
              <w:rPr>
                <w:sz w:val="20"/>
                <w:szCs w:val="20"/>
                <w:color w:val="auto"/>
              </w:rPr>
            </w:pPr>
            <w:r>
              <w:rPr>
                <w:rFonts w:ascii="Arial" w:cs="Arial" w:eastAsia="Arial" w:hAnsi="Arial"/>
                <w:sz w:val="18"/>
                <w:szCs w:val="18"/>
                <w:color w:val="auto"/>
              </w:rPr>
              <w:t>13</w:t>
            </w:r>
          </w:p>
        </w:tc>
        <w:tc>
          <w:tcPr>
            <w:tcW w:w="920" w:type="dxa"/>
            <w:vAlign w:val="bottom"/>
          </w:tcPr>
          <w:p>
            <w:pPr>
              <w:spacing w:after="0"/>
              <w:rPr>
                <w:sz w:val="24"/>
                <w:szCs w:val="24"/>
                <w:color w:val="auto"/>
              </w:rPr>
            </w:pPr>
          </w:p>
        </w:tc>
        <w:tc>
          <w:tcPr>
            <w:tcW w:w="3020" w:type="dxa"/>
            <w:vAlign w:val="bottom"/>
            <w:gridSpan w:val="2"/>
          </w:tcPr>
          <w:p>
            <w:pPr>
              <w:ind w:left="240"/>
              <w:spacing w:after="0"/>
              <w:rPr>
                <w:sz w:val="20"/>
                <w:szCs w:val="20"/>
                <w:color w:val="auto"/>
              </w:rPr>
            </w:pPr>
            <w:r>
              <w:rPr>
                <w:rFonts w:ascii="Arial" w:cs="Arial" w:eastAsia="Arial" w:hAnsi="Arial"/>
                <w:sz w:val="18"/>
                <w:szCs w:val="18"/>
                <w:b w:val="1"/>
                <w:bCs w:val="1"/>
                <w:color w:val="auto"/>
                <w:w w:val="90"/>
              </w:rPr>
              <w:t>*Confidential Treatment Requested.</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1" w:name="page212"/>
    <w:bookmarkEnd w:id="2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Milestone Event</w:t>
            </w:r>
          </w:p>
        </w:tc>
        <w:tc>
          <w:tcPr>
            <w:tcW w:w="1800" w:type="dxa"/>
            <w:vAlign w:val="bottom"/>
            <w:gridSpan w:val="3"/>
          </w:tcPr>
          <w:p>
            <w:pPr>
              <w:jc w:val="center"/>
              <w:ind w:left="492"/>
              <w:spacing w:after="0"/>
              <w:rPr>
                <w:sz w:val="20"/>
                <w:szCs w:val="20"/>
                <w:color w:val="auto"/>
              </w:rPr>
            </w:pPr>
            <w:r>
              <w:rPr>
                <w:rFonts w:ascii="Arial" w:cs="Arial" w:eastAsia="Arial" w:hAnsi="Arial"/>
                <w:sz w:val="14"/>
                <w:szCs w:val="14"/>
                <w:b w:val="1"/>
                <w:bCs w:val="1"/>
                <w:color w:val="auto"/>
                <w:w w:val="93"/>
              </w:rPr>
              <w:t>Milestone Payment</w:t>
            </w:r>
          </w:p>
        </w:tc>
        <w:tc>
          <w:tcPr>
            <w:tcW w:w="0" w:type="dxa"/>
            <w:vAlign w:val="bottom"/>
          </w:tcPr>
          <w:p>
            <w:pPr>
              <w:spacing w:after="0"/>
              <w:rPr>
                <w:sz w:val="1"/>
                <w:szCs w:val="1"/>
                <w:color w:val="auto"/>
              </w:rPr>
            </w:pPr>
          </w:p>
        </w:tc>
      </w:tr>
      <w:tr>
        <w:trPr>
          <w:trHeight w:val="171"/>
        </w:trPr>
        <w:tc>
          <w:tcPr>
            <w:tcW w:w="18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0"/>
        </w:trPr>
        <w:tc>
          <w:tcPr>
            <w:tcW w:w="1840" w:type="dxa"/>
            <w:vAlign w:val="bottom"/>
            <w:vMerge w:val="restart"/>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40" w:type="dxa"/>
            <w:vAlign w:val="bottom"/>
            <w:vMerge w:val="continue"/>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NDA approval for the first indication</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First NDA approval for the second indication</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MAA approval for the first indication</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5960" w:type="dxa"/>
            <w:vAlign w:val="bottom"/>
            <w:gridSpan w:val="3"/>
          </w:tcPr>
          <w:p>
            <w:pPr>
              <w:spacing w:after="0"/>
              <w:rPr>
                <w:sz w:val="20"/>
                <w:szCs w:val="20"/>
                <w:color w:val="auto"/>
              </w:rPr>
            </w:pPr>
            <w:r>
              <w:rPr>
                <w:rFonts w:ascii="Arial" w:cs="Arial" w:eastAsia="Arial" w:hAnsi="Arial"/>
                <w:sz w:val="18"/>
                <w:szCs w:val="18"/>
                <w:color w:val="auto"/>
              </w:rPr>
              <w:t>First MAA approval for the second indication</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shd w:val="clear" w:color="auto" w:fill="CCEEFF"/>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40" w:type="dxa"/>
            <w:vAlign w:val="bottom"/>
          </w:tcPr>
          <w:p>
            <w:pPr>
              <w:spacing w:after="0"/>
              <w:rPr>
                <w:sz w:val="17"/>
                <w:szCs w:val="17"/>
                <w:color w:val="auto"/>
              </w:rPr>
            </w:pPr>
          </w:p>
        </w:tc>
        <w:tc>
          <w:tcPr>
            <w:tcW w:w="5960" w:type="dxa"/>
            <w:vAlign w:val="bottom"/>
            <w:gridSpan w:val="3"/>
          </w:tcPr>
          <w:p>
            <w:pPr>
              <w:spacing w:after="0" w:line="201" w:lineRule="exact"/>
              <w:rPr>
                <w:sz w:val="20"/>
                <w:szCs w:val="20"/>
                <w:color w:val="auto"/>
              </w:rPr>
            </w:pPr>
            <w:r>
              <w:rPr>
                <w:rFonts w:ascii="Arial" w:cs="Arial" w:eastAsia="Arial" w:hAnsi="Arial"/>
                <w:sz w:val="18"/>
                <w:szCs w:val="18"/>
                <w:color w:val="auto"/>
              </w:rPr>
              <w:t>Achievement of annual worldwide Net Sales in a calendar year equal to or</w:t>
            </w:r>
          </w:p>
        </w:tc>
        <w:tc>
          <w:tcPr>
            <w:tcW w:w="6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5960" w:type="dxa"/>
            <w:vAlign w:val="bottom"/>
            <w:gridSpan w:val="3"/>
          </w:tcPr>
          <w:p>
            <w:pPr>
              <w:ind w:left="180"/>
              <w:spacing w:after="0"/>
              <w:rPr>
                <w:sz w:val="20"/>
                <w:szCs w:val="20"/>
                <w:color w:val="auto"/>
              </w:rPr>
            </w:pPr>
            <w:r>
              <w:rPr>
                <w:rFonts w:ascii="Arial" w:cs="Arial" w:eastAsia="Arial" w:hAnsi="Arial"/>
                <w:sz w:val="18"/>
                <w:szCs w:val="18"/>
                <w:color w:val="auto"/>
              </w:rPr>
              <w:t>greater than $[*]</w:t>
            </w:r>
          </w:p>
        </w:tc>
        <w:tc>
          <w:tcPr>
            <w:tcW w:w="1780" w:type="dxa"/>
            <w:vAlign w:val="bottom"/>
            <w:gridSpan w:val="2"/>
          </w:tcPr>
          <w:p>
            <w:pPr>
              <w:jc w:val="center"/>
              <w:ind w:left="51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4"/>
          </w:tcPr>
          <w:p>
            <w:pPr>
              <w:spacing w:after="0"/>
              <w:rPr>
                <w:sz w:val="20"/>
                <w:szCs w:val="20"/>
                <w:color w:val="auto"/>
              </w:rPr>
            </w:pPr>
            <w:r>
              <w:rPr>
                <w:rFonts w:ascii="Arial" w:cs="Arial" w:eastAsia="Arial" w:hAnsi="Arial"/>
                <w:sz w:val="18"/>
                <w:szCs w:val="18"/>
                <w:color w:val="auto"/>
              </w:rPr>
              <w:t>As used in this Section 6.3, the following terms have the meanings set forth below:</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initiation</w:t>
      </w:r>
      <w:r>
        <w:rPr>
          <w:rFonts w:ascii="Arial" w:cs="Arial" w:eastAsia="Arial" w:hAnsi="Arial"/>
          <w:sz w:val="16"/>
          <w:szCs w:val="16"/>
          <w:color w:val="auto"/>
        </w:rPr>
        <w:t>” means, with respect to a study or clinical trial, the administration of the first dose of Product to the first patient enrolled in such study 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trial;</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 clearance</w:t>
      </w:r>
      <w:r>
        <w:rPr>
          <w:rFonts w:ascii="Arial" w:cs="Arial" w:eastAsia="Arial" w:hAnsi="Arial"/>
          <w:sz w:val="18"/>
          <w:szCs w:val="18"/>
          <w:color w:val="auto"/>
        </w:rPr>
        <w:t>” means filing and clearance by FDA without rejection or being placed on clinical hold;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indication</w:t>
      </w:r>
      <w:r>
        <w:rPr>
          <w:rFonts w:ascii="Arial" w:cs="Arial" w:eastAsia="Arial" w:hAnsi="Arial"/>
          <w:sz w:val="18"/>
          <w:szCs w:val="18"/>
          <w:color w:val="auto"/>
        </w:rPr>
        <w:t>” means a specific disease or condition;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filing</w:t>
      </w:r>
      <w:r>
        <w:rPr>
          <w:rFonts w:ascii="Arial" w:cs="Arial" w:eastAsia="Arial" w:hAnsi="Arial"/>
          <w:sz w:val="18"/>
          <w:szCs w:val="18"/>
          <w:color w:val="auto"/>
        </w:rPr>
        <w:t>” means acceptance for filing with the applicable regulatory or governmental authority; and</w:t>
      </w:r>
    </w:p>
    <w:p>
      <w:pPr>
        <w:spacing w:after="0" w:line="225" w:lineRule="exact"/>
        <w:rPr>
          <w:sz w:val="20"/>
          <w:szCs w:val="20"/>
          <w:color w:val="auto"/>
        </w:rPr>
      </w:pPr>
    </w:p>
    <w:p>
      <w:pPr>
        <w:jc w:val="both"/>
        <w:ind w:right="3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approval</w:t>
      </w:r>
      <w:r>
        <w:rPr>
          <w:rFonts w:ascii="Arial" w:cs="Arial" w:eastAsia="Arial" w:hAnsi="Arial"/>
          <w:sz w:val="18"/>
          <w:szCs w:val="18"/>
          <w:color w:val="auto"/>
        </w:rPr>
        <w:t>” means, with respect to a Product in any country or jurisdiction, any approval, registration, license or authorization from a regulatory or governmental authority in a country or other jurisdiction that is necessary to market and sell such Product in such country or jurisdiction; “approval” shall specifically include FDA approvals of BLAs.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6.4. Earned Royalties</w:t>
      </w:r>
      <w:r>
        <w:rPr>
          <w:rFonts w:ascii="Arial" w:cs="Arial" w:eastAsia="Arial" w:hAnsi="Arial"/>
          <w:sz w:val="18"/>
          <w:szCs w:val="18"/>
          <w:color w:val="auto"/>
        </w:rPr>
        <w:t>.</w:t>
      </w:r>
    </w:p>
    <w:p>
      <w:pPr>
        <w:spacing w:after="0" w:line="229" w:lineRule="exact"/>
        <w:rPr>
          <w:sz w:val="20"/>
          <w:szCs w:val="20"/>
          <w:color w:val="auto"/>
        </w:rPr>
      </w:pPr>
    </w:p>
    <w:p>
      <w:pPr>
        <w:ind w:right="820" w:firstLine="921"/>
        <w:spacing w:after="0" w:line="277" w:lineRule="auto"/>
        <w:tabs>
          <w:tab w:leader="none" w:pos="1168" w:val="left"/>
        </w:tabs>
        <w:numPr>
          <w:ilvl w:val="0"/>
          <w:numId w:val="164"/>
        </w:numPr>
        <w:rPr>
          <w:rFonts w:ascii="Arial" w:cs="Arial" w:eastAsia="Arial" w:hAnsi="Arial"/>
          <w:sz w:val="18"/>
          <w:szCs w:val="18"/>
          <w:b w:val="1"/>
          <w:bCs w:val="1"/>
          <w:color w:val="auto"/>
        </w:rPr>
      </w:pPr>
      <w:r>
        <w:rPr>
          <w:rFonts w:ascii="Arial" w:cs="Arial" w:eastAsia="Arial" w:hAnsi="Arial"/>
          <w:sz w:val="18"/>
          <w:szCs w:val="18"/>
          <w:color w:val="auto"/>
        </w:rPr>
        <w:t>With respect to Net Sales of a Product resulting from a Development Antibody, on a Product-by-Product basis, TESARO shall pay AnaptysBio a royalty on Net Sales as follows:</w:t>
      </w:r>
    </w:p>
    <w:p>
      <w:pPr>
        <w:sectPr>
          <w:pgSz w:w="11900" w:h="16838" w:orient="portrait"/>
          <w:cols w:equalWidth="0" w:num="1">
            <w:col w:w="11420"/>
          </w:cols>
          <w:pgMar w:left="240" w:top="253" w:right="239" w:bottom="1440" w:gutter="0" w:footer="0" w:header="0"/>
        </w:sectPr>
      </w:pPr>
    </w:p>
    <w:p>
      <w:pPr>
        <w:spacing w:after="0" w:line="193" w:lineRule="exact"/>
        <w:rPr>
          <w:sz w:val="20"/>
          <w:szCs w:val="20"/>
          <w:color w:val="auto"/>
        </w:rPr>
      </w:pPr>
    </w:p>
    <w:p>
      <w:pPr>
        <w:jc w:val="center"/>
        <w:ind w:left="2000"/>
        <w:spacing w:after="0"/>
        <w:rPr>
          <w:sz w:val="20"/>
          <w:szCs w:val="20"/>
          <w:color w:val="auto"/>
        </w:rPr>
      </w:pPr>
      <w:r>
        <w:rPr>
          <w:rFonts w:ascii="Arial" w:cs="Arial" w:eastAsia="Arial" w:hAnsi="Arial"/>
          <w:sz w:val="13"/>
          <w:szCs w:val="13"/>
          <w:color w:val="auto"/>
        </w:rPr>
        <w:t>Worldwide Annual Net Sales of a Product (on a</w:t>
      </w:r>
    </w:p>
    <w:p>
      <w:pPr>
        <w:spacing w:after="0" w:line="10" w:lineRule="exact"/>
        <w:rPr>
          <w:sz w:val="20"/>
          <w:szCs w:val="20"/>
          <w:color w:val="auto"/>
        </w:rPr>
      </w:pPr>
    </w:p>
    <w:p>
      <w:pPr>
        <w:jc w:val="center"/>
        <w:ind w:left="2000"/>
        <w:spacing w:after="0"/>
        <w:rPr>
          <w:sz w:val="20"/>
          <w:szCs w:val="20"/>
          <w:color w:val="auto"/>
        </w:rPr>
      </w:pPr>
      <w:r>
        <w:rPr>
          <w:rFonts w:ascii="Arial" w:cs="Arial" w:eastAsia="Arial" w:hAnsi="Arial"/>
          <w:sz w:val="13"/>
          <w:szCs w:val="13"/>
          <w:color w:val="auto"/>
        </w:rPr>
        <w:t>Product-by-Product basis) during the applicable</w:t>
      </w:r>
    </w:p>
    <w:p>
      <w:pPr>
        <w:jc w:val="center"/>
        <w:ind w:left="2000"/>
        <w:spacing w:after="0"/>
        <w:rPr>
          <w:sz w:val="20"/>
          <w:szCs w:val="20"/>
          <w:color w:val="auto"/>
        </w:rPr>
      </w:pPr>
      <w:r>
        <w:rPr>
          <w:rFonts w:ascii="Arial" w:cs="Arial" w:eastAsia="Arial" w:hAnsi="Arial"/>
          <w:sz w:val="14"/>
          <w:szCs w:val="14"/>
          <w:color w:val="auto"/>
        </w:rPr>
        <w:t>calendar year during the Royalty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-3175</wp:posOffset>
            </wp:positionV>
            <wp:extent cx="17494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749425" cy="889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Portion less than or equal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Portion greater than $[*], but less than or equal to $[*]:</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Portion greater than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1660"/>
        <w:spacing w:after="0"/>
        <w:rPr>
          <w:sz w:val="20"/>
          <w:szCs w:val="20"/>
          <w:color w:val="auto"/>
        </w:rPr>
      </w:pPr>
      <w:r>
        <w:rPr>
          <w:rFonts w:ascii="Arial" w:cs="Arial" w:eastAsia="Arial" w:hAnsi="Arial"/>
          <w:sz w:val="14"/>
          <w:szCs w:val="14"/>
          <w:color w:val="auto"/>
        </w:rPr>
        <w:t>Royalty Rate</w:t>
      </w:r>
    </w:p>
    <w:p>
      <w:pPr>
        <w:jc w:val="center"/>
        <w:ind w:right="1660"/>
        <w:spacing w:after="0" w:line="221" w:lineRule="auto"/>
        <w:rPr>
          <w:sz w:val="20"/>
          <w:szCs w:val="20"/>
          <w:color w:val="auto"/>
        </w:rPr>
      </w:pPr>
      <w:r>
        <w:rPr>
          <w:rFonts w:ascii="Arial" w:cs="Arial" w:eastAsia="Arial" w:hAnsi="Arial"/>
          <w:sz w:val="14"/>
          <w:szCs w:val="14"/>
          <w:color w:val="auto"/>
        </w:rPr>
        <w:t>Applicable to</w:t>
      </w:r>
    </w:p>
    <w:p>
      <w:pPr>
        <w:jc w:val="center"/>
        <w:ind w:right="1660"/>
        <w:spacing w:after="0"/>
        <w:rPr>
          <w:sz w:val="20"/>
          <w:szCs w:val="20"/>
          <w:color w:val="auto"/>
        </w:rPr>
      </w:pPr>
      <w:r>
        <w:rPr>
          <w:rFonts w:ascii="Arial" w:cs="Arial" w:eastAsia="Arial" w:hAnsi="Arial"/>
          <w:sz w:val="14"/>
          <w:szCs w:val="14"/>
          <w:color w:val="auto"/>
        </w:rPr>
        <w:t>a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-3175</wp:posOffset>
            </wp:positionV>
            <wp:extent cx="48895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ind w:left="38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*Confidential Treatment Requested.</w:t>
      </w:r>
    </w:p>
    <w:p>
      <w:pPr>
        <w:sectPr>
          <w:pgSz w:w="11900" w:h="16838" w:orient="portrait"/>
          <w:cols w:equalWidth="0" w:num="2">
            <w:col w:w="7920" w:space="720"/>
            <w:col w:w="2780"/>
          </w:cols>
          <w:pgMar w:left="240" w:top="253" w:right="239" w:bottom="1440" w:gutter="0" w:footer="0" w:header="0"/>
          <w:type w:val="continuous"/>
        </w:sectPr>
      </w:pPr>
    </w:p>
    <w:bookmarkStart w:id="212" w:name="page213"/>
    <w:bookmarkEnd w:id="212"/>
    <w:p>
      <w:pPr>
        <w:ind w:right="60" w:firstLine="921"/>
        <w:spacing w:after="0" w:line="255" w:lineRule="auto"/>
        <w:tabs>
          <w:tab w:leader="none" w:pos="1178"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Royalties payable under this Section 6.4 shall be paid on a country-by- country basis from the date of the first commercial sale of each Product with respect to which royalty payments are due until the later of (i) the [*] ([*]) anniversary of the first commercial sale of the Product in such country, and (ii) the expiration date in such country of the last to expire of any Patent within the AnaptysBio Patents or the Collaboration Patents covering the manufacture, use or sale of such Product in such country (the “</w:t>
      </w:r>
      <w:r>
        <w:rPr>
          <w:rFonts w:ascii="Arial" w:cs="Arial" w:eastAsia="Arial" w:hAnsi="Arial"/>
          <w:sz w:val="18"/>
          <w:szCs w:val="18"/>
          <w:b w:val="1"/>
          <w:bCs w:val="1"/>
          <w:color w:val="auto"/>
        </w:rPr>
        <w:t>Royalty Term</w:t>
      </w:r>
      <w:r>
        <w:rPr>
          <w:rFonts w:ascii="Arial" w:cs="Arial" w:eastAsia="Arial" w:hAnsi="Arial"/>
          <w:sz w:val="18"/>
          <w:szCs w:val="18"/>
          <w:color w:val="auto"/>
        </w:rPr>
        <w:t>”). For the avoidance of doubt, TESARO’s obligation to pay royalties under this Section 6.4 is imposed only once with respect to the same unit of Product, notwithstanding such Product may be covered by more than one valid claim of an AnaptysBio Patent or Collaboration Patent.</w:t>
      </w:r>
    </w:p>
    <w:p>
      <w:pPr>
        <w:spacing w:after="0" w:line="193" w:lineRule="exact"/>
        <w:rPr>
          <w:rFonts w:ascii="Arial" w:cs="Arial" w:eastAsia="Arial" w:hAnsi="Arial"/>
          <w:sz w:val="18"/>
          <w:szCs w:val="18"/>
          <w:b w:val="1"/>
          <w:bCs w:val="1"/>
          <w:color w:val="auto"/>
        </w:rPr>
      </w:pPr>
    </w:p>
    <w:p>
      <w:pPr>
        <w:ind w:right="60" w:firstLine="921"/>
        <w:spacing w:after="0" w:line="255" w:lineRule="auto"/>
        <w:tabs>
          <w:tab w:leader="none" w:pos="1158" w:val="left"/>
        </w:tabs>
        <w:numPr>
          <w:ilvl w:val="1"/>
          <w:numId w:val="165"/>
        </w:numPr>
        <w:rPr>
          <w:rFonts w:ascii="Arial" w:cs="Arial" w:eastAsia="Arial" w:hAnsi="Arial"/>
          <w:sz w:val="18"/>
          <w:szCs w:val="18"/>
          <w:b w:val="1"/>
          <w:bCs w:val="1"/>
          <w:color w:val="auto"/>
        </w:rPr>
      </w:pPr>
      <w:r>
        <w:rPr>
          <w:rFonts w:ascii="Arial" w:cs="Arial" w:eastAsia="Arial" w:hAnsi="Arial"/>
          <w:sz w:val="18"/>
          <w:szCs w:val="18"/>
          <w:color w:val="auto"/>
        </w:rPr>
        <w:t>If TESARO pays royalties to any Third Party in a country in order to make, use, sell, offer for sale or import the Development Antibody component of a Product in such country, then TESARO shall have the right to credit [*] percent ([*]%) of such Third Party royalty payments against the royalties owing to AnaptysBio under Section 6.4(a) with respect to sales of such Product in such country; provided, however, that TESARO shall not reduce the amount of the royalties owing to AnaptysBio under Section 6.4(a) with respect to such Product in such country to less than [*] percent ([*]%) of the royalties that would otherwise be due under Section 6.4(a) with respect to such Product in such country. Notwithstanding the foregoing, if TESARO pays any such royalties to a Third Party that [*].</w:t>
      </w:r>
    </w:p>
    <w:p>
      <w:pPr>
        <w:spacing w:after="0" w:line="216" w:lineRule="exact"/>
        <w:rPr>
          <w:rFonts w:ascii="Arial" w:cs="Arial" w:eastAsia="Arial" w:hAnsi="Arial"/>
          <w:sz w:val="18"/>
          <w:szCs w:val="18"/>
          <w:b w:val="1"/>
          <w:bCs w:val="1"/>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PAYMENTS; RECORDS</w:t>
      </w:r>
    </w:p>
    <w:p>
      <w:pPr>
        <w:spacing w:after="0" w:line="225"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7.1. Payment Method</w:t>
      </w:r>
      <w:r>
        <w:rPr>
          <w:rFonts w:ascii="Arial" w:cs="Arial" w:eastAsia="Arial" w:hAnsi="Arial"/>
          <w:sz w:val="18"/>
          <w:szCs w:val="18"/>
          <w:color w:val="auto"/>
        </w:rPr>
        <w:t>. All payments due under this Agreement shall be made from a bank located in the United States by bank wire transfer in</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available funds to a bank account designated by AnaptysBio. All payments hereunder shall be made in U.S. dollars. In the event that the due date of any payment subject to Section 6 is a Saturday, Sunday or national holiday, such payment may be paid on the following business day. Any payments that are not paid on the date such payments are due under this Agreement shall bear interest to the extent permitted by applicable law at the rate of [*] percent ([*]%) per annum, calculated on the number of days such payment is delinquent.</w:t>
      </w:r>
    </w:p>
    <w:p>
      <w:pPr>
        <w:spacing w:after="0" w:line="184"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7.2. Taxes</w:t>
      </w:r>
      <w:r>
        <w:rPr>
          <w:rFonts w:ascii="Arial" w:cs="Arial" w:eastAsia="Arial" w:hAnsi="Arial"/>
          <w:sz w:val="18"/>
          <w:szCs w:val="18"/>
          <w:color w:val="auto"/>
        </w:rPr>
        <w:t>. All payments required to be paid to AnaptysBio pursuant to this Agreement shall be paid with deduction for withholding for or on account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taxes (other than taxes imposed on or measured by net income) or similar governmental charge.</w:t>
      </w:r>
    </w:p>
    <w:p>
      <w:pPr>
        <w:spacing w:after="0" w:line="94"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13" w:name="page214"/>
    <w:bookmarkEnd w:id="213"/>
    <w:p>
      <w:pPr>
        <w:jc w:val="both"/>
        <w:ind w:right="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7.3. Royalty Payments and Reports</w:t>
      </w:r>
      <w:r>
        <w:rPr>
          <w:rFonts w:ascii="Arial" w:cs="Arial" w:eastAsia="Arial" w:hAnsi="Arial"/>
          <w:sz w:val="18"/>
          <w:szCs w:val="18"/>
          <w:color w:val="auto"/>
        </w:rPr>
        <w:t>. Royalty payments under this Agreement with respect to Net Sales of Product in a given calendar quarter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to AnaptysBio or its designee quarterly within [*] ([*]) days following the applicable calendar quarter. Each royalty payment shall be accompanied by a report [*].</w:t>
      </w:r>
    </w:p>
    <w:p>
      <w:pPr>
        <w:spacing w:after="0" w:line="17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b w:val="1"/>
          <w:bCs w:val="1"/>
          <w:color w:val="auto"/>
        </w:rPr>
        <w:t>7.4. Books and Records; Accounting and Audits</w:t>
      </w:r>
      <w:r>
        <w:rPr>
          <w:rFonts w:ascii="Arial" w:cs="Arial" w:eastAsia="Arial" w:hAnsi="Arial"/>
          <w:sz w:val="16"/>
          <w:szCs w:val="16"/>
          <w:color w:val="auto"/>
        </w:rPr>
        <w:t>. Each Party shall maintain complete and accurate books and records, in accordance with GAAP,</w:t>
      </w:r>
      <w:r>
        <w:rPr>
          <w:rFonts w:ascii="Arial" w:cs="Arial" w:eastAsia="Arial" w:hAnsi="Arial"/>
          <w:sz w:val="16"/>
          <w:szCs w:val="16"/>
          <w:b w:val="1"/>
          <w:bCs w:val="1"/>
          <w:color w:val="auto"/>
        </w:rPr>
        <w:t xml:space="preserve"> </w:t>
      </w:r>
      <w:r>
        <w:rPr>
          <w:rFonts w:ascii="Arial" w:cs="Arial" w:eastAsia="Arial" w:hAnsi="Arial"/>
          <w:sz w:val="16"/>
          <w:szCs w:val="16"/>
          <w:color w:val="auto"/>
        </w:rPr>
        <w:t>which are relevant to, as applicable, costs or expenses to be reimbursed by TESARO, or payments to made to AnaptysBio, under this Agreement, which books and records shall be sufficient in detail to verify all payment amounts due to a Party hereunder. The Party requesting an audit (the “</w:t>
      </w:r>
      <w:r>
        <w:rPr>
          <w:rFonts w:ascii="Arial" w:cs="Arial" w:eastAsia="Arial" w:hAnsi="Arial"/>
          <w:sz w:val="16"/>
          <w:szCs w:val="16"/>
          <w:b w:val="1"/>
          <w:bCs w:val="1"/>
          <w:color w:val="auto"/>
        </w:rPr>
        <w:t>Auditing Party</w:t>
      </w:r>
      <w:r>
        <w:rPr>
          <w:rFonts w:ascii="Arial" w:cs="Arial" w:eastAsia="Arial" w:hAnsi="Arial"/>
          <w:sz w:val="16"/>
          <w:szCs w:val="16"/>
          <w:color w:val="auto"/>
        </w:rPr>
        <w:t>”) shall have the right, at its own expense and not more than once in any calendar year during the term of this Agreement, to have an independent, certified public accountant, selected by the Auditing Party, and under an obligation of confidence, audit the books and records of the other Party (the “</w:t>
      </w:r>
      <w:r>
        <w:rPr>
          <w:rFonts w:ascii="Arial" w:cs="Arial" w:eastAsia="Arial" w:hAnsi="Arial"/>
          <w:sz w:val="16"/>
          <w:szCs w:val="16"/>
          <w:b w:val="1"/>
          <w:bCs w:val="1"/>
          <w:color w:val="auto"/>
        </w:rPr>
        <w:t>Audited Party</w:t>
      </w:r>
      <w:r>
        <w:rPr>
          <w:rFonts w:ascii="Arial" w:cs="Arial" w:eastAsia="Arial" w:hAnsi="Arial"/>
          <w:sz w:val="16"/>
          <w:szCs w:val="16"/>
          <w:color w:val="auto"/>
        </w:rPr>
        <w:t>”) in the location(s) where such books and records are maintained upon reasonable notice (which shall be no less than fifteen (15) business days prior written notice) and during regular business hours, and for the sole purpose of verifying the basis and accuracy of payments required and made under this Agreement. The report and communication of such accountant with respect to such an audit shall be limited to a certificate stating whether any, as applicable, report made or reimbursement or other payment submitted during such period is accurate or inaccurate and, if a discrepancy is identified, shall also indicate the amount and if applicable, with respect to any report, the nature, of any discrepancy, and the correct information (with respect to the applicable period). Such accountant shall provide AnaptysBio and TESARO with a copy of each such report simultaneously. Should the audit lead to the discovery of a discrepancy:</w:t>
      </w:r>
    </w:p>
    <w:p>
      <w:pPr>
        <w:ind w:firstLine="8"/>
        <w:spacing w:after="0" w:line="267" w:lineRule="auto"/>
        <w:tabs>
          <w:tab w:leader="none" w:pos="21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to the Auditing Party’s detriment, the Audited Party shall pay to the Auditing Party the amount of the discrepancy within thirty (30) days of the Audited Party’s receipt of the report; or (ii) to the Audited Party’s detriment, the Audited Party may, as applicable, credit the amount of the discrepancy against future payments payable to the Auditing Party under this Agreement, and if there are no such payments payable, then the Auditing Party shall pay to the Audited Party the amount of the discrepancy within thirty (30) days of the Auditing Party’s receipt of the report. Additionally, in the event that the discrepancy is to the Auditing Party’s detriment and is greater than five percent (5%) of the amount due for such audited period, then the Audited Party shall pay or reimburse the reasonable cost charged by such accountant for such audit. Once the Auditing Party has conducted an audit permitted by this Section 7.4 in respect of any period, it may not re-inspect the Audited Party’s books and records in respect of such period, unless a subsequent audit of a separate reporting period uncovers fraud on the part of the Audited Party that is reasonably expected to have been occurring during the prior audited period. For clarity, however, if a discrepancy is identified by the accountant during the course of an audit and the Parties do not agree upon a resolution of such discrepancy, then the Auditing Party’s accountant may re-inspect the books and records to the extent reasonably relevant to resolving such discrepancy. Notwithstanding anything herein to the contrary, upon the expiration of three (3) years following the end of any calendar year, the right to audit, the books and records for such calendar year shall expire and such Party shall be released from any liability or accountability with respect to payments or FTE work performed as reflected in such books of such Party for such calendar year (including, for clarity, with respect to the calculation of royalties payable with respect to each such calendar year). The Parties shall no longer be required to retain such books and records for any calendar year after the expiration of the third (3rd) calendar year following such calendar year.</w:t>
      </w:r>
    </w:p>
    <w:p>
      <w:pPr>
        <w:spacing w:after="0" w:line="110"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14" w:name="page215"/>
    <w:bookmarkEnd w:id="214"/>
    <w:p>
      <w:pPr>
        <w:ind w:right="26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7.5. Blocked Currency</w:t>
      </w:r>
      <w:r>
        <w:rPr>
          <w:rFonts w:ascii="Arial" w:cs="Arial" w:eastAsia="Arial" w:hAnsi="Arial"/>
          <w:sz w:val="18"/>
          <w:szCs w:val="18"/>
          <w:color w:val="auto"/>
        </w:rPr>
        <w:t>. If at any time legal restrictions in the Territory prevent the prompt remittance of any payments with respect to sales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TESARO shall have the right and option to make such payments by depositing the amount thereof in local currency to AnaptysBio account in a bank or depository in the Territory.</w:t>
      </w:r>
    </w:p>
    <w:p>
      <w:pPr>
        <w:spacing w:after="0" w:line="176"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7.6. Confidentiality</w:t>
      </w:r>
      <w:r>
        <w:rPr>
          <w:rFonts w:ascii="Arial" w:cs="Arial" w:eastAsia="Arial" w:hAnsi="Arial"/>
          <w:sz w:val="18"/>
          <w:szCs w:val="18"/>
          <w:color w:val="auto"/>
        </w:rPr>
        <w:t>. Each Party shall treat all financial information of the other Party that is subject to review under this Section 7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all royalty reports) as such other Party’s Confidential Information.</w:t>
      </w:r>
    </w:p>
    <w:p>
      <w:pPr>
        <w:spacing w:after="0" w:line="189"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DILIGENCE; REVERSION</w:t>
      </w:r>
    </w:p>
    <w:p>
      <w:pPr>
        <w:spacing w:after="0" w:line="225"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b w:val="1"/>
          <w:bCs w:val="1"/>
          <w:color w:val="auto"/>
        </w:rPr>
        <w:t>8.1. Products</w:t>
      </w:r>
      <w:r>
        <w:rPr>
          <w:rFonts w:ascii="Arial" w:cs="Arial" w:eastAsia="Arial" w:hAnsi="Arial"/>
          <w:sz w:val="16"/>
          <w:szCs w:val="16"/>
          <w:color w:val="auto"/>
        </w:rPr>
        <w:t>. TESARO shall use Commercially Reasonable Efforts to (a) fund the development of each Discovery Program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Discovery Plan and until each Discovery Program has reached the applicable key program decision point set forth in the applicable Discovery Plan, (b) advance at least one Development Antibody with respect to each Development Program, (c) research, test and develop Products, (d) obtain regulatory approval for preclinical, clinical and commercial use of at least one Product with respect to each Development Program, and (e) commercialize Products and attempt to obtain the optimum commercial return for each Product in all major markets throughout the world. [*]</w:t>
      </w:r>
    </w:p>
    <w:p>
      <w:pPr>
        <w:spacing w:after="0" w:line="154" w:lineRule="exact"/>
        <w:rPr>
          <w:sz w:val="20"/>
          <w:szCs w:val="20"/>
          <w:color w:val="auto"/>
        </w:rPr>
      </w:pPr>
    </w:p>
    <w:p>
      <w:pPr>
        <w:ind w:right="580" w:firstLine="456"/>
        <w:spacing w:after="0" w:line="258" w:lineRule="auto"/>
        <w:rPr>
          <w:sz w:val="20"/>
          <w:szCs w:val="20"/>
          <w:color w:val="auto"/>
        </w:rPr>
      </w:pPr>
      <w:r>
        <w:rPr>
          <w:rFonts w:ascii="Arial" w:cs="Arial" w:eastAsia="Arial" w:hAnsi="Arial"/>
          <w:sz w:val="18"/>
          <w:szCs w:val="18"/>
          <w:b w:val="1"/>
          <w:bCs w:val="1"/>
          <w:color w:val="auto"/>
        </w:rPr>
        <w:t>8.2. Reversion</w:t>
      </w:r>
      <w:r>
        <w:rPr>
          <w:rFonts w:ascii="Arial" w:cs="Arial" w:eastAsia="Arial" w:hAnsi="Arial"/>
          <w:sz w:val="18"/>
          <w:szCs w:val="18"/>
          <w:color w:val="auto"/>
        </w:rPr>
        <w:t>. If TESARO fails to satisfy its obligations under Section 8.1 with respect to a Discovery Program or Development Program, or</w:t>
      </w:r>
      <w:r>
        <w:rPr>
          <w:rFonts w:ascii="Arial" w:cs="Arial" w:eastAsia="Arial" w:hAnsi="Arial"/>
          <w:sz w:val="18"/>
          <w:szCs w:val="18"/>
          <w:b w:val="1"/>
          <w:bCs w:val="1"/>
          <w:color w:val="auto"/>
        </w:rPr>
        <w:t xml:space="preserve"> </w:t>
      </w:r>
      <w:r>
        <w:rPr>
          <w:rFonts w:ascii="Arial" w:cs="Arial" w:eastAsia="Arial" w:hAnsi="Arial"/>
          <w:sz w:val="18"/>
          <w:szCs w:val="18"/>
          <w:color w:val="auto"/>
        </w:rPr>
        <w:t>discontinues development of all Products within a Discovery Program or Development Program, then all rights to that Discovery Program and/or Development Program, including Development Antibody, Products, data, result, materials and Collaboration IP Rights resulting from such Discovery Program or Development Program shall revert to AnaptysBio in accordance with Sections 14.4(b), 14.4(d) or 14.4(e) without any further obligation to TESARO.</w:t>
      </w:r>
    </w:p>
    <w:p>
      <w:pPr>
        <w:spacing w:after="0" w:line="211"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 Ownership of Inventions; Disclosure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120" w:firstLine="921"/>
        <w:spacing w:after="0" w:line="290" w:lineRule="auto"/>
        <w:tabs>
          <w:tab w:leader="none" w:pos="1168" w:val="left"/>
        </w:tabs>
        <w:numPr>
          <w:ilvl w:val="1"/>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Ownership</w:t>
      </w:r>
      <w:r>
        <w:rPr>
          <w:rFonts w:ascii="Arial" w:cs="Arial" w:eastAsia="Arial" w:hAnsi="Arial"/>
          <w:sz w:val="16"/>
          <w:szCs w:val="16"/>
          <w:color w:val="auto"/>
        </w:rPr>
        <w:t>. Title to all inventions and other intellectual property made by employees of AnaptysBio in the course of performing, or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Discovery Programs shall be owned by AnaptysBio; title to all inventions and other intellectual property made by employees of TESARO in the course of performing, or in connection with, the Discovery Programs or the further development of a Product shall be owned by TESARO; title to all inventions and other intellectual property made jointly by employees of TESARO and AnaptysBio in the course of performing, or in connection with, the Discovery Programs shall be owned jointly by TESARO and AnaptysBio. Inventorship of inventions and other intellectual property made pursuant to this Agreement shall be determined in accordance with the patent laws of the United States. Except as expressly provided in this Agreement, neither Party shall have any obligation to account to the other for profits, or to obtain any approval of the other Party to license or exploit patented jointly-owned subject matter, by reason of joint ownership thereof, and each Party hereby waives any right it may have under the laws of any jurisdiction to require any such consent or accounting. Notwithstanding the foregoing, AnaptysBio is and shall be the sole owner of the AnaptysBio Platform.</w:t>
      </w:r>
    </w:p>
    <w:p>
      <w:pPr>
        <w:spacing w:after="0" w:line="92" w:lineRule="exact"/>
        <w:rPr>
          <w:sz w:val="20"/>
          <w:szCs w:val="20"/>
          <w:color w:val="auto"/>
        </w:rPr>
      </w:pPr>
    </w:p>
    <w:p>
      <w:pPr>
        <w:jc w:val="both"/>
        <w:ind w:left="5860"/>
        <w:spacing w:after="0"/>
        <w:tabs>
          <w:tab w:leader="none" w:pos="86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15" w:name="page216"/>
    <w:bookmarkEnd w:id="215"/>
    <w:p>
      <w:pPr>
        <w:ind w:left="1180" w:hanging="259"/>
        <w:spacing w:after="0"/>
        <w:tabs>
          <w:tab w:leader="none" w:pos="1180" w:val="left"/>
        </w:tabs>
        <w:numPr>
          <w:ilvl w:val="0"/>
          <w:numId w:val="170"/>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Disclosure of Inventions</w:t>
      </w:r>
      <w:r>
        <w:rPr>
          <w:rFonts w:ascii="Arial" w:cs="Arial" w:eastAsia="Arial" w:hAnsi="Arial"/>
          <w:sz w:val="17"/>
          <w:szCs w:val="17"/>
          <w:color w:val="auto"/>
        </w:rPr>
        <w:t>. Each Party shall promptly disclose to the other any inventions made in connection with this Agreement.</w:t>
      </w:r>
    </w:p>
    <w:p>
      <w:pPr>
        <w:spacing w:after="0" w:line="23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b w:val="1"/>
          <w:bCs w:val="1"/>
          <w:color w:val="auto"/>
        </w:rPr>
        <w:t>9.2. Patent Prosecution</w:t>
      </w:r>
      <w:r>
        <w:rPr>
          <w:rFonts w:ascii="Arial" w:cs="Arial" w:eastAsia="Arial" w:hAnsi="Arial"/>
          <w:sz w:val="17"/>
          <w:szCs w:val="17"/>
          <w:color w:val="auto"/>
        </w:rPr>
        <w:t>. Prior to the IND clearance for a Product resulting from a Discovery Program, AnaptysBio shall be responsible, at TESARO’s</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for (i) preparing, filing, prosecuting and maintaining Patent applications and Patents directed to Collaboration Patents claiming the manufacture, composition or use of such Product, and (ii) for conducting any interferences, re-examinations, reissues and oppositions relating thereto (“</w:t>
      </w:r>
      <w:r>
        <w:rPr>
          <w:rFonts w:ascii="Arial" w:cs="Arial" w:eastAsia="Arial" w:hAnsi="Arial"/>
          <w:sz w:val="17"/>
          <w:szCs w:val="17"/>
          <w:b w:val="1"/>
          <w:bCs w:val="1"/>
          <w:color w:val="auto"/>
        </w:rPr>
        <w:t>Prosecute and</w:t>
      </w:r>
      <w:r>
        <w:rPr>
          <w:rFonts w:ascii="Arial" w:cs="Arial" w:eastAsia="Arial" w:hAnsi="Arial"/>
          <w:sz w:val="17"/>
          <w:szCs w:val="17"/>
          <w:color w:val="auto"/>
        </w:rPr>
        <w:t xml:space="preserve"> </w:t>
      </w:r>
      <w:r>
        <w:rPr>
          <w:rFonts w:ascii="Arial" w:cs="Arial" w:eastAsia="Arial" w:hAnsi="Arial"/>
          <w:sz w:val="17"/>
          <w:szCs w:val="17"/>
          <w:b w:val="1"/>
          <w:bCs w:val="1"/>
          <w:color w:val="auto"/>
        </w:rPr>
        <w:t>Maintain</w:t>
      </w:r>
      <w:r>
        <w:rPr>
          <w:rFonts w:ascii="Arial" w:cs="Arial" w:eastAsia="Arial" w:hAnsi="Arial"/>
          <w:sz w:val="17"/>
          <w:szCs w:val="17"/>
          <w:color w:val="auto"/>
        </w:rPr>
        <w:t>”); provided, that TESARO’s financial obligations with respect to any such interference or opposition shall be subject to AnaptysBio obtaining</w:t>
      </w:r>
      <w:r>
        <w:rPr>
          <w:rFonts w:ascii="Arial" w:cs="Arial" w:eastAsia="Arial" w:hAnsi="Arial"/>
          <w:sz w:val="17"/>
          <w:szCs w:val="17"/>
          <w:b w:val="1"/>
          <w:bCs w:val="1"/>
          <w:color w:val="auto"/>
        </w:rPr>
        <w:t xml:space="preserve"> </w:t>
      </w:r>
      <w:r>
        <w:rPr>
          <w:rFonts w:ascii="Arial" w:cs="Arial" w:eastAsia="Arial" w:hAnsi="Arial"/>
          <w:sz w:val="17"/>
          <w:szCs w:val="17"/>
          <w:color w:val="auto"/>
        </w:rPr>
        <w:t>TESARO’s prior written consent with respect to any such action and the associated costs. After IND clearance for a Product resulting from a Discovery Program, TESARO shall be responsible at TESARO’s expense to Prosecute and Maintain the applicable Collaboration Patents. The Party that is tasked to Prosecute and Maintain shall keep the other Party informed with respect to the prosecution and issuance of the Collaboration Patents and provide prompt notice of all material matters related thereto (including upon such Party’s request), and the other Party shall reasonably cooperate with and assist the Party tasked to Prosecute and Maintain in connection with such activities, including without limitation by making scientists and scientific records reasonably available and the execution of all such documents and instruments and the performance of such acts as may be reasonably necessary in order to continue any filing, prosecution, maintenance or extension thereof.</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Enforcement and Defense</w:t>
      </w:r>
      <w:r>
        <w:rPr>
          <w:rFonts w:ascii="Arial" w:cs="Arial" w:eastAsia="Arial" w:hAnsi="Arial"/>
          <w:sz w:val="18"/>
          <w:szCs w:val="18"/>
          <w:color w:val="auto"/>
        </w:rPr>
        <w:t>.</w:t>
      </w:r>
    </w:p>
    <w:p>
      <w:pPr>
        <w:spacing w:after="0" w:line="229" w:lineRule="exact"/>
        <w:rPr>
          <w:sz w:val="20"/>
          <w:szCs w:val="20"/>
          <w:color w:val="auto"/>
        </w:rPr>
      </w:pPr>
    </w:p>
    <w:p>
      <w:pPr>
        <w:ind w:left="1180" w:hanging="259"/>
        <w:spacing w:after="0"/>
        <w:tabs>
          <w:tab w:leader="none" w:pos="1180" w:val="left"/>
        </w:tabs>
        <w:numPr>
          <w:ilvl w:val="0"/>
          <w:numId w:val="171"/>
        </w:numPr>
        <w:rPr>
          <w:rFonts w:ascii="Arial" w:cs="Arial" w:eastAsia="Arial" w:hAnsi="Arial"/>
          <w:sz w:val="16"/>
          <w:szCs w:val="16"/>
          <w:b w:val="1"/>
          <w:bCs w:val="1"/>
          <w:color w:val="auto"/>
        </w:rPr>
      </w:pPr>
      <w:r>
        <w:rPr>
          <w:rFonts w:ascii="Arial" w:cs="Arial" w:eastAsia="Arial" w:hAnsi="Arial"/>
          <w:sz w:val="16"/>
          <w:szCs w:val="16"/>
          <w:color w:val="auto"/>
        </w:rPr>
        <w:t>Each Party shall promptly notify the other of any knowledge it acquires of any potential infringement of the Collaboration Patents by a Third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firstLine="921"/>
        <w:spacing w:after="0" w:line="255" w:lineRule="auto"/>
        <w:tabs>
          <w:tab w:leader="none" w:pos="1178" w:val="left"/>
        </w:tabs>
        <w:numPr>
          <w:ilvl w:val="0"/>
          <w:numId w:val="172"/>
        </w:numPr>
        <w:rPr>
          <w:rFonts w:ascii="Arial" w:cs="Arial" w:eastAsia="Arial" w:hAnsi="Arial"/>
          <w:sz w:val="18"/>
          <w:szCs w:val="18"/>
          <w:b w:val="1"/>
          <w:bCs w:val="1"/>
          <w:color w:val="auto"/>
        </w:rPr>
      </w:pPr>
      <w:r>
        <w:rPr>
          <w:rFonts w:ascii="Arial" w:cs="Arial" w:eastAsia="Arial" w:hAnsi="Arial"/>
          <w:sz w:val="18"/>
          <w:szCs w:val="18"/>
          <w:color w:val="auto"/>
        </w:rPr>
        <w:t>If any Patent within the Collaboration Patents is infringed by a Third Party in any country in the Territory in connection with the manufacture, use and sale of a product the same as or substantially similar to a Product in the Field in such country, TESARO shall have the primary right, but not the obligation, to institute, prosecute, and control any action or proceeding with respect to such infringement of such Patent, by counsel of its own choice, and AnaptysBio shall have the right, at its own expense, to be represented in that action by counsel of its own choice. If TESARO fails to bring an action or proceeding within a period of one hundred twenty (120) days after a request by AnaptysBio to do so, AnaptysBio shall have the right to bring and control any such action by counsel of its own choice, and TESARO shall have the right to be represented in any such action by counsel of its own choice at its own expense.</w:t>
      </w:r>
    </w:p>
    <w:p>
      <w:pPr>
        <w:spacing w:after="0" w:line="189" w:lineRule="exact"/>
        <w:rPr>
          <w:rFonts w:ascii="Arial" w:cs="Arial" w:eastAsia="Arial" w:hAnsi="Arial"/>
          <w:sz w:val="18"/>
          <w:szCs w:val="18"/>
          <w:b w:val="1"/>
          <w:bCs w:val="1"/>
          <w:color w:val="auto"/>
        </w:rPr>
      </w:pPr>
    </w:p>
    <w:p>
      <w:pPr>
        <w:ind w:firstLine="921"/>
        <w:spacing w:after="0" w:line="273" w:lineRule="auto"/>
        <w:tabs>
          <w:tab w:leader="none" w:pos="1158"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If one Party brings an action or proceeding in accordance with Section 9.3(b), the second Party agrees to be joined as a party plaintiff if necessary and to give the first Party reasonable assistance and authority to file and prosecute the suit. The costs and expenses of the Party bringing suit under this Section shall be borne by such Party, and any damages or other monetary awards recovered shall be shared as follows: The amount of such recovery actually received by the Party controlling such action shall first be applied to the out-of- pocket costs of such action, and then (i) if TESARO is the Party that brings such action or proceeding, then AnaptysBio shall be paid an amount equal to the royalties, if any, that would have been due upon sales of the infringing product as if such infringing sales had been Net Sales of a Product sold by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216" w:name="page217"/>
    <w:bookmarkEnd w:id="216"/>
    <w:p>
      <w:pPr>
        <w:ind w:right="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under the authority of TESARO, and the remaining portion of such recovery shall be paid to TESARO, or (ii) if AnaptysBio is the Party that brings such action or proceeding, then the remaining portion of such recovery shall be retained by AnaptysBio. A settlement or consent judgment or other voluntary final disposition of a suit under this Section 9.3 may be entered into without the consent of the Party not bringing the suit. Neither Party shall, however, have the right to enter into any settlement or consent to any claim to the effect that the patent protection offered under any part of the Collaboration Patents would be materially negatively affected, without the consent of the other Party, such consent not to be unreasonably withheld.</w:t>
      </w:r>
    </w:p>
    <w:p>
      <w:pPr>
        <w:spacing w:after="0" w:line="196" w:lineRule="exact"/>
        <w:rPr>
          <w:sz w:val="20"/>
          <w:szCs w:val="20"/>
          <w:color w:val="auto"/>
        </w:rPr>
      </w:pPr>
    </w:p>
    <w:p>
      <w:pPr>
        <w:ind w:left="460" w:hanging="452"/>
        <w:spacing w:after="0"/>
        <w:tabs>
          <w:tab w:leader="none" w:pos="4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10.1. Confidential Information</w:t>
      </w:r>
      <w:r>
        <w:rPr>
          <w:rFonts w:ascii="Arial" w:cs="Arial" w:eastAsia="Arial" w:hAnsi="Arial"/>
          <w:sz w:val="17"/>
          <w:szCs w:val="17"/>
          <w:color w:val="auto"/>
        </w:rPr>
        <w:t>. Except as otherwise expressly provided herein, the Parties agree that, for the term of this Agreement and for ten</w:t>
      </w:r>
    </w:p>
    <w:p>
      <w:pPr>
        <w:spacing w:after="0" w:line="39" w:lineRule="exact"/>
        <w:rPr>
          <w:sz w:val="20"/>
          <w:szCs w:val="20"/>
          <w:color w:val="auto"/>
        </w:rPr>
      </w:pPr>
    </w:p>
    <w:p>
      <w:pPr>
        <w:ind w:firstLine="8"/>
        <w:spacing w:after="0" w:line="252" w:lineRule="auto"/>
        <w:tabs>
          <w:tab w:leader="none" w:pos="34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years thereafter, the receiving Party shall not, except as expressly provided in this Section 10, disclose to any Third Party any Confidential Information furnished to it by the disclosing Party hereto pursuant to this Agreement, or any results of the Discovery Programs (“</w:t>
      </w:r>
      <w:r>
        <w:rPr>
          <w:rFonts w:ascii="Arial" w:cs="Arial" w:eastAsia="Arial" w:hAnsi="Arial"/>
          <w:sz w:val="18"/>
          <w:szCs w:val="18"/>
          <w:b w:val="1"/>
          <w:bCs w:val="1"/>
          <w:color w:val="auto"/>
        </w:rPr>
        <w:t>Results</w:t>
      </w:r>
      <w:r>
        <w:rPr>
          <w:rFonts w:ascii="Arial" w:cs="Arial" w:eastAsia="Arial" w:hAnsi="Arial"/>
          <w:sz w:val="18"/>
          <w:szCs w:val="18"/>
          <w:color w:val="auto"/>
        </w:rPr>
        <w:t>”). For purposes of this Section 10,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shall mean any information, samples or other materials, which if disclosed in tangible form is marked “confidential” or with other similar designation to indicate its confidential or proprietary nature, or, if disclosed orally, is indicated orally to be confidential or proprietary at the time of such disclosure and is confirmed in writing as confidential or proprietary within forty-five (45) days after such disclosure. Notwithstanding the foregoing, Confidential Information shall not include any information that can be established by the receiving Party by competent proof that such information:</w:t>
      </w:r>
    </w:p>
    <w:p>
      <w:pPr>
        <w:spacing w:after="0" w:line="193" w:lineRule="exact"/>
        <w:rPr>
          <w:rFonts w:ascii="Arial" w:cs="Arial" w:eastAsia="Arial" w:hAnsi="Arial"/>
          <w:sz w:val="18"/>
          <w:szCs w:val="18"/>
          <w:color w:val="auto"/>
        </w:rPr>
      </w:pPr>
    </w:p>
    <w:p>
      <w:pPr>
        <w:ind w:left="1180" w:hanging="259"/>
        <w:spacing w:after="0"/>
        <w:tabs>
          <w:tab w:leader="none" w:pos="1180"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was already known to the receiving Party, other than under an obligation of confidentiality, at the time of disclosure;</w:t>
      </w:r>
    </w:p>
    <w:p>
      <w:pPr>
        <w:spacing w:after="0" w:line="225" w:lineRule="exact"/>
        <w:rPr>
          <w:rFonts w:ascii="Arial" w:cs="Arial" w:eastAsia="Arial" w:hAnsi="Arial"/>
          <w:sz w:val="18"/>
          <w:szCs w:val="18"/>
          <w:b w:val="1"/>
          <w:bCs w:val="1"/>
          <w:color w:val="auto"/>
        </w:rPr>
      </w:pPr>
    </w:p>
    <w:p>
      <w:pPr>
        <w:ind w:left="1180" w:hanging="259"/>
        <w:spacing w:after="0"/>
        <w:tabs>
          <w:tab w:leader="none" w:pos="1180"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was generally available to the public or otherwise part of the public domain at the time of its disclosure to the receiving Party;</w:t>
      </w:r>
    </w:p>
    <w:p>
      <w:pPr>
        <w:spacing w:after="0" w:line="225" w:lineRule="exact"/>
        <w:rPr>
          <w:rFonts w:ascii="Arial" w:cs="Arial" w:eastAsia="Arial" w:hAnsi="Arial"/>
          <w:sz w:val="18"/>
          <w:szCs w:val="18"/>
          <w:b w:val="1"/>
          <w:bCs w:val="1"/>
          <w:color w:val="auto"/>
        </w:rPr>
      </w:pPr>
    </w:p>
    <w:p>
      <w:pPr>
        <w:ind w:right="160" w:firstLine="921"/>
        <w:spacing w:after="0" w:line="277" w:lineRule="auto"/>
        <w:tabs>
          <w:tab w:leader="none" w:pos="1158"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became generally available to the public or otherwise part of the public domain after its disclosure and other than through any breach of this Agreement by the receiving Party;</w:t>
      </w:r>
    </w:p>
    <w:p>
      <w:pPr>
        <w:spacing w:after="0" w:line="170" w:lineRule="exact"/>
        <w:rPr>
          <w:rFonts w:ascii="Arial" w:cs="Arial" w:eastAsia="Arial" w:hAnsi="Arial"/>
          <w:sz w:val="18"/>
          <w:szCs w:val="18"/>
          <w:b w:val="1"/>
          <w:bCs w:val="1"/>
          <w:color w:val="auto"/>
        </w:rPr>
      </w:pPr>
    </w:p>
    <w:p>
      <w:pPr>
        <w:ind w:right="540" w:firstLine="921"/>
        <w:spacing w:after="0" w:line="277" w:lineRule="auto"/>
        <w:tabs>
          <w:tab w:leader="none" w:pos="1178"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was independently developed by the receiving Party as demonstrated by documented evidence prepared contemporaneously with such independent development; or</w:t>
      </w:r>
    </w:p>
    <w:p>
      <w:pPr>
        <w:spacing w:after="0" w:line="170" w:lineRule="exact"/>
        <w:rPr>
          <w:rFonts w:ascii="Arial" w:cs="Arial" w:eastAsia="Arial" w:hAnsi="Arial"/>
          <w:sz w:val="18"/>
          <w:szCs w:val="18"/>
          <w:b w:val="1"/>
          <w:bCs w:val="1"/>
          <w:color w:val="auto"/>
        </w:rPr>
      </w:pPr>
    </w:p>
    <w:p>
      <w:pPr>
        <w:ind w:right="760" w:firstLine="921"/>
        <w:spacing w:after="0" w:line="277" w:lineRule="auto"/>
        <w:tabs>
          <w:tab w:leader="none" w:pos="1158" w:val="left"/>
        </w:tabs>
        <w:numPr>
          <w:ilvl w:val="1"/>
          <w:numId w:val="174"/>
        </w:numPr>
        <w:rPr>
          <w:rFonts w:ascii="Arial" w:cs="Arial" w:eastAsia="Arial" w:hAnsi="Arial"/>
          <w:sz w:val="18"/>
          <w:szCs w:val="18"/>
          <w:b w:val="1"/>
          <w:bCs w:val="1"/>
          <w:color w:val="auto"/>
        </w:rPr>
      </w:pPr>
      <w:r>
        <w:rPr>
          <w:rFonts w:ascii="Arial" w:cs="Arial" w:eastAsia="Arial" w:hAnsi="Arial"/>
          <w:sz w:val="18"/>
          <w:szCs w:val="18"/>
          <w:color w:val="auto"/>
        </w:rPr>
        <w:t>was disclosed to the receiving Party, other than under an obligation of confidentiality, by a Third Party who had no obligation to the disclosing Party not to disclose such information to others.</w:t>
      </w:r>
    </w:p>
    <w:p>
      <w:pPr>
        <w:spacing w:after="0" w:line="166"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10.2. Permitted Use and Disclosures</w:t>
      </w:r>
      <w:r>
        <w:rPr>
          <w:rFonts w:ascii="Arial" w:cs="Arial" w:eastAsia="Arial" w:hAnsi="Arial"/>
          <w:sz w:val="18"/>
          <w:szCs w:val="18"/>
          <w:color w:val="auto"/>
        </w:rPr>
        <w:t>. Each Party hereto may use or disclose Confidential Information disclosed to it by the other Party or Results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extent such use or disclosure is reasonably necessary and permitted in the exercise of the rights granted hereunder in filing or prosecuting Patent applications, prosecuting or defending litigation, complying with applicable governmental laws, rules, regulations or court order or otherwise submitting information to tax or other governmental authorities, conducting clinical trials, or making a permitted sublicense or otherwise exercising license rights expressly granted by the other Party</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17" w:name="page218"/>
    <w:bookmarkEnd w:id="217"/>
    <w:p>
      <w:pPr>
        <w:ind w:right="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it pursuant to the terms of this Agreement; provided, that if a Party is required to make any such disclosure, other than pursuant to a confidentiality agreement, it will give reasonable advance notice to the other Party of such disclosure and, save to the extent inappropriate in the case of Patent applications, will use its reasonable efforts to secure confidential treatment of such information in consultation with the other Party prior to its disclosure (whether through protective orders or otherwise) and disclose only the minimum necessary to comply with such requirements. Nothing in this Article 10 shall restrict TESARO from providing Development Antibodies (and associated related information) to academic and other collaborators to conduct pre-clinical and clinical studies to further the research, development and commercialization of the Development Antibodies.</w:t>
      </w:r>
    </w:p>
    <w:p>
      <w:pPr>
        <w:spacing w:after="0" w:line="201" w:lineRule="exact"/>
        <w:rPr>
          <w:sz w:val="20"/>
          <w:szCs w:val="20"/>
          <w:color w:val="auto"/>
        </w:rPr>
      </w:pPr>
    </w:p>
    <w:p>
      <w:pPr>
        <w:ind w:left="460" w:hanging="452"/>
        <w:spacing w:after="0"/>
        <w:tabs>
          <w:tab w:leader="none" w:pos="4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PUBLICITY</w:t>
      </w:r>
    </w:p>
    <w:p>
      <w:pPr>
        <w:spacing w:after="0" w:line="225"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11.1. Nondisclosure of Terms</w:t>
      </w:r>
      <w:r>
        <w:rPr>
          <w:rFonts w:ascii="Arial" w:cs="Arial" w:eastAsia="Arial" w:hAnsi="Arial"/>
          <w:sz w:val="16"/>
          <w:szCs w:val="16"/>
          <w:color w:val="auto"/>
        </w:rPr>
        <w:t>. Each of the Parties hereto agrees not to disclose the terms of this Agreement to any Third Party without the prior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consent of the other Party hereto, which consent shall not be unreasonably withheld, except to such Party’s attorneys, advisors, investors, potential investors and other similarly situated Third Parties on a need to know basis under circumstances that reasonably ensure the confidentiality thereof, or to the extent required by law. Notwithstanding the foregoing, the press release attached to the Supplemental Information Package as Exhibit B-1 shall be jointly released by both Parties promptly following the Effective Date, and the press release attached to the Supplemental Information Package as Exhibit B-2 shall be released by AnaptysBio promptly following the Effective Date. Furthermore, it is understood that either Party may be required to issue subsequent press releases or make disclosures required by law (pursuant to filings with the Securities and Exchange Commission or otherwise) relating to the terms of this Agreement or activities hereunder. The Parties agree to consult with each other reasonably and in good faith with respect to the text and timing of all such press releases or other disclosures required by law prior to the issuance thereof, provided that a Party may not unreasonably withhold or delay consent to such releases or disclosures, and that either Party may issue such press releases or make such disclosures as it determines, based on advice of counsel, are reasonably necessary to comply with laws or regulations or for appropriate stock market disclosure. Furthermore, AnaptysBio shall have the right to publicly announce, by press release or otherwise, the occurrence of each significant event under the terms of this Agreement, including the receipt of each milestone payment reference above, provided that AnaptysBio consults with TESARO reasonably and in good faith with respect to the text and timing of such public announcement prior to the issuance thereof, provided that no Confidential Information shall be disclosed without permission of TESARO.</w:t>
      </w:r>
    </w:p>
    <w:p>
      <w:pPr>
        <w:spacing w:after="0" w:line="1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11.2. Publications</w:t>
      </w:r>
      <w:r>
        <w:rPr>
          <w:rFonts w:ascii="Arial" w:cs="Arial" w:eastAsia="Arial" w:hAnsi="Arial"/>
          <w:sz w:val="18"/>
          <w:szCs w:val="18"/>
          <w:color w:val="auto"/>
        </w:rPr>
        <w:t>. With respect to any Discovery Program, each Party shall submit any proposed scientific publication to the other Party that relates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to one or more Development Antibodies or Products, discloses the results of a Discovery Program or includes Confidential Information of the other Party at least thirty (30) days in advance to allow that Party to review such planned public disclosure. The reviewing Party will promptly review such proposed scientific publication and make any objections that it may have to the publication of such results or the Confidential Information of the reviewing Party contained therein. Should the reviewing Party make an objection to the publication of any such results or Confidential Information, then the Parties shall discuss the advantages and disadvantages of publishing such</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18" w:name="page219"/>
    <w:bookmarkEnd w:id="218"/>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results or Confidential Information. If the Parties are unable to agree on whether to publish the same, the respective Chief Executive Officers of AnaptysBio and TESARO (or, with respect to TESARO, the President) shall reasonably agree on the extent to which the publication of such results or Confidential Information shall be made. AnaptysBio acknowledges that TESARO may enter into agreements with academic and other collaborators to conduct studies with Development Antibodies, including in combination with other compounds, in all cases consistent with the license rights granted hereunder. Notwithstanding the provisions of this Section 11.2 to the contrary, TESARO shall be required only to request such collaborators comply with the provisions of this Section 11.2 with regard to their scientific publications, but TESARO shall not be in violation of this Section 11.2 as a result of the actions of such collaborators with respect thereto.</w:t>
      </w:r>
    </w:p>
    <w:p>
      <w:pPr>
        <w:spacing w:after="0" w:line="18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11.3. Blinded Data</w:t>
      </w:r>
      <w:r>
        <w:rPr>
          <w:rFonts w:ascii="Arial" w:cs="Arial" w:eastAsia="Arial" w:hAnsi="Arial"/>
          <w:sz w:val="18"/>
          <w:szCs w:val="18"/>
          <w:color w:val="auto"/>
        </w:rPr>
        <w:t>. For the purposes of promoting or otherwise highlighting the advantages of the AnaptysBio Platform, AnaptysBio may disclose (or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disclosed) to Third Parties, blinded data relating to each of the Discovery Programs at any time during or subsequent to the term of the Agreement, provided that (a) neither TESARO, the Targets or therapeutic area shall be identified, directly or indirectly, in connection therewith, (b) TESARO shall have an opportunity to review each such disclosure at least thirty (30) days prior to the release thereof, and (c) no such disclosure shall include any Confidential Information of TESARO.</w:t>
      </w:r>
    </w:p>
    <w:p>
      <w:pPr>
        <w:spacing w:after="0" w:line="184" w:lineRule="exact"/>
        <w:rPr>
          <w:sz w:val="20"/>
          <w:szCs w:val="20"/>
          <w:color w:val="auto"/>
        </w:rPr>
      </w:pPr>
    </w:p>
    <w:p>
      <w:pPr>
        <w:ind w:right="120" w:firstLine="456"/>
        <w:spacing w:after="0" w:line="295" w:lineRule="auto"/>
        <w:rPr>
          <w:sz w:val="20"/>
          <w:szCs w:val="20"/>
          <w:color w:val="auto"/>
        </w:rPr>
      </w:pPr>
      <w:r>
        <w:rPr>
          <w:rFonts w:ascii="Arial" w:cs="Arial" w:eastAsia="Arial" w:hAnsi="Arial"/>
          <w:sz w:val="16"/>
          <w:szCs w:val="16"/>
          <w:b w:val="1"/>
          <w:bCs w:val="1"/>
          <w:color w:val="auto"/>
        </w:rPr>
        <w:t>11.4. Permitted Disclosures</w:t>
      </w:r>
      <w:r>
        <w:rPr>
          <w:rFonts w:ascii="Arial" w:cs="Arial" w:eastAsia="Arial" w:hAnsi="Arial"/>
          <w:sz w:val="16"/>
          <w:szCs w:val="16"/>
          <w:color w:val="auto"/>
        </w:rPr>
        <w:t>. Notwithstanding anything to the contrary contained in this Agreement or any confidentiality agreement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nothing herein or therein shall prevent a Party from disclosing the terms of this Agreement or such other information a Party reasonably determines, based on advice from its counsel, is necessary or desirable to disclose under applicable law, regulation or legal process (whether in connection with its ongoing disclosure obligations, in connection with a corporate activity or otherwise), including as required by the rules or regulations of the United States Securities and Exchange Commission or similar regulatory agency in a country other than the United States or of any stock exchange or NASDAQ, or in connection with a presentation or disclosure to investors or potential investors subject to customary and appropriate confidentiality restrictions.</w:t>
      </w:r>
    </w:p>
    <w:p>
      <w:pPr>
        <w:spacing w:after="0" w:line="183" w:lineRule="exact"/>
        <w:rPr>
          <w:sz w:val="20"/>
          <w:szCs w:val="20"/>
          <w:color w:val="auto"/>
        </w:rPr>
      </w:pPr>
    </w:p>
    <w:p>
      <w:pPr>
        <w:ind w:left="460" w:hanging="452"/>
        <w:spacing w:after="0"/>
        <w:tabs>
          <w:tab w:leader="none" w:pos="4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22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TESARO. TESARO represents and warrants that:</w:t>
      </w:r>
    </w:p>
    <w:p>
      <w:pPr>
        <w:spacing w:after="0" w:line="229" w:lineRule="exact"/>
        <w:rPr>
          <w:rFonts w:ascii="Arial" w:cs="Arial" w:eastAsia="Arial" w:hAnsi="Arial"/>
          <w:sz w:val="18"/>
          <w:szCs w:val="18"/>
          <w:b w:val="1"/>
          <w:bCs w:val="1"/>
          <w:color w:val="auto"/>
        </w:rPr>
      </w:pPr>
    </w:p>
    <w:p>
      <w:pPr>
        <w:ind w:right="140" w:firstLine="921"/>
        <w:spacing w:after="0" w:line="308" w:lineRule="auto"/>
        <w:tabs>
          <w:tab w:leader="none" w:pos="1168" w:val="left"/>
        </w:tabs>
        <w:numPr>
          <w:ilvl w:val="1"/>
          <w:numId w:val="176"/>
        </w:numPr>
        <w:rPr>
          <w:rFonts w:ascii="Arial" w:cs="Arial" w:eastAsia="Arial" w:hAnsi="Arial"/>
          <w:sz w:val="17"/>
          <w:szCs w:val="17"/>
          <w:b w:val="1"/>
          <w:bCs w:val="1"/>
          <w:color w:val="auto"/>
        </w:rPr>
      </w:pPr>
      <w:r>
        <w:rPr>
          <w:rFonts w:ascii="Arial" w:cs="Arial" w:eastAsia="Arial" w:hAnsi="Arial"/>
          <w:sz w:val="17"/>
          <w:szCs w:val="17"/>
          <w:color w:val="auto"/>
        </w:rPr>
        <w:t>it has the legal power, authority and right to enter into this Agreement and to fully perform all of its obligations hereunder, and has taken all necessary action on its part to authorize the execution and delivery of this Agreement and the performance of its obligations hereunder;</w:t>
      </w:r>
    </w:p>
    <w:p>
      <w:pPr>
        <w:spacing w:after="0" w:line="146" w:lineRule="exact"/>
        <w:rPr>
          <w:rFonts w:ascii="Arial" w:cs="Arial" w:eastAsia="Arial" w:hAnsi="Arial"/>
          <w:sz w:val="17"/>
          <w:szCs w:val="17"/>
          <w:b w:val="1"/>
          <w:bCs w:val="1"/>
          <w:color w:val="auto"/>
        </w:rPr>
      </w:pPr>
    </w:p>
    <w:p>
      <w:pPr>
        <w:ind w:right="100" w:firstLine="921"/>
        <w:spacing w:after="0" w:line="277" w:lineRule="auto"/>
        <w:tabs>
          <w:tab w:leader="none" w:pos="1178" w:val="left"/>
        </w:tabs>
        <w:numPr>
          <w:ilvl w:val="1"/>
          <w:numId w:val="176"/>
        </w:numPr>
        <w:rPr>
          <w:rFonts w:ascii="Arial" w:cs="Arial" w:eastAsia="Arial" w:hAnsi="Arial"/>
          <w:sz w:val="18"/>
          <w:szCs w:val="18"/>
          <w:b w:val="1"/>
          <w:bCs w:val="1"/>
          <w:color w:val="auto"/>
        </w:rPr>
      </w:pPr>
      <w:r>
        <w:rPr>
          <w:rFonts w:ascii="Arial" w:cs="Arial" w:eastAsia="Arial" w:hAnsi="Arial"/>
          <w:sz w:val="18"/>
          <w:szCs w:val="18"/>
          <w:color w:val="auto"/>
        </w:rPr>
        <w:t>this Agreement is a legal and valid obligation binding upon it and enforceable in accordance with its terms, except as such enforcement may be limited by bankruptcy, insolvency, or other similar laws affecting creditors, generally, or general principles of equity;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219" w:name="page220"/>
    <w:bookmarkEnd w:id="219"/>
    <w:p>
      <w:pPr>
        <w:ind w:left="-100" w:right="160" w:firstLine="921"/>
        <w:spacing w:after="0" w:line="277" w:lineRule="auto"/>
        <w:tabs>
          <w:tab w:leader="none" w:pos="1058"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performance of its obligations hereunder do not conflict with, violate or breach or constitute a default or require any consent under, any agreement, instrument or understanding, or other contractual obligations of TESARO;</w:t>
      </w:r>
    </w:p>
    <w:p>
      <w:pPr>
        <w:spacing w:after="0" w:line="170" w:lineRule="exact"/>
        <w:rPr>
          <w:rFonts w:ascii="Arial" w:cs="Arial" w:eastAsia="Arial" w:hAnsi="Arial"/>
          <w:sz w:val="18"/>
          <w:szCs w:val="18"/>
          <w:b w:val="1"/>
          <w:bCs w:val="1"/>
          <w:color w:val="auto"/>
        </w:rPr>
      </w:pPr>
    </w:p>
    <w:p>
      <w:pPr>
        <w:ind w:left="-100" w:firstLine="921"/>
        <w:spacing w:after="0" w:line="264" w:lineRule="auto"/>
        <w:tabs>
          <w:tab w:leader="none" w:pos="1078" w:val="left"/>
        </w:tabs>
        <w:numPr>
          <w:ilvl w:val="0"/>
          <w:numId w:val="177"/>
        </w:numPr>
        <w:rPr>
          <w:rFonts w:ascii="Arial" w:cs="Arial" w:eastAsia="Arial" w:hAnsi="Arial"/>
          <w:sz w:val="18"/>
          <w:szCs w:val="18"/>
          <w:b w:val="1"/>
          <w:bCs w:val="1"/>
          <w:color w:val="auto"/>
        </w:rPr>
      </w:pPr>
      <w:r>
        <w:rPr>
          <w:rFonts w:ascii="Arial" w:cs="Arial" w:eastAsia="Arial" w:hAnsi="Arial"/>
          <w:sz w:val="18"/>
          <w:szCs w:val="18"/>
          <w:color w:val="auto"/>
        </w:rPr>
        <w:t>no government authorization, consent, approval, license, exemption of or filing or registration with any court or governmental authority, is necessary for the transactions contemplated by this Agreement or any other agreement or instrument executed in connection herewith, or for the performance by it of its obligations under this Agreement; and</w:t>
      </w:r>
    </w:p>
    <w:p>
      <w:pPr>
        <w:spacing w:after="0" w:line="181" w:lineRule="exact"/>
        <w:rPr>
          <w:rFonts w:ascii="Arial" w:cs="Arial" w:eastAsia="Arial" w:hAnsi="Arial"/>
          <w:sz w:val="18"/>
          <w:szCs w:val="18"/>
          <w:b w:val="1"/>
          <w:bCs w:val="1"/>
          <w:color w:val="auto"/>
        </w:rPr>
      </w:pPr>
    </w:p>
    <w:p>
      <w:pPr>
        <w:ind w:left="-100" w:right="160" w:firstLine="921"/>
        <w:spacing w:after="0" w:line="279" w:lineRule="auto"/>
        <w:tabs>
          <w:tab w:leader="none" w:pos="1058" w:val="left"/>
        </w:tabs>
        <w:numPr>
          <w:ilvl w:val="0"/>
          <w:numId w:val="177"/>
        </w:numPr>
        <w:rPr>
          <w:rFonts w:ascii="Arial" w:cs="Arial" w:eastAsia="Arial" w:hAnsi="Arial"/>
          <w:sz w:val="17"/>
          <w:szCs w:val="17"/>
          <w:b w:val="1"/>
          <w:bCs w:val="1"/>
          <w:color w:val="auto"/>
        </w:rPr>
      </w:pPr>
      <w:r>
        <w:rPr>
          <w:rFonts w:ascii="Arial" w:cs="Arial" w:eastAsia="Arial" w:hAnsi="Arial"/>
          <w:sz w:val="17"/>
          <w:szCs w:val="17"/>
          <w:color w:val="auto"/>
        </w:rPr>
        <w:t>TESARO has not and shall not employ (or use any Subcontractor or consultant that employs) any individual or entity debarred by the FDA (or subject to a similar sanction of the EMA), or any individual who or entity which is the subject of an FDA debarment investigation or proceeding (or similar proceeding of EMA), or is convicted of a crime for which an individual or entity could be debarred under 21 U.S.C. Section 335a or its foreign equivalent or has been under indictment for a crime for which a person or entity could be debarred under such provision.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12.2. AnaptysBio</w:t>
      </w:r>
      <w:r>
        <w:rPr>
          <w:rFonts w:ascii="Arial" w:cs="Arial" w:eastAsia="Arial" w:hAnsi="Arial"/>
          <w:sz w:val="18"/>
          <w:szCs w:val="18"/>
          <w:color w:val="auto"/>
        </w:rPr>
        <w:t>. AnaptysBio represents and warrants that:</w:t>
      </w:r>
    </w:p>
    <w:p>
      <w:pPr>
        <w:spacing w:after="0" w:line="229" w:lineRule="exact"/>
        <w:rPr>
          <w:sz w:val="20"/>
          <w:szCs w:val="20"/>
          <w:color w:val="auto"/>
        </w:rPr>
      </w:pPr>
    </w:p>
    <w:p>
      <w:pPr>
        <w:ind w:left="-100" w:right="100" w:firstLine="921"/>
        <w:spacing w:after="0" w:line="308" w:lineRule="auto"/>
        <w:tabs>
          <w:tab w:leader="none" w:pos="1068" w:val="left"/>
        </w:tabs>
        <w:numPr>
          <w:ilvl w:val="0"/>
          <w:numId w:val="178"/>
        </w:numPr>
        <w:rPr>
          <w:rFonts w:ascii="Arial" w:cs="Arial" w:eastAsia="Arial" w:hAnsi="Arial"/>
          <w:sz w:val="17"/>
          <w:szCs w:val="17"/>
          <w:b w:val="1"/>
          <w:bCs w:val="1"/>
          <w:color w:val="auto"/>
        </w:rPr>
      </w:pPr>
      <w:r>
        <w:rPr>
          <w:rFonts w:ascii="Arial" w:cs="Arial" w:eastAsia="Arial" w:hAnsi="Arial"/>
          <w:sz w:val="17"/>
          <w:szCs w:val="17"/>
          <w:color w:val="auto"/>
        </w:rPr>
        <w:t>it has the legal power, authority and right to enter into this Agreement and to fully perform all of its obligations hereunder, and has taken all necessary action on its part to authorize the execution and delivery of this Agreement and the performance of its obligations hereunder;</w:t>
      </w:r>
    </w:p>
    <w:p>
      <w:pPr>
        <w:spacing w:after="0" w:line="146" w:lineRule="exact"/>
        <w:rPr>
          <w:rFonts w:ascii="Arial" w:cs="Arial" w:eastAsia="Arial" w:hAnsi="Arial"/>
          <w:sz w:val="17"/>
          <w:szCs w:val="17"/>
          <w:b w:val="1"/>
          <w:bCs w:val="1"/>
          <w:color w:val="auto"/>
        </w:rPr>
      </w:pPr>
    </w:p>
    <w:p>
      <w:pPr>
        <w:ind w:left="-100" w:right="60" w:firstLine="921"/>
        <w:spacing w:after="0" w:line="277" w:lineRule="auto"/>
        <w:tabs>
          <w:tab w:leader="none" w:pos="1078"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this Agreement is a legal and valid obligation binding upon it and enforceable in accordance with its terms, except as such enforcement may be limited by bankruptcy, insolvency, or other similar laws affecting creditors, generally, or general principles of equity;</w:t>
      </w:r>
    </w:p>
    <w:p>
      <w:pPr>
        <w:spacing w:after="0" w:line="170" w:lineRule="exact"/>
        <w:rPr>
          <w:rFonts w:ascii="Arial" w:cs="Arial" w:eastAsia="Arial" w:hAnsi="Arial"/>
          <w:sz w:val="18"/>
          <w:szCs w:val="18"/>
          <w:b w:val="1"/>
          <w:bCs w:val="1"/>
          <w:color w:val="auto"/>
        </w:rPr>
      </w:pPr>
    </w:p>
    <w:p>
      <w:pPr>
        <w:ind w:left="-100" w:right="160" w:firstLine="921"/>
        <w:spacing w:after="0" w:line="277" w:lineRule="auto"/>
        <w:tabs>
          <w:tab w:leader="none" w:pos="1058"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the performance of its obligations hereunder do not conflict with, violate or breach or constitute a default or require any consent under, any agreement, instrument or understanding, or other contractual obligations of AnaptysBio;</w:t>
      </w:r>
    </w:p>
    <w:p>
      <w:pPr>
        <w:spacing w:after="0" w:line="170" w:lineRule="exact"/>
        <w:rPr>
          <w:rFonts w:ascii="Arial" w:cs="Arial" w:eastAsia="Arial" w:hAnsi="Arial"/>
          <w:sz w:val="18"/>
          <w:szCs w:val="18"/>
          <w:b w:val="1"/>
          <w:bCs w:val="1"/>
          <w:color w:val="auto"/>
        </w:rPr>
      </w:pPr>
    </w:p>
    <w:p>
      <w:pPr>
        <w:ind w:left="-100" w:firstLine="921"/>
        <w:spacing w:after="0" w:line="264" w:lineRule="auto"/>
        <w:tabs>
          <w:tab w:leader="none" w:pos="1078"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no government authorization, consent, approval, license, exemption of or filing or registration with any court or governmental authority, is necessary for the transactions contemplated by this Agreement or any other agreement or instrument executed in connection herewith, or for the performance by it of its obligations under this Agreement;</w:t>
      </w:r>
    </w:p>
    <w:p>
      <w:pPr>
        <w:spacing w:after="0" w:line="181" w:lineRule="exact"/>
        <w:rPr>
          <w:rFonts w:ascii="Arial" w:cs="Arial" w:eastAsia="Arial" w:hAnsi="Arial"/>
          <w:sz w:val="18"/>
          <w:szCs w:val="18"/>
          <w:b w:val="1"/>
          <w:bCs w:val="1"/>
          <w:color w:val="auto"/>
        </w:rPr>
      </w:pPr>
    </w:p>
    <w:p>
      <w:pPr>
        <w:ind w:left="1060" w:hanging="239"/>
        <w:spacing w:after="0"/>
        <w:tabs>
          <w:tab w:leader="none" w:pos="1060"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AnaptysBio Controls the AnaptysBio Know-How and AnaptysBio Patents existing as of the Effective Date;</w:t>
      </w:r>
    </w:p>
    <w:p>
      <w:pPr>
        <w:spacing w:after="0" w:line="225" w:lineRule="exact"/>
        <w:rPr>
          <w:rFonts w:ascii="Arial" w:cs="Arial" w:eastAsia="Arial" w:hAnsi="Arial"/>
          <w:sz w:val="18"/>
          <w:szCs w:val="18"/>
          <w:b w:val="1"/>
          <w:bCs w:val="1"/>
          <w:color w:val="auto"/>
        </w:rPr>
      </w:pPr>
    </w:p>
    <w:p>
      <w:pPr>
        <w:ind w:left="-100" w:right="680" w:firstLine="921"/>
        <w:spacing w:after="0" w:line="277" w:lineRule="auto"/>
        <w:tabs>
          <w:tab w:leader="none" w:pos="1038"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AnaptysBio has the right to grant all rights and licenses it purports to grant to TESARO with respect to the AnaptysBio Know-How, AnaptysBio Patents and AnaptysBio Platform under this Agreement;</w:t>
      </w:r>
    </w:p>
    <w:p>
      <w:pPr>
        <w:spacing w:after="0" w:line="170" w:lineRule="exact"/>
        <w:rPr>
          <w:rFonts w:ascii="Arial" w:cs="Arial" w:eastAsia="Arial" w:hAnsi="Arial"/>
          <w:sz w:val="18"/>
          <w:szCs w:val="18"/>
          <w:b w:val="1"/>
          <w:bCs w:val="1"/>
          <w:color w:val="auto"/>
        </w:rPr>
      </w:pPr>
    </w:p>
    <w:p>
      <w:pPr>
        <w:ind w:left="-100" w:right="220" w:firstLine="921"/>
        <w:spacing w:after="0" w:line="277" w:lineRule="auto"/>
        <w:tabs>
          <w:tab w:leader="none" w:pos="1068" w:val="left"/>
        </w:tabs>
        <w:numPr>
          <w:ilvl w:val="0"/>
          <w:numId w:val="178"/>
        </w:numPr>
        <w:rPr>
          <w:rFonts w:ascii="Arial" w:cs="Arial" w:eastAsia="Arial" w:hAnsi="Arial"/>
          <w:sz w:val="18"/>
          <w:szCs w:val="18"/>
          <w:b w:val="1"/>
          <w:bCs w:val="1"/>
          <w:color w:val="auto"/>
        </w:rPr>
      </w:pPr>
      <w:r>
        <w:rPr>
          <w:rFonts w:ascii="Arial" w:cs="Arial" w:eastAsia="Arial" w:hAnsi="Arial"/>
          <w:sz w:val="18"/>
          <w:szCs w:val="18"/>
          <w:color w:val="auto"/>
        </w:rPr>
        <w:t>AnaptysBio has no present knowledge that any settled, pending or threatened claim or lawsuit or legal proceeding of a Third Party against AnaptysBio or any other person alleging that the AnaptysBio Know-How, AnaptysBio Patents or AnaptysBio Platform</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40" w:top="274" w:right="31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misappropriates or infringes, in part or in whole, the intellectual property or intellectual property rights of such Third Party;</w:t>
      </w:r>
    </w:p>
    <w:p>
      <w:pPr>
        <w:spacing w:after="0" w:line="225" w:lineRule="exact"/>
        <w:rPr>
          <w:sz w:val="20"/>
          <w:szCs w:val="20"/>
          <w:color w:val="auto"/>
        </w:rPr>
      </w:pPr>
    </w:p>
    <w:p>
      <w:pPr>
        <w:ind w:right="360" w:firstLine="921"/>
        <w:spacing w:after="0" w:line="342" w:lineRule="auto"/>
        <w:tabs>
          <w:tab w:leader="none" w:pos="1178" w:val="left"/>
        </w:tabs>
        <w:numPr>
          <w:ilvl w:val="0"/>
          <w:numId w:val="179"/>
        </w:numPr>
        <w:rPr>
          <w:rFonts w:ascii="Arial" w:cs="Arial" w:eastAsia="Arial" w:hAnsi="Arial"/>
          <w:sz w:val="16"/>
          <w:szCs w:val="16"/>
          <w:b w:val="1"/>
          <w:bCs w:val="1"/>
          <w:color w:val="auto"/>
        </w:rPr>
      </w:pPr>
      <w:r>
        <w:rPr>
          <w:rFonts w:ascii="Arial" w:cs="Arial" w:eastAsia="Arial" w:hAnsi="Arial"/>
          <w:sz w:val="16"/>
          <w:szCs w:val="16"/>
          <w:color w:val="auto"/>
        </w:rPr>
        <w:t>AnaptysBio has not granted any right or license to any Third Party relating to any of the AnaptysBio Know-How, AnaptysBio Patents or AnaptysBio Platform that would conflict or interfere with any of the rights or licenses granted or purported to be granted to TESARO hereunder;</w:t>
      </w:r>
    </w:p>
    <w:p>
      <w:pPr>
        <w:spacing w:after="0" w:line="123" w:lineRule="exact"/>
        <w:rPr>
          <w:rFonts w:ascii="Arial" w:cs="Arial" w:eastAsia="Arial" w:hAnsi="Arial"/>
          <w:sz w:val="16"/>
          <w:szCs w:val="16"/>
          <w:b w:val="1"/>
          <w:bCs w:val="1"/>
          <w:color w:val="auto"/>
        </w:rPr>
      </w:pPr>
    </w:p>
    <w:p>
      <w:pPr>
        <w:ind w:right="20" w:firstLine="921"/>
        <w:spacing w:after="0" w:line="302" w:lineRule="auto"/>
        <w:tabs>
          <w:tab w:leader="none" w:pos="1128" w:val="left"/>
        </w:tabs>
        <w:numPr>
          <w:ilvl w:val="0"/>
          <w:numId w:val="179"/>
        </w:numPr>
        <w:rPr>
          <w:rFonts w:ascii="Arial" w:cs="Arial" w:eastAsia="Arial" w:hAnsi="Arial"/>
          <w:sz w:val="16"/>
          <w:szCs w:val="16"/>
          <w:b w:val="1"/>
          <w:bCs w:val="1"/>
          <w:color w:val="auto"/>
        </w:rPr>
      </w:pPr>
      <w:r>
        <w:rPr>
          <w:rFonts w:ascii="Arial" w:cs="Arial" w:eastAsia="Arial" w:hAnsi="Arial"/>
          <w:sz w:val="16"/>
          <w:szCs w:val="16"/>
          <w:color w:val="auto"/>
        </w:rPr>
        <w:t>Schedule 12.2(i) attached hereto sets forth a complete and accurate list of the AnaptysBio Patents as of the Effective Date, indicating the owner or co-owners thereof if such AnaptysBio Patent is not solely owned by AnaptysBio. AnaptysBio has disclosed to TESARO all material information received by AnaptysBio as of the Effective Date concerning the institution of any interference, opposition, reexamination, reissue, revocation, nullification or any official proceeding involving any AnaptysBio Patent or Patent included in the AnaptysBio Platform anywhere in the Territory;</w:t>
      </w:r>
    </w:p>
    <w:p>
      <w:pPr>
        <w:spacing w:after="0" w:line="154" w:lineRule="exact"/>
        <w:rPr>
          <w:rFonts w:ascii="Arial" w:cs="Arial" w:eastAsia="Arial" w:hAnsi="Arial"/>
          <w:sz w:val="16"/>
          <w:szCs w:val="16"/>
          <w:b w:val="1"/>
          <w:bCs w:val="1"/>
          <w:color w:val="auto"/>
        </w:rPr>
      </w:pPr>
    </w:p>
    <w:p>
      <w:pPr>
        <w:ind w:right="360" w:firstLine="921"/>
        <w:spacing w:after="0" w:line="277" w:lineRule="auto"/>
        <w:tabs>
          <w:tab w:leader="none" w:pos="1138"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To the best of AnaptysBio’s knowledge as of the Effective Date, Exhibit C attached to the Supplemental Information Package sets forth a complete and accurate list of all Target Antagonists owned or Controlled by AnaptysBio as of the Effective Date;</w:t>
      </w:r>
    </w:p>
    <w:p>
      <w:pPr>
        <w:spacing w:after="0" w:line="170" w:lineRule="exact"/>
        <w:rPr>
          <w:rFonts w:ascii="Arial" w:cs="Arial" w:eastAsia="Arial" w:hAnsi="Arial"/>
          <w:sz w:val="18"/>
          <w:szCs w:val="18"/>
          <w:b w:val="1"/>
          <w:bCs w:val="1"/>
          <w:color w:val="auto"/>
        </w:rPr>
      </w:pPr>
    </w:p>
    <w:p>
      <w:pPr>
        <w:ind w:firstLine="921"/>
        <w:spacing w:after="0" w:line="264" w:lineRule="auto"/>
        <w:tabs>
          <w:tab w:leader="none" w:pos="1175"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To the best of AnaptysBio’s knowledge as of the Effective Date, TESARO will not be required to obtain a license or sublicense under any Third Party In-License for TESARO to research, develop, make, have made, use, sell, offer for sale, import and export Products for use in the Field and in the Territory pursuant to the rights and licenses granted to it under this Agreement;</w:t>
      </w:r>
    </w:p>
    <w:p>
      <w:pPr>
        <w:spacing w:after="0" w:line="181" w:lineRule="exact"/>
        <w:rPr>
          <w:rFonts w:ascii="Arial" w:cs="Arial" w:eastAsia="Arial" w:hAnsi="Arial"/>
          <w:sz w:val="18"/>
          <w:szCs w:val="18"/>
          <w:b w:val="1"/>
          <w:bCs w:val="1"/>
          <w:color w:val="auto"/>
        </w:rPr>
      </w:pPr>
    </w:p>
    <w:p>
      <w:pPr>
        <w:ind w:right="60" w:firstLine="921"/>
        <w:spacing w:after="0" w:line="279" w:lineRule="auto"/>
        <w:tabs>
          <w:tab w:leader="none" w:pos="1128" w:val="left"/>
        </w:tabs>
        <w:numPr>
          <w:ilvl w:val="0"/>
          <w:numId w:val="179"/>
        </w:numPr>
        <w:rPr>
          <w:rFonts w:ascii="Arial" w:cs="Arial" w:eastAsia="Arial" w:hAnsi="Arial"/>
          <w:sz w:val="17"/>
          <w:szCs w:val="17"/>
          <w:b w:val="1"/>
          <w:bCs w:val="1"/>
          <w:color w:val="auto"/>
        </w:rPr>
      </w:pPr>
      <w:r>
        <w:rPr>
          <w:rFonts w:ascii="Arial" w:cs="Arial" w:eastAsia="Arial" w:hAnsi="Arial"/>
          <w:sz w:val="17"/>
          <w:szCs w:val="17"/>
          <w:color w:val="auto"/>
        </w:rPr>
        <w:t>AnaptysBio has not and shall not employ (or use any Subcontractor or consultant that employs) any individual or entity debarred by the FDA (or subject to a similar sanction of the EMA), or any individual who or entity which is the subject of an FDA debarment investigation or proceeding (or similar proceeding of EMA), or is convicted of a crime for which an individual or entity could be debarred under 21 U.S.C. Section 335a or its foreign equivalent or has been under indictment for a crime for which a person or entity could be debarred under such provision; and</w:t>
      </w:r>
    </w:p>
    <w:p>
      <w:pPr>
        <w:spacing w:after="0" w:line="171" w:lineRule="exact"/>
        <w:rPr>
          <w:rFonts w:ascii="Arial" w:cs="Arial" w:eastAsia="Arial" w:hAnsi="Arial"/>
          <w:sz w:val="17"/>
          <w:szCs w:val="17"/>
          <w:b w:val="1"/>
          <w:bCs w:val="1"/>
          <w:color w:val="auto"/>
        </w:rPr>
      </w:pPr>
    </w:p>
    <w:p>
      <w:pPr>
        <w:ind w:right="20" w:firstLine="921"/>
        <w:spacing w:after="0" w:line="255" w:lineRule="auto"/>
        <w:tabs>
          <w:tab w:leader="none" w:pos="1228" w:val="left"/>
        </w:tabs>
        <w:numPr>
          <w:ilvl w:val="0"/>
          <w:numId w:val="179"/>
        </w:numPr>
        <w:rPr>
          <w:rFonts w:ascii="Arial" w:cs="Arial" w:eastAsia="Arial" w:hAnsi="Arial"/>
          <w:sz w:val="18"/>
          <w:szCs w:val="18"/>
          <w:b w:val="1"/>
          <w:bCs w:val="1"/>
          <w:color w:val="auto"/>
        </w:rPr>
      </w:pPr>
      <w:r>
        <w:rPr>
          <w:rFonts w:ascii="Arial" w:cs="Arial" w:eastAsia="Arial" w:hAnsi="Arial"/>
          <w:sz w:val="18"/>
          <w:szCs w:val="18"/>
          <w:color w:val="auto"/>
        </w:rPr>
        <w:t>AnaptysBio acknowledges that, in entering into this Agreement, TESARO has relied upon information supplied by AnaptysBio and information which AnaptysBio has caused to be supplied to TESARO by AnaptysBio’s agents and/or representatives (all of such information being hereinafter referred to collectively as “</w:t>
      </w:r>
      <w:r>
        <w:rPr>
          <w:rFonts w:ascii="Arial" w:cs="Arial" w:eastAsia="Arial" w:hAnsi="Arial"/>
          <w:sz w:val="18"/>
          <w:szCs w:val="18"/>
          <w:b w:val="1"/>
          <w:bCs w:val="1"/>
          <w:color w:val="auto"/>
        </w:rPr>
        <w:t>Product Information</w:t>
      </w:r>
      <w:r>
        <w:rPr>
          <w:rFonts w:ascii="Arial" w:cs="Arial" w:eastAsia="Arial" w:hAnsi="Arial"/>
          <w:sz w:val="18"/>
          <w:szCs w:val="18"/>
          <w:color w:val="auto"/>
        </w:rPr>
        <w:t>”). To the knowledge of AnaptysBio as of the Effective Date, the Product Information is accurate in all material respects. AnaptysBio has not, as of the Effective Date, intentionally omitted to furnish TESARO with any material information known to AnaptysBio concerning the AnaptysBio IP Rights, AnaptysBio Platform or Development Antibodies, or the transactions contemplated by this Agreement, which would reasonably be considered to be material to TESARO’s decision to enter into this Agreement and to undertake the commitments and obligations set forth herein.</w:t>
      </w:r>
    </w:p>
    <w:p>
      <w:pPr>
        <w:spacing w:after="0" w:line="185"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12.3. Disclaimer</w:t>
      </w:r>
      <w:r>
        <w:rPr>
          <w:rFonts w:ascii="Arial" w:cs="Arial" w:eastAsia="Arial" w:hAnsi="Arial"/>
          <w:sz w:val="18"/>
          <w:szCs w:val="18"/>
          <w:color w:val="auto"/>
        </w:rPr>
        <w:t>. TESARO and AnaptysBio specifically disclaim any guarantee that the Discovery Programs will be successful,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The failure of the Parties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4" w:right="279" w:bottom="1440" w:gutter="0" w:footer="0" w:header="0"/>
        </w:sectPr>
      </w:pPr>
    </w:p>
    <w:bookmarkStart w:id="221" w:name="page222"/>
    <w:bookmarkEnd w:id="221"/>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successfully develop Products will not constitute a breach of any representation or warranty or other obligation under this Agreement. EXCEPT AS OTHERWISE EXPRESSLY SET FORTH IN THIS AGREEMENT, ANAPTYSBIO AND TESARO MAKE NO REPRESENTATIONS AND EXTEND NO WARRANTIES OR CONDITIONS OF ANY KIND, EITHER EXPRESS OR IMPLIED, WITH RESPECT TO THE ANAPTYSBIO IP RIGHTS, INFORMATION DISCLOSED HEREUNDER OR PRODUCTS INCLUDING, BUT NOT LIMITED TO, WARRANTIES OF MERCHANTABILITY, FITNESS FOR A PARTICULAR PURPOSE, OR NONINFRINGEMENT OF THE INTELLECTUAL PROPERTY RIGHTS OF THIRD PARTIES.</w:t>
      </w:r>
    </w:p>
    <w:p>
      <w:pPr>
        <w:spacing w:after="0" w:line="196"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b w:val="1"/>
          <w:bCs w:val="1"/>
          <w:color w:val="auto"/>
        </w:rPr>
        <w:t>13.1. TESARO</w:t>
      </w:r>
      <w:r>
        <w:rPr>
          <w:rFonts w:ascii="Arial" w:cs="Arial" w:eastAsia="Arial" w:hAnsi="Arial"/>
          <w:sz w:val="17"/>
          <w:szCs w:val="17"/>
          <w:color w:val="auto"/>
        </w:rPr>
        <w:t>. TESARO agrees to indemnify, defend and hold AnaptysBio and its Affiliates and their respective directors, officers,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agents and their respective successors, heirs and assigns (the “</w:t>
      </w:r>
      <w:r>
        <w:rPr>
          <w:rFonts w:ascii="Arial" w:cs="Arial" w:eastAsia="Arial" w:hAnsi="Arial"/>
          <w:sz w:val="17"/>
          <w:szCs w:val="17"/>
          <w:b w:val="1"/>
          <w:bCs w:val="1"/>
          <w:color w:val="auto"/>
        </w:rPr>
        <w:t>AnaptysBio Indemnitees</w:t>
      </w:r>
      <w:r>
        <w:rPr>
          <w:rFonts w:ascii="Arial" w:cs="Arial" w:eastAsia="Arial" w:hAnsi="Arial"/>
          <w:sz w:val="17"/>
          <w:szCs w:val="17"/>
          <w:color w:val="auto"/>
        </w:rPr>
        <w:t>”) harmless from and against any losses, costs, claims, damages, liabilities or expense (including reasonable attorneys’ and professional fees and other expenses of litigation) (collectively, “</w:t>
      </w:r>
      <w:r>
        <w:rPr>
          <w:rFonts w:ascii="Arial" w:cs="Arial" w:eastAsia="Arial" w:hAnsi="Arial"/>
          <w:sz w:val="17"/>
          <w:szCs w:val="17"/>
          <w:b w:val="1"/>
          <w:bCs w:val="1"/>
          <w:color w:val="auto"/>
        </w:rPr>
        <w:t>Liabilities</w:t>
      </w:r>
      <w:r>
        <w:rPr>
          <w:rFonts w:ascii="Arial" w:cs="Arial" w:eastAsia="Arial" w:hAnsi="Arial"/>
          <w:sz w:val="17"/>
          <w:szCs w:val="17"/>
          <w:color w:val="auto"/>
        </w:rPr>
        <w:t>”) arising, directly or indirectly out of or in connection with Third Party claims, suits, actions, demands or judgments, relating to (i) any breach by TESARO of the representations and warranties made in this Agreement, or (ii) the development or commercialization of a Product, except, in each case, to the extent such Liabilities result from the gross negligence or intentional misconduct of AnaptysBio.</w:t>
      </w:r>
    </w:p>
    <w:p>
      <w:pPr>
        <w:spacing w:after="0" w:line="174" w:lineRule="exact"/>
        <w:rPr>
          <w:sz w:val="20"/>
          <w:szCs w:val="20"/>
          <w:color w:val="auto"/>
        </w:rPr>
      </w:pPr>
    </w:p>
    <w:p>
      <w:pPr>
        <w:ind w:right="160" w:firstLine="456"/>
        <w:spacing w:after="0" w:line="303" w:lineRule="auto"/>
        <w:rPr>
          <w:sz w:val="20"/>
          <w:szCs w:val="20"/>
          <w:color w:val="auto"/>
        </w:rPr>
      </w:pPr>
      <w:r>
        <w:rPr>
          <w:rFonts w:ascii="Arial" w:cs="Arial" w:eastAsia="Arial" w:hAnsi="Arial"/>
          <w:sz w:val="16"/>
          <w:szCs w:val="16"/>
          <w:b w:val="1"/>
          <w:bCs w:val="1"/>
          <w:color w:val="auto"/>
        </w:rPr>
        <w:t>13.2. AnaptysBio</w:t>
      </w:r>
      <w:r>
        <w:rPr>
          <w:rFonts w:ascii="Arial" w:cs="Arial" w:eastAsia="Arial" w:hAnsi="Arial"/>
          <w:sz w:val="16"/>
          <w:szCs w:val="16"/>
          <w:color w:val="auto"/>
        </w:rPr>
        <w:t>. AnaptysBio agrees to indemnify, defend and hold TESARO and its Affiliates and their respective directors, officers,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and their respective successors, heirs and assigns (the “</w:t>
      </w:r>
      <w:r>
        <w:rPr>
          <w:rFonts w:ascii="Arial" w:cs="Arial" w:eastAsia="Arial" w:hAnsi="Arial"/>
          <w:sz w:val="16"/>
          <w:szCs w:val="16"/>
          <w:b w:val="1"/>
          <w:bCs w:val="1"/>
          <w:color w:val="auto"/>
        </w:rPr>
        <w:t>TESARO Indemnitees</w:t>
      </w:r>
      <w:r>
        <w:rPr>
          <w:rFonts w:ascii="Arial" w:cs="Arial" w:eastAsia="Arial" w:hAnsi="Arial"/>
          <w:sz w:val="16"/>
          <w:szCs w:val="16"/>
          <w:color w:val="auto"/>
        </w:rPr>
        <w:t>”) harmless from and against any Liabilities arising, directly or indirectly out of or in connection with Third Party claims, suits, actions, demands or judgments, relating to any breach by AnaptysBio of its representations and warranties made in this Agreement, except to the extent such Liabilities result from the gross negligence or intentional misconduct of TESARO.</w:t>
      </w:r>
    </w:p>
    <w:p>
      <w:pPr>
        <w:spacing w:after="0" w:line="15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13.3. Indemnification Procedure</w:t>
      </w:r>
      <w:r>
        <w:rPr>
          <w:rFonts w:ascii="Arial" w:cs="Arial" w:eastAsia="Arial" w:hAnsi="Arial"/>
          <w:sz w:val="17"/>
          <w:szCs w:val="17"/>
          <w:color w:val="auto"/>
        </w:rPr>
        <w:t>. A Party that intends to claim indemnification (the “Indemnitee”) under this Section 13 shall promptly notify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 (the “</w:t>
      </w:r>
      <w:r>
        <w:rPr>
          <w:rFonts w:ascii="Arial" w:cs="Arial" w:eastAsia="Arial" w:hAnsi="Arial"/>
          <w:sz w:val="17"/>
          <w:szCs w:val="17"/>
          <w:b w:val="1"/>
          <w:bCs w:val="1"/>
          <w:color w:val="auto"/>
        </w:rPr>
        <w:t>Indemnitor</w:t>
      </w:r>
      <w:r>
        <w:rPr>
          <w:rFonts w:ascii="Arial" w:cs="Arial" w:eastAsia="Arial" w:hAnsi="Arial"/>
          <w:sz w:val="17"/>
          <w:szCs w:val="17"/>
          <w:color w:val="auto"/>
        </w:rPr>
        <w:t>”) in writing of any claim, complaint, suit, proceeding or cause of action with respect to which the Indemnitee intends to claim such indemnification (for purposes of this Section 13.3, each a “</w:t>
      </w:r>
      <w:r>
        <w:rPr>
          <w:rFonts w:ascii="Arial" w:cs="Arial" w:eastAsia="Arial" w:hAnsi="Arial"/>
          <w:sz w:val="17"/>
          <w:szCs w:val="17"/>
          <w:b w:val="1"/>
          <w:bCs w:val="1"/>
          <w:color w:val="auto"/>
        </w:rPr>
        <w:t>Claim</w:t>
      </w:r>
      <w:r>
        <w:rPr>
          <w:rFonts w:ascii="Arial" w:cs="Arial" w:eastAsia="Arial" w:hAnsi="Arial"/>
          <w:sz w:val="17"/>
          <w:szCs w:val="17"/>
          <w:color w:val="auto"/>
        </w:rPr>
        <w:t>”), and the Indemnitor shall have sole control of the defense and/or settlement thereof; provided that the Indemnitee shall have the right to participate, at its own expense, with counsel of its own choosing in the defense and/or settlement of such Claim. The indemnification obligations of the Parties under this Section 13 shall not apply to amounts paid in settlement of any Claim if such settlement is effected without the consent of the Indemnitor, which consent shall not be withheld or delayed unreasonably. The failure to deliver written notice to the Indemnitor within a reasonable time after the commencement of any such Claim, if prejudicial to its ability to defend such action, shall relieve such Indemnitor of any liability to the Indemnitee under this Section 13, but the omission so to deliver written notice to the Indemnitor shall not relieve the Indemnitor of any liability to any Indemnitee otherwise than under this Section 13. The Indemnitee under this Section 13, and its employees, at the Indemnitor’s request and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222" w:name="page223"/>
    <w:bookmarkEnd w:id="222"/>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 shall provide full information and reasonable assistance to Indemnitor and its legal representatives with respect to such Claims covered by this indemnification.</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13.4. LIMITATION OF LIABILITY</w:t>
      </w:r>
      <w:r>
        <w:rPr>
          <w:rFonts w:ascii="Arial" w:cs="Arial" w:eastAsia="Arial" w:hAnsi="Arial"/>
          <w:sz w:val="18"/>
          <w:szCs w:val="18"/>
          <w:color w:val="auto"/>
        </w:rPr>
        <w:t>. EXCEPT FOR A BREACH OF ARTICLES 10 OR 11, OR FOR ACTS OF GROSS NEGLIGENCE OR</w:t>
      </w:r>
      <w:r>
        <w:rPr>
          <w:rFonts w:ascii="Arial" w:cs="Arial" w:eastAsia="Arial" w:hAnsi="Arial"/>
          <w:sz w:val="18"/>
          <w:szCs w:val="18"/>
          <w:b w:val="1"/>
          <w:bCs w:val="1"/>
          <w:color w:val="auto"/>
        </w:rPr>
        <w:t xml:space="preserve"> </w:t>
      </w:r>
      <w:r>
        <w:rPr>
          <w:rFonts w:ascii="Arial" w:cs="Arial" w:eastAsia="Arial" w:hAnsi="Arial"/>
          <w:sz w:val="18"/>
          <w:szCs w:val="18"/>
          <w:color w:val="auto"/>
        </w:rPr>
        <w:t>WRONGFUL INTENTIONAL ACTS OR OMISSIONS, NEITHER TESARO NOR ANAPTYSBIO, NOR ANY OF THEIR RESPECTIVE AFFILIATES OR SUBLICENSEES, SHALL BE LIABLE TO THE OTHER PARTY, ITS AFFILIATES OR ANY OF THEIR SUBLICENSEES FOR ANY INDIRECT, INCIDENTAL, CONSEQUENTIAL, SPECIAL, RELIANCE OR PUNITIVE DAMAGES OR LOST OR IMPUTED PROFITS, WHETHER LIABILITY IS ASSERTED IN CONTRACT, TORT (INCLUDING NEGLIGENCE AND STRICT PRODUCT LIABILITY), INDEMNITY OR CONTRIBUTION, AND IRRESPECTIVE OF WHETHER THAT PARTY OR ANY REPRESENTATIVE OF THAT PARTY HAS BEEN ADVISED OF, OR OTHERWISE MIGHT HAVE ANTICIPATED THE POSSIBILITY OF, ANY SUCH LOSS OR DAMAGE; PROVIDED, THAT THIS LIMITATION WILL NOT LIMIT THE INDEMNIFICATION OBLIGATION OF A PARTY UNDER THE PROVISIONS OF ARTICLE 13 FOR SUCH DAMAGES CLAIMED BY A THIRD PARTY.</w:t>
      </w:r>
    </w:p>
    <w:p>
      <w:pPr>
        <w:spacing w:after="0" w:line="216" w:lineRule="exact"/>
        <w:rPr>
          <w:sz w:val="20"/>
          <w:szCs w:val="20"/>
          <w:color w:val="auto"/>
        </w:rPr>
      </w:pPr>
    </w:p>
    <w:p>
      <w:pPr>
        <w:ind w:left="460" w:hanging="452"/>
        <w:spacing w:after="0"/>
        <w:tabs>
          <w:tab w:leader="none" w:pos="46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14.1. Term</w:t>
      </w:r>
      <w:r>
        <w:rPr>
          <w:rFonts w:ascii="Arial" w:cs="Arial" w:eastAsia="Arial" w:hAnsi="Arial"/>
          <w:sz w:val="16"/>
          <w:szCs w:val="16"/>
          <w:color w:val="auto"/>
        </w:rPr>
        <w:t>. Unless earlier terminated, the Agreement will continue in full force and effect, on a Product-by-Product, Discovery Program-by-Discovery</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Development Program-by-Development Program and country-by-country basis until the date no further payments are due under Section 6 above.</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14.2. Termination for Breach</w:t>
      </w:r>
      <w:r>
        <w:rPr>
          <w:rFonts w:ascii="Arial" w:cs="Arial" w:eastAsia="Arial" w:hAnsi="Arial"/>
          <w:sz w:val="18"/>
          <w:szCs w:val="18"/>
          <w:color w:val="auto"/>
        </w:rPr>
        <w:t>. Either Party to this Agreement may terminate one or more Discovery Program(s), Development Program(s) and/or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 the event the other Party hereto shall have materially breached or defaulted in any of its representations or warranties or the performance of any of its obligations hereunder, and such default shall have continued for sixty (60) days after written notice thereof was provided to the breaching Party by the non-breaching Party. Any termination shall become effective at the end of such sixty (60) day period unless the breaching Party (or any other Party on its behalf) has cured any such breach or default prior to the expiration of the sixty (60) day period; provided, however, in the case of a failure to pay any amount due hereunder, such default may be the basis of termination ten (10) business days following the date that notice of such default was provided to the breaching Party.</w:t>
      </w:r>
    </w:p>
    <w:p>
      <w:pPr>
        <w:spacing w:after="0" w:line="189"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14.3. Termination without cause by TESARO</w:t>
      </w:r>
      <w:r>
        <w:rPr>
          <w:rFonts w:ascii="Arial" w:cs="Arial" w:eastAsia="Arial" w:hAnsi="Arial"/>
          <w:sz w:val="16"/>
          <w:szCs w:val="16"/>
          <w:color w:val="auto"/>
        </w:rPr>
        <w:t>. TESARO may terminate this Agreement in its entirety or on a Discovery Program-by-Discovery</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or Development Program-by-Development Program basis without cause upon ninety (90) days prior written notice to AnaptysBio.</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14.4. Effect of Breach or Termination</w:t>
      </w:r>
      <w:r>
        <w:rPr>
          <w:rFonts w:ascii="Arial" w:cs="Arial" w:eastAsia="Arial" w:hAnsi="Arial"/>
          <w:sz w:val="18"/>
          <w:szCs w:val="18"/>
          <w:color w:val="auto"/>
        </w:rPr>
        <w:t>.</w:t>
      </w:r>
    </w:p>
    <w:p>
      <w:pPr>
        <w:spacing w:after="0" w:line="225" w:lineRule="exact"/>
        <w:rPr>
          <w:sz w:val="20"/>
          <w:szCs w:val="20"/>
          <w:color w:val="auto"/>
        </w:rPr>
      </w:pPr>
    </w:p>
    <w:p>
      <w:pPr>
        <w:ind w:right="120" w:firstLine="921"/>
        <w:spacing w:after="0" w:line="282" w:lineRule="auto"/>
        <w:tabs>
          <w:tab w:leader="none" w:pos="1168"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Accrued Rights and Obligations</w:t>
      </w:r>
      <w:r>
        <w:rPr>
          <w:rFonts w:ascii="Arial" w:cs="Arial" w:eastAsia="Arial" w:hAnsi="Arial"/>
          <w:sz w:val="18"/>
          <w:szCs w:val="18"/>
          <w:color w:val="auto"/>
        </w:rPr>
        <w:t>. Termination of this Agreement, or any portion hereof, for any reason shall not release either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from any liability which, at the time of such termination, has already accrued to the other Party or which is attributable to a</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223" w:name="page224"/>
    <w:bookmarkEnd w:id="223"/>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 prior to such termination nor preclude either Party from pursuing any rights and remedies it may have hereunder or at law or in equity with respect to any breach of this Agreement.</w:t>
      </w:r>
    </w:p>
    <w:p>
      <w:pPr>
        <w:spacing w:after="0" w:line="170" w:lineRule="exact"/>
        <w:rPr>
          <w:sz w:val="20"/>
          <w:szCs w:val="20"/>
          <w:color w:val="auto"/>
        </w:rPr>
      </w:pPr>
    </w:p>
    <w:p>
      <w:pPr>
        <w:ind w:right="220" w:firstLine="921"/>
        <w:spacing w:after="0" w:line="276" w:lineRule="auto"/>
        <w:tabs>
          <w:tab w:leader="none" w:pos="1178" w:val="left"/>
        </w:tabs>
        <w:numPr>
          <w:ilvl w:val="0"/>
          <w:numId w:val="183"/>
        </w:numPr>
        <w:rPr>
          <w:rFonts w:ascii="Arial" w:cs="Arial" w:eastAsia="Arial" w:hAnsi="Arial"/>
          <w:sz w:val="17"/>
          <w:szCs w:val="17"/>
          <w:b w:val="1"/>
          <w:bCs w:val="1"/>
          <w:color w:val="auto"/>
        </w:rPr>
      </w:pPr>
      <w:r>
        <w:rPr>
          <w:rFonts w:ascii="Arial" w:cs="Arial" w:eastAsia="Arial" w:hAnsi="Arial"/>
          <w:sz w:val="17"/>
          <w:szCs w:val="17"/>
          <w:color w:val="auto"/>
        </w:rPr>
        <w:t>Return of Materials. Upon a termination of this Agreement, in its entirety, TESARO and AnaptysBio shall promptly return to the other all Confidential Information of the other Party, except one copy of which may be retained for archival purposes. Upon termination of this Agreement, a Discovery Program or a Development Program by TESARO pursuant to Section 14.3, or by AnaptysBio pursuant to Section 14.2, TESARO shall return to AnaptysBio copies of records received by TESARO pursuant to Section 2.9 or, if only a Discovery Program or a Development Program is terminated, then those records received by TESARO pursuant to Section 2.9, with respect to the terminated program.</w:t>
      </w:r>
    </w:p>
    <w:p>
      <w:pPr>
        <w:spacing w:after="0" w:line="172" w:lineRule="exact"/>
        <w:rPr>
          <w:rFonts w:ascii="Arial" w:cs="Arial" w:eastAsia="Arial" w:hAnsi="Arial"/>
          <w:sz w:val="17"/>
          <w:szCs w:val="17"/>
          <w:b w:val="1"/>
          <w:bCs w:val="1"/>
          <w:color w:val="auto"/>
        </w:rPr>
      </w:pPr>
    </w:p>
    <w:p>
      <w:pPr>
        <w:ind w:firstLine="921"/>
        <w:spacing w:after="0" w:line="264" w:lineRule="auto"/>
        <w:tabs>
          <w:tab w:leader="none" w:pos="1158" w:val="left"/>
        </w:tabs>
        <w:numPr>
          <w:ilvl w:val="0"/>
          <w:numId w:val="183"/>
        </w:numPr>
        <w:rPr>
          <w:rFonts w:ascii="Arial" w:cs="Arial" w:eastAsia="Arial" w:hAnsi="Arial"/>
          <w:sz w:val="18"/>
          <w:szCs w:val="18"/>
          <w:b w:val="1"/>
          <w:bCs w:val="1"/>
          <w:color w:val="auto"/>
        </w:rPr>
      </w:pPr>
      <w:r>
        <w:rPr>
          <w:rFonts w:ascii="Arial" w:cs="Arial" w:eastAsia="Arial" w:hAnsi="Arial"/>
          <w:sz w:val="18"/>
          <w:szCs w:val="18"/>
          <w:color w:val="auto"/>
        </w:rPr>
        <w:t>Effect of Termination of Agreement by TESARO Without Cause or by AnaptysBio for Breach by TESARO. If TESARO terminates this Agreement in its entirety without cause pursuant to Section 14.3 or if AnaptysBio terminates this Agreement in its entirety pursuant to Section 14.2 for breach by TESARO, then:</w:t>
      </w:r>
    </w:p>
    <w:p>
      <w:pPr>
        <w:spacing w:after="0" w:line="181" w:lineRule="exact"/>
        <w:rPr>
          <w:rFonts w:ascii="Arial" w:cs="Arial" w:eastAsia="Arial" w:hAnsi="Arial"/>
          <w:sz w:val="18"/>
          <w:szCs w:val="18"/>
          <w:b w:val="1"/>
          <w:bCs w:val="1"/>
          <w:color w:val="auto"/>
        </w:rPr>
      </w:pPr>
    </w:p>
    <w:p>
      <w:pPr>
        <w:ind w:right="60" w:firstLine="1492"/>
        <w:spacing w:after="0" w:line="259" w:lineRule="auto"/>
        <w:tabs>
          <w:tab w:leader="none" w:pos="1698"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all licenses and rights to TESARO under Section 5.1 shall concurrently terminate, and TESARO and its Affiliates and sublicensees shall immediately cease all manufacture, development and commercialization of Products; provided, that TESARO and its Affiliates, sublicensees and distributors shall be entitled, during the twelve (12) month period immediately following the effective date of termination, to finish any work-in-progress and to sell any Products remaining in inventory, in accordance with the terms of this Agreement;</w:t>
      </w:r>
    </w:p>
    <w:p>
      <w:pPr>
        <w:spacing w:after="0" w:line="186" w:lineRule="exact"/>
        <w:rPr>
          <w:rFonts w:ascii="Arial" w:cs="Arial" w:eastAsia="Arial" w:hAnsi="Arial"/>
          <w:sz w:val="18"/>
          <w:szCs w:val="18"/>
          <w:b w:val="1"/>
          <w:bCs w:val="1"/>
          <w:color w:val="auto"/>
        </w:rPr>
      </w:pPr>
    </w:p>
    <w:p>
      <w:pPr>
        <w:ind w:right="20" w:firstLine="1492"/>
        <w:spacing w:after="0" w:line="264" w:lineRule="auto"/>
        <w:tabs>
          <w:tab w:leader="none" w:pos="1748"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w:t>
      </w:r>
    </w:p>
    <w:p>
      <w:pPr>
        <w:spacing w:after="0" w:line="181" w:lineRule="exact"/>
        <w:rPr>
          <w:rFonts w:ascii="Arial" w:cs="Arial" w:eastAsia="Arial" w:hAnsi="Arial"/>
          <w:sz w:val="18"/>
          <w:szCs w:val="18"/>
          <w:b w:val="1"/>
          <w:bCs w:val="1"/>
          <w:color w:val="auto"/>
        </w:rPr>
      </w:pPr>
    </w:p>
    <w:p>
      <w:pPr>
        <w:ind w:firstLine="1492"/>
        <w:spacing w:after="0" w:line="312" w:lineRule="auto"/>
        <w:tabs>
          <w:tab w:leader="none" w:pos="1798" w:val="left"/>
        </w:tabs>
        <w:numPr>
          <w:ilvl w:val="1"/>
          <w:numId w:val="183"/>
        </w:numPr>
        <w:rPr>
          <w:rFonts w:ascii="Arial" w:cs="Arial" w:eastAsia="Arial" w:hAnsi="Arial"/>
          <w:sz w:val="16"/>
          <w:szCs w:val="16"/>
          <w:b w:val="1"/>
          <w:bCs w:val="1"/>
          <w:color w:val="auto"/>
        </w:rPr>
      </w:pPr>
      <w:r>
        <w:rPr>
          <w:rFonts w:ascii="Arial" w:cs="Arial" w:eastAsia="Arial" w:hAnsi="Arial"/>
          <w:sz w:val="16"/>
          <w:szCs w:val="16"/>
          <w:color w:val="auto"/>
        </w:rPr>
        <w:t>To the extent permitted by applicable regulatory authorities, TESARO shall and hereby does transfer to AnaptysBio all regulatory filings and regulatory approvals for the Products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46" w:lineRule="exact"/>
        <w:rPr>
          <w:rFonts w:ascii="Arial" w:cs="Arial" w:eastAsia="Arial" w:hAnsi="Arial"/>
          <w:sz w:val="16"/>
          <w:szCs w:val="16"/>
          <w:b w:val="1"/>
          <w:bCs w:val="1"/>
          <w:color w:val="auto"/>
        </w:rPr>
      </w:pPr>
    </w:p>
    <w:p>
      <w:pPr>
        <w:ind w:left="1800" w:hanging="308"/>
        <w:spacing w:after="0"/>
        <w:tabs>
          <w:tab w:leader="none" w:pos="1800" w:val="left"/>
        </w:tabs>
        <w:numPr>
          <w:ilvl w:val="1"/>
          <w:numId w:val="183"/>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and</w:t>
      </w:r>
    </w:p>
    <w:p>
      <w:pPr>
        <w:spacing w:after="0" w:line="225" w:lineRule="exact"/>
        <w:rPr>
          <w:rFonts w:ascii="Arial" w:cs="Arial" w:eastAsia="Arial" w:hAnsi="Arial"/>
          <w:sz w:val="18"/>
          <w:szCs w:val="18"/>
          <w:b w:val="1"/>
          <w:bCs w:val="1"/>
          <w:color w:val="auto"/>
        </w:rPr>
      </w:pPr>
    </w:p>
    <w:p>
      <w:pPr>
        <w:ind w:firstLine="1492"/>
        <w:spacing w:after="0" w:line="276" w:lineRule="auto"/>
        <w:tabs>
          <w:tab w:leader="none" w:pos="1738" w:val="left"/>
        </w:tabs>
        <w:numPr>
          <w:ilvl w:val="1"/>
          <w:numId w:val="183"/>
        </w:numPr>
        <w:rPr>
          <w:rFonts w:ascii="Arial" w:cs="Arial" w:eastAsia="Arial" w:hAnsi="Arial"/>
          <w:sz w:val="17"/>
          <w:szCs w:val="17"/>
          <w:b w:val="1"/>
          <w:bCs w:val="1"/>
          <w:color w:val="auto"/>
        </w:rPr>
      </w:pPr>
      <w:r>
        <w:rPr>
          <w:rFonts w:ascii="Arial" w:cs="Arial" w:eastAsia="Arial" w:hAnsi="Arial"/>
          <w:sz w:val="17"/>
          <w:szCs w:val="17"/>
          <w:color w:val="auto"/>
        </w:rPr>
        <w:t>Upon AnaptysBio’s request, TESARO shall continue all on-going development for the Products for a mutually agreed upon migration period after termination of this Agreement (“</w:t>
      </w:r>
      <w:r>
        <w:rPr>
          <w:rFonts w:ascii="Arial" w:cs="Arial" w:eastAsia="Arial" w:hAnsi="Arial"/>
          <w:sz w:val="17"/>
          <w:szCs w:val="17"/>
          <w:b w:val="1"/>
          <w:bCs w:val="1"/>
          <w:color w:val="auto"/>
        </w:rPr>
        <w:t>Migration Period</w:t>
      </w:r>
      <w:r>
        <w:rPr>
          <w:rFonts w:ascii="Arial" w:cs="Arial" w:eastAsia="Arial" w:hAnsi="Arial"/>
          <w:sz w:val="17"/>
          <w:szCs w:val="17"/>
          <w:color w:val="auto"/>
        </w:rPr>
        <w:t>”). During such Migration Period, TESARO shall provide such knowledge transfer and other training to AnaptysBio as reasonably necessary for AnaptysBio to continue such activities. In connection with such transfer, TESARO shall, subject to subsection (i) above: (A) transfer to AnaptysBio all quantities of Products manufactured by TESARO in TESARO’s control as of the effective date of termination, (B) assign to AnaptysBio any agreements with Third Parties with respect to the development or commercialization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224" w:name="page225"/>
    <w:bookmarkEnd w:id="22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 (to the extent assignable) and (C) continue funding FTEs (equivalent to the number of FTEs being funded upon the date of notice of termination) for a mutually agreed period not to exceed the remaining portion of the then-current calendar quarter and one (1) full calendar quarter following the effective date of termination.</w:t>
      </w:r>
    </w:p>
    <w:p>
      <w:pPr>
        <w:spacing w:after="0" w:line="177" w:lineRule="exact"/>
        <w:rPr>
          <w:sz w:val="20"/>
          <w:szCs w:val="20"/>
          <w:color w:val="auto"/>
        </w:rPr>
      </w:pPr>
    </w:p>
    <w:p>
      <w:pPr>
        <w:ind w:right="540" w:firstLine="921"/>
        <w:spacing w:after="0" w:line="282" w:lineRule="auto"/>
        <w:tabs>
          <w:tab w:leader="none" w:pos="1178"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Discovery Program</w:t>
      </w:r>
      <w:r>
        <w:rPr>
          <w:rFonts w:ascii="Arial" w:cs="Arial" w:eastAsia="Arial" w:hAnsi="Arial"/>
          <w:sz w:val="18"/>
          <w:szCs w:val="18"/>
          <w:color w:val="auto"/>
        </w:rPr>
        <w:t>. If AnaptysBio terminates a Discovery Program pursuant to Section 14.2 for breach by</w:t>
      </w:r>
      <w:r>
        <w:rPr>
          <w:rFonts w:ascii="Arial" w:cs="Arial" w:eastAsia="Arial" w:hAnsi="Arial"/>
          <w:sz w:val="18"/>
          <w:szCs w:val="18"/>
          <w:b w:val="1"/>
          <w:bCs w:val="1"/>
          <w:color w:val="auto"/>
        </w:rPr>
        <w:t xml:space="preserve"> </w:t>
      </w:r>
      <w:r>
        <w:rPr>
          <w:rFonts w:ascii="Arial" w:cs="Arial" w:eastAsia="Arial" w:hAnsi="Arial"/>
          <w:sz w:val="18"/>
          <w:szCs w:val="18"/>
          <w:color w:val="auto"/>
        </w:rPr>
        <w:t>TESARO, or TESARO discontinues a Discovery Program in accordance with Section 8.2, then:</w:t>
      </w:r>
    </w:p>
    <w:p>
      <w:pPr>
        <w:spacing w:after="0" w:line="165" w:lineRule="exact"/>
        <w:rPr>
          <w:rFonts w:ascii="Arial" w:cs="Arial" w:eastAsia="Arial" w:hAnsi="Arial"/>
          <w:sz w:val="18"/>
          <w:szCs w:val="18"/>
          <w:b w:val="1"/>
          <w:bCs w:val="1"/>
          <w:color w:val="auto"/>
        </w:rPr>
      </w:pPr>
    </w:p>
    <w:p>
      <w:pPr>
        <w:ind w:right="100" w:firstLine="1492"/>
        <w:spacing w:after="0" w:line="277" w:lineRule="auto"/>
        <w:tabs>
          <w:tab w:leader="none" w:pos="1698"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AnaptysBio’s obligations to conduct further activities under the applicable Discovery Program shall terminate as of the effective date of such termination; and</w:t>
      </w:r>
    </w:p>
    <w:p>
      <w:pPr>
        <w:spacing w:after="0" w:line="170" w:lineRule="exact"/>
        <w:rPr>
          <w:rFonts w:ascii="Arial" w:cs="Arial" w:eastAsia="Arial" w:hAnsi="Arial"/>
          <w:sz w:val="18"/>
          <w:szCs w:val="18"/>
          <w:b w:val="1"/>
          <w:bCs w:val="1"/>
          <w:color w:val="auto"/>
        </w:rPr>
      </w:pPr>
    </w:p>
    <w:p>
      <w:pPr>
        <w:ind w:right="180" w:firstLine="1492"/>
        <w:spacing w:after="0" w:line="342" w:lineRule="auto"/>
        <w:tabs>
          <w:tab w:leader="none" w:pos="1748" w:val="left"/>
        </w:tabs>
        <w:numPr>
          <w:ilvl w:val="1"/>
          <w:numId w:val="184"/>
        </w:numPr>
        <w:rPr>
          <w:rFonts w:ascii="Arial" w:cs="Arial" w:eastAsia="Arial" w:hAnsi="Arial"/>
          <w:sz w:val="16"/>
          <w:szCs w:val="16"/>
          <w:b w:val="1"/>
          <w:bCs w:val="1"/>
          <w:color w:val="auto"/>
        </w:rPr>
      </w:pPr>
      <w:r>
        <w:rPr>
          <w:rFonts w:ascii="Arial" w:cs="Arial" w:eastAsia="Arial" w:hAnsi="Arial"/>
          <w:sz w:val="16"/>
          <w:szCs w:val="16"/>
          <w:color w:val="auto"/>
        </w:rPr>
        <w:t>all licenses and rights to TESARO under Section 5.1 for the Products resulting from such Discovery Program shall concurrently terminate, and TESARO and its Affiliates and sublicensees shall immediately cease all manufacture, development and commercialization of such Products;</w:t>
      </w:r>
    </w:p>
    <w:p>
      <w:pPr>
        <w:spacing w:after="0" w:line="123" w:lineRule="exact"/>
        <w:rPr>
          <w:rFonts w:ascii="Arial" w:cs="Arial" w:eastAsia="Arial" w:hAnsi="Arial"/>
          <w:sz w:val="16"/>
          <w:szCs w:val="16"/>
          <w:b w:val="1"/>
          <w:bCs w:val="1"/>
          <w:color w:val="auto"/>
        </w:rPr>
      </w:pPr>
    </w:p>
    <w:p>
      <w:pPr>
        <w:ind w:right="20" w:firstLine="1492"/>
        <w:spacing w:after="0" w:line="264" w:lineRule="auto"/>
        <w:tabs>
          <w:tab w:leader="none" w:pos="1798"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 resulting from such Discovery Program;</w:t>
      </w:r>
    </w:p>
    <w:p>
      <w:pPr>
        <w:spacing w:after="0" w:line="181" w:lineRule="exact"/>
        <w:rPr>
          <w:rFonts w:ascii="Arial" w:cs="Arial" w:eastAsia="Arial" w:hAnsi="Arial"/>
          <w:sz w:val="18"/>
          <w:szCs w:val="18"/>
          <w:b w:val="1"/>
          <w:bCs w:val="1"/>
          <w:color w:val="auto"/>
        </w:rPr>
      </w:pPr>
    </w:p>
    <w:p>
      <w:pPr>
        <w:jc w:val="both"/>
        <w:ind w:right="220" w:firstLine="1492"/>
        <w:spacing w:after="0" w:line="259" w:lineRule="auto"/>
        <w:tabs>
          <w:tab w:leader="none" w:pos="1788"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TESARO shall and hereby does transfer to AnaptysBio all regulatory filings and regulatory approvals for the Product resulting from such Discovery Program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right="100" w:firstLine="1492"/>
        <w:spacing w:after="0" w:line="277" w:lineRule="auto"/>
        <w:tabs>
          <w:tab w:leader="none" w:pos="1738"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that are the subject of such Discovery Program; and</w:t>
      </w:r>
    </w:p>
    <w:p>
      <w:pPr>
        <w:spacing w:after="0" w:line="170" w:lineRule="exact"/>
        <w:rPr>
          <w:rFonts w:ascii="Arial" w:cs="Arial" w:eastAsia="Arial" w:hAnsi="Arial"/>
          <w:sz w:val="18"/>
          <w:szCs w:val="18"/>
          <w:b w:val="1"/>
          <w:bCs w:val="1"/>
          <w:color w:val="auto"/>
        </w:rPr>
      </w:pPr>
    </w:p>
    <w:p>
      <w:pPr>
        <w:ind w:right="100" w:firstLine="1492"/>
        <w:spacing w:after="0" w:line="254" w:lineRule="auto"/>
        <w:tabs>
          <w:tab w:leader="none" w:pos="1788" w:val="left"/>
        </w:tabs>
        <w:numPr>
          <w:ilvl w:val="1"/>
          <w:numId w:val="184"/>
        </w:numPr>
        <w:rPr>
          <w:rFonts w:ascii="Arial" w:cs="Arial" w:eastAsia="Arial" w:hAnsi="Arial"/>
          <w:sz w:val="18"/>
          <w:szCs w:val="18"/>
          <w:b w:val="1"/>
          <w:bCs w:val="1"/>
          <w:color w:val="auto"/>
        </w:rPr>
      </w:pPr>
      <w:r>
        <w:rPr>
          <w:rFonts w:ascii="Arial" w:cs="Arial" w:eastAsia="Arial" w:hAnsi="Arial"/>
          <w:sz w:val="18"/>
          <w:szCs w:val="18"/>
          <w:color w:val="auto"/>
        </w:rPr>
        <w:t>Upon AnaptysBio’s request, TESARO shall continue all on-going development for the Products resulting from such Discovery Program for a mutually agreed upon Migration Period after termination of this Agreement. During such Migration Period, TESARO shall provide such knowledge transfer and other training to AnaptysBio as reasonably necessary for AnaptysBio to continue such activities. In connection with such transfer, TESARO shall: (A) transfer to AnaptysBio all quantities of Product resulting from such Discovery Program generated by TESARO in TESARO’s control as of the effective date of termination, (B) assign to AnaptysBio any agreements with Third Parties with respect to the development or commercialization of such Products (to the extent assignable), and (C) continue funding FTEs (equivalent to the number of FTEs being funded upon the date of notice of termination) for a mutually agreed period not to exceed the remaining portion of the then current calendar quarter and one (1) full calendar quarter following the effective date of termination.</w:t>
      </w:r>
    </w:p>
    <w:p>
      <w:pPr>
        <w:spacing w:after="0" w:line="188" w:lineRule="exact"/>
        <w:rPr>
          <w:rFonts w:ascii="Arial" w:cs="Arial" w:eastAsia="Arial" w:hAnsi="Arial"/>
          <w:sz w:val="18"/>
          <w:szCs w:val="18"/>
          <w:b w:val="1"/>
          <w:bCs w:val="1"/>
          <w:color w:val="auto"/>
        </w:rPr>
      </w:pPr>
    </w:p>
    <w:p>
      <w:pPr>
        <w:ind w:right="80" w:firstLine="921"/>
        <w:spacing w:after="0" w:line="282" w:lineRule="auto"/>
        <w:tabs>
          <w:tab w:leader="none" w:pos="1158"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of Development Program</w:t>
      </w:r>
      <w:r>
        <w:rPr>
          <w:rFonts w:ascii="Arial" w:cs="Arial" w:eastAsia="Arial" w:hAnsi="Arial"/>
          <w:sz w:val="18"/>
          <w:szCs w:val="18"/>
          <w:color w:val="auto"/>
        </w:rPr>
        <w:t>. If AnaptysBio terminates a Development Program pursuant to Section 14.2 for breach by</w:t>
      </w:r>
      <w:r>
        <w:rPr>
          <w:rFonts w:ascii="Arial" w:cs="Arial" w:eastAsia="Arial" w:hAnsi="Arial"/>
          <w:sz w:val="18"/>
          <w:szCs w:val="18"/>
          <w:b w:val="1"/>
          <w:bCs w:val="1"/>
          <w:color w:val="auto"/>
        </w:rPr>
        <w:t xml:space="preserve"> </w:t>
      </w:r>
      <w:r>
        <w:rPr>
          <w:rFonts w:ascii="Arial" w:cs="Arial" w:eastAsia="Arial" w:hAnsi="Arial"/>
          <w:sz w:val="18"/>
          <w:szCs w:val="18"/>
          <w:color w:val="auto"/>
        </w:rPr>
        <w:t>TESARO, or TESARO discontinues a Development Program in accordance with Section 8.2, then:</w:t>
      </w:r>
    </w:p>
    <w:p>
      <w:pPr>
        <w:spacing w:after="0" w:line="98"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225" w:name="page226"/>
    <w:bookmarkEnd w:id="225"/>
    <w:p>
      <w:pPr>
        <w:jc w:val="both"/>
        <w:ind w:left="-520" w:right="180" w:firstLine="1492"/>
        <w:spacing w:after="0" w:line="342" w:lineRule="auto"/>
        <w:tabs>
          <w:tab w:leader="none" w:pos="1178" w:val="left"/>
        </w:tabs>
        <w:numPr>
          <w:ilvl w:val="1"/>
          <w:numId w:val="18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licenses and rights to TESARO under Section 5.1 for the Products resulting from such Development Program shall concurrently terminate, and TESARO and its Affiliates and sublicensees shall immediately cease all manufacture, development and commercialization of such Products;</w:t>
      </w:r>
    </w:p>
    <w:p>
      <w:pPr>
        <w:spacing w:after="0" w:line="123" w:lineRule="exact"/>
        <w:rPr>
          <w:rFonts w:ascii="Arial" w:cs="Arial" w:eastAsia="Arial" w:hAnsi="Arial"/>
          <w:sz w:val="16"/>
          <w:szCs w:val="16"/>
          <w:b w:val="1"/>
          <w:bCs w:val="1"/>
          <w:color w:val="auto"/>
        </w:rPr>
      </w:pPr>
    </w:p>
    <w:p>
      <w:pPr>
        <w:ind w:left="-520" w:right="20" w:firstLine="1492"/>
        <w:spacing w:after="0" w:line="264" w:lineRule="auto"/>
        <w:tabs>
          <w:tab w:leader="none" w:pos="1228"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TESARO hereby grants to AnaptysBio an irrevocable, non- exclusive, worldwide license, with the right to grant and authorize sublicenses, under TESARO’s interest in the Collaboration IP Rights, TESARO Patents and TESARO Know-How, to make, have made, use, sell, offer to sell and import Products resulting from such Development Program;</w:t>
      </w:r>
    </w:p>
    <w:p>
      <w:pPr>
        <w:spacing w:after="0" w:line="181" w:lineRule="exact"/>
        <w:rPr>
          <w:rFonts w:ascii="Arial" w:cs="Arial" w:eastAsia="Arial" w:hAnsi="Arial"/>
          <w:sz w:val="18"/>
          <w:szCs w:val="18"/>
          <w:b w:val="1"/>
          <w:bCs w:val="1"/>
          <w:color w:val="auto"/>
        </w:rPr>
      </w:pPr>
    </w:p>
    <w:p>
      <w:pPr>
        <w:ind w:left="-520" w:firstLine="1492"/>
        <w:spacing w:after="0" w:line="259" w:lineRule="auto"/>
        <w:tabs>
          <w:tab w:leader="none" w:pos="1278"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TESARO shall and hereby does transfer to AnaptysBio all regulatory filings and regulatory approvals for the Product resulting from such Development Program held by TESARO, its Affiliates or sublicensees, or if the foregoing transfer is not permitted by the applicable regulatory authority, TESARO hereby permit AnaptysBio to cross-reference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left="-520" w:right="40" w:firstLine="1492"/>
        <w:spacing w:after="0" w:line="277" w:lineRule="auto"/>
        <w:tabs>
          <w:tab w:leader="none" w:pos="1268"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AnaptysBio shall have the sole right to Prosecute and Maintain, and to solely enforce, all Collaboration IP Rights that are the subject of such Development Program; and</w:t>
      </w:r>
    </w:p>
    <w:p>
      <w:pPr>
        <w:spacing w:after="0" w:line="170" w:lineRule="exact"/>
        <w:rPr>
          <w:rFonts w:ascii="Arial" w:cs="Arial" w:eastAsia="Arial" w:hAnsi="Arial"/>
          <w:sz w:val="18"/>
          <w:szCs w:val="18"/>
          <w:b w:val="1"/>
          <w:bCs w:val="1"/>
          <w:color w:val="auto"/>
        </w:rPr>
      </w:pPr>
    </w:p>
    <w:p>
      <w:pPr>
        <w:ind w:left="-520" w:firstLine="1492"/>
        <w:spacing w:after="0" w:line="254" w:lineRule="auto"/>
        <w:tabs>
          <w:tab w:leader="none" w:pos="1218" w:val="left"/>
        </w:tabs>
        <w:numPr>
          <w:ilvl w:val="1"/>
          <w:numId w:val="185"/>
        </w:numPr>
        <w:rPr>
          <w:rFonts w:ascii="Arial" w:cs="Arial" w:eastAsia="Arial" w:hAnsi="Arial"/>
          <w:sz w:val="18"/>
          <w:szCs w:val="18"/>
          <w:b w:val="1"/>
          <w:bCs w:val="1"/>
          <w:color w:val="auto"/>
        </w:rPr>
      </w:pPr>
      <w:r>
        <w:rPr>
          <w:rFonts w:ascii="Arial" w:cs="Arial" w:eastAsia="Arial" w:hAnsi="Arial"/>
          <w:sz w:val="18"/>
          <w:szCs w:val="18"/>
          <w:color w:val="auto"/>
        </w:rPr>
        <w:t>Upon AnaptysBio’s request, TESARO shall continue all on-going development for the Products resulting from such Development Program for a mutually agreed upon Migration Period after termination of this Agreement. During such Migration Period, TESARO shall provide such knowledge transfer and other training to AnaptysBio as reasonably necessary for AnaptysBio to continue such activities. In connection with such transfer, TESARO shall: (A) transfer to AnaptysBio all quantities of Product resulting from such Discovery Program manufactured by TESARO in TESARO’s control as of the effective date of termination, (B) assign to AnaptysBio any agreements with Third Parties with respect to the development or commercialization of such Products (to the extent assignable), and (C) continue funding FTEs (equivalent to the number of FTEs being funded upon the date of notice of termination) for a mutually agreed period not to exceed the remaining portion of the then-current calendar quarter and one (1) full calendar quarter following the effective date of termination.</w:t>
      </w:r>
    </w:p>
    <w:p>
      <w:pPr>
        <w:spacing w:after="0" w:line="188" w:lineRule="exact"/>
        <w:rPr>
          <w:rFonts w:ascii="Arial" w:cs="Arial" w:eastAsia="Arial" w:hAnsi="Arial"/>
          <w:sz w:val="18"/>
          <w:szCs w:val="18"/>
          <w:b w:val="1"/>
          <w:bCs w:val="1"/>
          <w:color w:val="auto"/>
        </w:rPr>
      </w:pPr>
    </w:p>
    <w:p>
      <w:pPr>
        <w:ind w:left="-520" w:right="680" w:firstLine="921"/>
        <w:spacing w:after="0" w:line="282" w:lineRule="auto"/>
        <w:tabs>
          <w:tab w:leader="none" w:pos="618"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Termination by TESARO With Cause or by TESARO for Breach by AnaptysBio</w:t>
      </w:r>
      <w:r>
        <w:rPr>
          <w:rFonts w:ascii="Arial" w:cs="Arial" w:eastAsia="Arial" w:hAnsi="Arial"/>
          <w:sz w:val="18"/>
          <w:szCs w:val="18"/>
          <w:color w:val="auto"/>
        </w:rPr>
        <w:t>. If TESARO terminates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Discovery Programs or this Agreement pursuant to Section 14.2 for breach by AnaptysBio, then:</w:t>
      </w:r>
    </w:p>
    <w:p>
      <w:pPr>
        <w:spacing w:after="0" w:line="165" w:lineRule="exact"/>
        <w:rPr>
          <w:rFonts w:ascii="Arial" w:cs="Arial" w:eastAsia="Arial" w:hAnsi="Arial"/>
          <w:sz w:val="18"/>
          <w:szCs w:val="18"/>
          <w:b w:val="1"/>
          <w:bCs w:val="1"/>
          <w:color w:val="auto"/>
        </w:rPr>
      </w:pPr>
    </w:p>
    <w:p>
      <w:pPr>
        <w:ind w:left="-520" w:right="200" w:firstLine="1492"/>
        <w:spacing w:after="0" w:line="257" w:lineRule="auto"/>
        <w:tabs>
          <w:tab w:leader="none" w:pos="1178" w:val="left"/>
        </w:tabs>
        <w:numPr>
          <w:ilvl w:val="1"/>
          <w:numId w:val="186"/>
        </w:numPr>
        <w:rPr>
          <w:rFonts w:ascii="Arial" w:cs="Arial" w:eastAsia="Arial" w:hAnsi="Arial"/>
          <w:sz w:val="18"/>
          <w:szCs w:val="18"/>
          <w:b w:val="1"/>
          <w:bCs w:val="1"/>
          <w:color w:val="auto"/>
        </w:rPr>
      </w:pPr>
      <w:r>
        <w:rPr>
          <w:rFonts w:ascii="Arial" w:cs="Arial" w:eastAsia="Arial" w:hAnsi="Arial"/>
          <w:sz w:val="18"/>
          <w:szCs w:val="18"/>
          <w:color w:val="auto"/>
        </w:rPr>
        <w:t>all licenses and rights to TESARO under Section 5.1 with respect to the applicable Discovery Program(s), Development Program(s) and Products shall automatically become perpetual and irrevocable; provided, that the payment obligations under Sections 6.3 and 6.4 shall continue; provided, however, that if TESARO terminated this Agreement pursuant to AnaptysBio’s uncured material breach of Article 5, then without limiting any other rights or remedies available to TESARO, TESARO shall continue to make payments to AnaptysBio under Sections 6.3 and 6.4 but at fifty percent (50%) of the amounts set forth therein when and if they become due;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880"/>
          </w:cols>
          <w:pgMar w:left="760" w:top="274" w:right="259" w:bottom="1440" w:gutter="0" w:footer="0" w:header="0"/>
        </w:sectPr>
      </w:pPr>
    </w:p>
    <w:bookmarkStart w:id="226" w:name="page227"/>
    <w:bookmarkEnd w:id="226"/>
    <w:p>
      <w:pPr>
        <w:ind w:right="220" w:firstLine="1492"/>
        <w:spacing w:after="0" w:line="277" w:lineRule="auto"/>
        <w:tabs>
          <w:tab w:leader="none" w:pos="1748"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and its Affiliates and sublicensees shall immediately cease all research, development or other activities with respect to applicable Development Antibodies and Products resulting from such Discovery Program;</w:t>
      </w:r>
    </w:p>
    <w:p>
      <w:pPr>
        <w:spacing w:after="0" w:line="170" w:lineRule="exact"/>
        <w:rPr>
          <w:rFonts w:ascii="Arial" w:cs="Arial" w:eastAsia="Arial" w:hAnsi="Arial"/>
          <w:sz w:val="18"/>
          <w:szCs w:val="18"/>
          <w:b w:val="1"/>
          <w:bCs w:val="1"/>
          <w:color w:val="auto"/>
        </w:rPr>
      </w:pPr>
    </w:p>
    <w:p>
      <w:pPr>
        <w:jc w:val="both"/>
        <w:ind w:right="20" w:firstLine="1492"/>
        <w:spacing w:after="0" w:line="259" w:lineRule="auto"/>
        <w:tabs>
          <w:tab w:leader="none" w:pos="1798" w:val="left"/>
        </w:tabs>
        <w:numPr>
          <w:ilvl w:val="0"/>
          <w:numId w:val="187"/>
        </w:numPr>
        <w:rPr>
          <w:rFonts w:ascii="Arial" w:cs="Arial" w:eastAsia="Arial" w:hAnsi="Arial"/>
          <w:sz w:val="18"/>
          <w:szCs w:val="18"/>
          <w:b w:val="1"/>
          <w:bCs w:val="1"/>
          <w:color w:val="auto"/>
        </w:rPr>
      </w:pPr>
      <w:r>
        <w:rPr>
          <w:rFonts w:ascii="Arial" w:cs="Arial" w:eastAsia="Arial" w:hAnsi="Arial"/>
          <w:sz w:val="18"/>
          <w:szCs w:val="18"/>
          <w:color w:val="auto"/>
        </w:rPr>
        <w:t>To the extent permitted by applicable regulatory authorities, AnaptysBio shall and hereby does transfer to TESARO all regulatory filings and regulatory approvals for the applicable Products resulting from such Discovery Program held by AnaptysBio, its Affiliates or sublicensees, or if the foregoing transfer is not permitted by the applicable regulatory authority, AnaptysBio shall, and hereby does, permit TESARO to cross- reference and rely upon any such regulatory approvals and regulatory filings;</w:t>
      </w:r>
    </w:p>
    <w:p>
      <w:pPr>
        <w:spacing w:after="0" w:line="186" w:lineRule="exact"/>
        <w:rPr>
          <w:rFonts w:ascii="Arial" w:cs="Arial" w:eastAsia="Arial" w:hAnsi="Arial"/>
          <w:sz w:val="18"/>
          <w:szCs w:val="18"/>
          <w:b w:val="1"/>
          <w:bCs w:val="1"/>
          <w:color w:val="auto"/>
        </w:rPr>
      </w:pPr>
    </w:p>
    <w:p>
      <w:pPr>
        <w:ind w:left="1800" w:hanging="308"/>
        <w:spacing w:after="0"/>
        <w:tabs>
          <w:tab w:leader="none" w:pos="1800" w:val="left"/>
        </w:tabs>
        <w:numPr>
          <w:ilvl w:val="0"/>
          <w:numId w:val="187"/>
        </w:numPr>
        <w:rPr>
          <w:rFonts w:ascii="Arial" w:cs="Arial" w:eastAsia="Arial" w:hAnsi="Arial"/>
          <w:sz w:val="17"/>
          <w:szCs w:val="17"/>
          <w:b w:val="1"/>
          <w:bCs w:val="1"/>
          <w:color w:val="auto"/>
        </w:rPr>
      </w:pPr>
      <w:r>
        <w:rPr>
          <w:rFonts w:ascii="Arial" w:cs="Arial" w:eastAsia="Arial" w:hAnsi="Arial"/>
          <w:sz w:val="17"/>
          <w:szCs w:val="17"/>
          <w:color w:val="auto"/>
        </w:rPr>
        <w:t>TESARO shall have the sole right to Prosecute and Maintain, and to solely enforce, all Collaboration IP Rights specific to such</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Discovery Program; and</w:t>
      </w:r>
    </w:p>
    <w:p>
      <w:pPr>
        <w:spacing w:after="0" w:line="210" w:lineRule="exact"/>
        <w:rPr>
          <w:rFonts w:ascii="Arial" w:cs="Arial" w:eastAsia="Arial" w:hAnsi="Arial"/>
          <w:sz w:val="17"/>
          <w:szCs w:val="17"/>
          <w:b w:val="1"/>
          <w:bCs w:val="1"/>
          <w:color w:val="auto"/>
        </w:rPr>
      </w:pPr>
    </w:p>
    <w:p>
      <w:pPr>
        <w:ind w:right="100" w:firstLine="1492"/>
        <w:spacing w:after="0" w:line="293" w:lineRule="auto"/>
        <w:tabs>
          <w:tab w:leader="none" w:pos="1738" w:val="left"/>
        </w:tabs>
        <w:numPr>
          <w:ilvl w:val="0"/>
          <w:numId w:val="187"/>
        </w:numPr>
        <w:rPr>
          <w:rFonts w:ascii="Arial" w:cs="Arial" w:eastAsia="Arial" w:hAnsi="Arial"/>
          <w:sz w:val="16"/>
          <w:szCs w:val="16"/>
          <w:b w:val="1"/>
          <w:bCs w:val="1"/>
          <w:color w:val="auto"/>
        </w:rPr>
      </w:pPr>
      <w:r>
        <w:rPr>
          <w:rFonts w:ascii="Arial" w:cs="Arial" w:eastAsia="Arial" w:hAnsi="Arial"/>
          <w:sz w:val="16"/>
          <w:szCs w:val="16"/>
          <w:color w:val="auto"/>
        </w:rPr>
        <w:t>Upon TESARO’s request, AnaptysBio shall continue all on-going development under such Discovery Program and for applicable Products for a mutually agreed upon Migration Period after termination of this Agreement. During such Migration Period, AnaptysBio shall provide such knowledge transfer and other training to TESARO or its designees as reasonably necessary for TESARO to continue such activities. In connection with such transfer, AnaptysBio shall transfer to TESARO all quantities of applicable Development Antibodies and Products manufactured by or on behalf of AnaptysBio and in the possession or control of AnaptysBio or its affiliates or contractors as of the effective date of termination, and assign to TESARO any agreements with Third Parties with respect to the research, development or commercialization of applicable Development Antibodies or Products.</w:t>
      </w:r>
    </w:p>
    <w:p>
      <w:pPr>
        <w:spacing w:after="0" w:line="161"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14.5. Expiration</w:t>
      </w:r>
      <w:r>
        <w:rPr>
          <w:rFonts w:ascii="Arial" w:cs="Arial" w:eastAsia="Arial" w:hAnsi="Arial"/>
          <w:sz w:val="18"/>
          <w:szCs w:val="18"/>
          <w:color w:val="auto"/>
        </w:rPr>
        <w:t>. Upon the expiration of the last to expire Royalty Term for Products resulting from a Discovery Program and Development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all licenses and rights to TESARO under Section 5.1 with respect to such Discovery Program and Development Program and Products shall automatically become fully paid up, perpetual and irrevocable.</w:t>
      </w:r>
    </w:p>
    <w:p>
      <w:pPr>
        <w:spacing w:after="0" w:line="176"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14.6. Survival Sections</w:t>
      </w:r>
      <w:r>
        <w:rPr>
          <w:rFonts w:ascii="Arial" w:cs="Arial" w:eastAsia="Arial" w:hAnsi="Arial"/>
          <w:sz w:val="18"/>
          <w:szCs w:val="18"/>
          <w:color w:val="auto"/>
        </w:rPr>
        <w:t>. Sections 7, 9, 10, 13, 14.4, 14.5, 14.6, 14.7 and 15 shall survive the expiration or termination of this Agreement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w:t>
      </w:r>
    </w:p>
    <w:p>
      <w:pPr>
        <w:spacing w:after="0" w:line="162"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14.7. Termination Not Sole Remedy</w:t>
      </w:r>
      <w:r>
        <w:rPr>
          <w:rFonts w:ascii="Arial" w:cs="Arial" w:eastAsia="Arial" w:hAnsi="Arial"/>
          <w:sz w:val="18"/>
          <w:szCs w:val="18"/>
          <w:color w:val="auto"/>
        </w:rPr>
        <w:t>. Termination is not the sole remedy under this Agreement and, whether or not termination is effected,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will remain available except as agreed to otherwise herein.</w:t>
      </w:r>
    </w:p>
    <w:p>
      <w:pPr>
        <w:spacing w:after="0" w:line="189" w:lineRule="exact"/>
        <w:rPr>
          <w:sz w:val="20"/>
          <w:szCs w:val="20"/>
          <w:color w:val="auto"/>
        </w:rPr>
      </w:pPr>
    </w:p>
    <w:p>
      <w:pPr>
        <w:ind w:left="460" w:hanging="452"/>
        <w:spacing w:after="0"/>
        <w:tabs>
          <w:tab w:leader="none" w:pos="46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15.1. Governing Laws</w:t>
      </w:r>
      <w:r>
        <w:rPr>
          <w:rFonts w:ascii="Arial" w:cs="Arial" w:eastAsia="Arial" w:hAnsi="Arial"/>
          <w:sz w:val="18"/>
          <w:szCs w:val="18"/>
          <w:color w:val="auto"/>
        </w:rPr>
        <w:t>. This Agreement and any dispute arising from the construction, performance or breach hereof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reference to conflicts of laws principles thereof that would result in the application of any other law.</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15.2. Waiver</w:t>
      </w:r>
      <w:r>
        <w:rPr>
          <w:rFonts w:ascii="Arial" w:cs="Arial" w:eastAsia="Arial" w:hAnsi="Arial"/>
          <w:sz w:val="18"/>
          <w:szCs w:val="18"/>
          <w:color w:val="auto"/>
        </w:rPr>
        <w:t>. It is agreed that no waiver by either Party hereto of any breach or default of any of the covenants or agreements herein set forth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a waiver as to any subsequent and/or similar breach or default.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227" w:name="page228"/>
    <w:bookmarkEnd w:id="227"/>
    <w:p>
      <w:pPr>
        <w:ind w:firstLine="456"/>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15.3. Assignment</w:t>
      </w:r>
      <w:r>
        <w:rPr>
          <w:rFonts w:ascii="Arial" w:cs="Arial" w:eastAsia="Arial" w:hAnsi="Arial"/>
          <w:sz w:val="18"/>
          <w:szCs w:val="18"/>
          <w:color w:val="auto"/>
        </w:rPr>
        <w:t>. This Agreement shall not be assignable by either Party to any Third Party hereto without the written consent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any attempted assignment shall be null and void. Notwithstanding the foregoing, either Party may assign this Agreement, without such consent, to an entity that acquires all or substantially all of the business or assets of such Party to which this Agreement pertains, whether by merger, reorganization, acquisition, sale, or otherwise. This Agreement shall be binding upon and accrue to the benefit any permitted assignee, and any such assignee shall agree to perform the obligations of the assignor.</w:t>
      </w:r>
    </w:p>
    <w:p>
      <w:pPr>
        <w:spacing w:after="0" w:line="184" w:lineRule="exact"/>
        <w:rPr>
          <w:sz w:val="20"/>
          <w:szCs w:val="20"/>
          <w:color w:val="auto"/>
        </w:rPr>
      </w:pPr>
    </w:p>
    <w:p>
      <w:pPr>
        <w:ind w:right="420" w:firstLine="456"/>
        <w:spacing w:after="0" w:line="347" w:lineRule="auto"/>
        <w:rPr>
          <w:sz w:val="20"/>
          <w:szCs w:val="20"/>
          <w:color w:val="auto"/>
        </w:rPr>
      </w:pPr>
      <w:r>
        <w:rPr>
          <w:rFonts w:ascii="Arial" w:cs="Arial" w:eastAsia="Arial" w:hAnsi="Arial"/>
          <w:sz w:val="16"/>
          <w:szCs w:val="16"/>
          <w:b w:val="1"/>
          <w:bCs w:val="1"/>
          <w:color w:val="auto"/>
        </w:rPr>
        <w:t>15.4. Independent Contractors</w:t>
      </w:r>
      <w:r>
        <w:rPr>
          <w:rFonts w:ascii="Arial" w:cs="Arial" w:eastAsia="Arial" w:hAnsi="Arial"/>
          <w:sz w:val="16"/>
          <w:szCs w:val="16"/>
          <w:color w:val="auto"/>
        </w:rPr>
        <w:t>. The relationship of the Parties hereto is that of independent contractors. The Parties hereto are not deemed to be</w:t>
      </w:r>
      <w:r>
        <w:rPr>
          <w:rFonts w:ascii="Arial" w:cs="Arial" w:eastAsia="Arial" w:hAnsi="Arial"/>
          <w:sz w:val="16"/>
          <w:szCs w:val="16"/>
          <w:b w:val="1"/>
          <w:bCs w:val="1"/>
          <w:color w:val="auto"/>
        </w:rPr>
        <w:t xml:space="preserve"> </w:t>
      </w:r>
      <w:r>
        <w:rPr>
          <w:rFonts w:ascii="Arial" w:cs="Arial" w:eastAsia="Arial" w:hAnsi="Arial"/>
          <w:sz w:val="16"/>
          <w:szCs w:val="16"/>
          <w:color w:val="auto"/>
        </w:rPr>
        <w:t>agents, partners or joint venturers of the others for any purpose as a result of this Agreement or the transactions contemplated thereby.</w:t>
      </w:r>
    </w:p>
    <w:p>
      <w:pPr>
        <w:spacing w:after="0" w:line="116"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15.5. Compliance with Laws</w:t>
      </w:r>
      <w:r>
        <w:rPr>
          <w:rFonts w:ascii="Arial" w:cs="Arial" w:eastAsia="Arial" w:hAnsi="Arial"/>
          <w:sz w:val="18"/>
          <w:szCs w:val="18"/>
          <w:color w:val="auto"/>
        </w:rPr>
        <w:t>. In exercising their rights under this license, the Parties shall fully comply in all material respects with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any and all applicable laws, regulations, rules and orders of any governmental body having jurisdiction over the exercise of rights under this license including, without limitation, those applicable to the discovery, development, manufacture, distribution, import and export and sale of Products pursuant to this Agreement.</w:t>
      </w:r>
    </w:p>
    <w:p>
      <w:pPr>
        <w:spacing w:after="0" w:line="180"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15.6. Notices</w:t>
      </w:r>
      <w:r>
        <w:rPr>
          <w:rFonts w:ascii="Arial" w:cs="Arial" w:eastAsia="Arial" w:hAnsi="Arial"/>
          <w:sz w:val="18"/>
          <w:szCs w:val="18"/>
          <w:color w:val="auto"/>
        </w:rPr>
        <w:t>. All notices, requests and other communications hereunder shall be in writing and shall be personally delivered or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return receipt requested, postage prepaid, in each case to the respective address specified below, or such other address as may be specified in writing to the other Parties hereto and shall be deemed to have been given upon receipt:</w:t>
      </w:r>
    </w:p>
    <w:p>
      <w:pPr>
        <w:spacing w:after="0" w:line="207" w:lineRule="exact"/>
        <w:rPr>
          <w:sz w:val="20"/>
          <w:szCs w:val="20"/>
          <w:color w:val="auto"/>
        </w:rPr>
      </w:pPr>
    </w:p>
    <w:p>
      <w:pPr>
        <w:ind w:left="920"/>
        <w:spacing w:after="0"/>
        <w:tabs>
          <w:tab w:leader="none" w:pos="3320" w:val="left"/>
        </w:tabs>
        <w:rPr>
          <w:sz w:val="20"/>
          <w:szCs w:val="20"/>
          <w:color w:val="auto"/>
        </w:rPr>
      </w:pPr>
      <w:r>
        <w:rPr>
          <w:rFonts w:ascii="Arial" w:cs="Arial" w:eastAsia="Arial" w:hAnsi="Arial"/>
          <w:sz w:val="18"/>
          <w:szCs w:val="18"/>
          <w:color w:val="auto"/>
        </w:rPr>
        <w:t>If to TESARO:</w:t>
      </w:r>
      <w:r>
        <w:rPr>
          <w:sz w:val="20"/>
          <w:szCs w:val="20"/>
          <w:color w:val="auto"/>
        </w:rPr>
        <w:tab/>
      </w:r>
      <w:r>
        <w:rPr>
          <w:rFonts w:ascii="Arial" w:cs="Arial" w:eastAsia="Arial" w:hAnsi="Arial"/>
          <w:sz w:val="16"/>
          <w:szCs w:val="16"/>
          <w:color w:val="auto"/>
        </w:rPr>
        <w:t>TESARO,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1000 Winter Street, Suite 3300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Waltham, Massachusetts 02541</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Attention:</w:t>
        <w:tab/>
        <w:t>Leon O. Moulder, Jr.,</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339-230-3961</w:t>
      </w:r>
    </w:p>
    <w:p>
      <w:pPr>
        <w:spacing w:after="0" w:line="21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and</w:t>
      </w:r>
    </w:p>
    <w:p>
      <w:pPr>
        <w:sectPr>
          <w:pgSz w:w="11900" w:h="16838" w:orient="portrait"/>
          <w:cols w:equalWidth="0" w:num="1">
            <w:col w:w="11380"/>
          </w:cols>
          <w:pgMar w:left="240" w:top="27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920"/>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TESARO Development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Clarendon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Church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Hamilton HM 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Bermuda</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Attention:</w:t>
        <w:tab/>
        <w:t>Corporate Secretary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Hogan Lovells US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 International Drive, Suite 2000</w:t>
      </w:r>
    </w:p>
    <w:p>
      <w:pPr>
        <w:spacing w:after="0" w:line="16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2700" w:space="640"/>
            <w:col w:w="8040"/>
          </w:cols>
          <w:pgMar w:left="240" w:top="270" w:right="279" w:bottom="1440" w:gutter="0" w:footer="0" w:header="0"/>
          <w:type w:val="continuous"/>
        </w:sectPr>
      </w:pPr>
    </w:p>
    <w:bookmarkStart w:id="228" w:name="page229"/>
    <w:bookmarkEnd w:id="228"/>
    <w:p>
      <w:pPr>
        <w:ind w:left="3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Baltimore, MD 21202</w:t>
      </w:r>
    </w:p>
    <w:p>
      <w:pPr>
        <w:spacing w:after="0" w:line="23"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Attention:</w:t>
        <w:tab/>
        <w:t>Asher M. Rubin</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410-659 2701</w:t>
      </w:r>
    </w:p>
    <w:p>
      <w:pPr>
        <w:spacing w:after="0" w:line="211" w:lineRule="exact"/>
        <w:rPr>
          <w:sz w:val="20"/>
          <w:szCs w:val="20"/>
          <w:color w:val="auto"/>
        </w:rPr>
      </w:pPr>
    </w:p>
    <w:p>
      <w:pPr>
        <w:ind w:left="920"/>
        <w:spacing w:after="0"/>
        <w:tabs>
          <w:tab w:leader="none" w:pos="3320" w:val="left"/>
        </w:tabs>
        <w:rPr>
          <w:sz w:val="20"/>
          <w:szCs w:val="20"/>
          <w:color w:val="auto"/>
        </w:rPr>
      </w:pPr>
      <w:r>
        <w:rPr>
          <w:rFonts w:ascii="Arial" w:cs="Arial" w:eastAsia="Arial" w:hAnsi="Arial"/>
          <w:sz w:val="18"/>
          <w:szCs w:val="18"/>
          <w:color w:val="auto"/>
        </w:rPr>
        <w:t>If to AnaptysBio:</w:t>
      </w:r>
      <w:r>
        <w:rPr>
          <w:sz w:val="20"/>
          <w:szCs w:val="20"/>
          <w:color w:val="auto"/>
        </w:rPr>
        <w:tab/>
      </w:r>
      <w:r>
        <w:rPr>
          <w:rFonts w:ascii="Arial" w:cs="Arial" w:eastAsia="Arial" w:hAnsi="Arial"/>
          <w:sz w:val="16"/>
          <w:szCs w:val="16"/>
          <w:color w:val="auto"/>
        </w:rPr>
        <w:t>AnaptysBio, Inc.</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10421 Pacific Center Court, Suite 200</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6"/>
          <w:szCs w:val="16"/>
          <w:color w:val="auto"/>
        </w:rPr>
        <w:t>Attention:</w:t>
        <w:tab/>
        <w:t>Hamza Suria, Chief Executive Officer</w:t>
      </w:r>
    </w:p>
    <w:p>
      <w:pPr>
        <w:spacing w:after="0" w:line="32" w:lineRule="exact"/>
        <w:rPr>
          <w:sz w:val="20"/>
          <w:szCs w:val="20"/>
          <w:color w:val="auto"/>
        </w:rPr>
      </w:pPr>
    </w:p>
    <w:p>
      <w:pPr>
        <w:ind w:left="3340"/>
        <w:spacing w:after="0"/>
        <w:tabs>
          <w:tab w:leader="none" w:pos="4260" w:val="left"/>
        </w:tabs>
        <w:rPr>
          <w:sz w:val="20"/>
          <w:szCs w:val="20"/>
          <w:color w:val="auto"/>
        </w:rPr>
      </w:pPr>
      <w:r>
        <w:rPr>
          <w:rFonts w:ascii="Arial" w:cs="Arial" w:eastAsia="Arial" w:hAnsi="Arial"/>
          <w:sz w:val="18"/>
          <w:szCs w:val="18"/>
          <w:color w:val="auto"/>
        </w:rPr>
        <w:t>Facsimile:</w:t>
        <w:tab/>
        <w:t>858-366-9055</w:t>
      </w:r>
    </w:p>
    <w:p>
      <w:pPr>
        <w:sectPr>
          <w:pgSz w:w="11900" w:h="16838" w:orient="portrait"/>
          <w:cols w:equalWidth="0" w:num="1">
            <w:col w:w="11360"/>
          </w:cols>
          <w:pgMar w:left="240" w:top="274" w:right="299" w:bottom="1440" w:gutter="0" w:footer="0" w:header="0"/>
        </w:sectPr>
      </w:pPr>
    </w:p>
    <w:p>
      <w:pPr>
        <w:spacing w:after="0" w:line="211" w:lineRule="exact"/>
        <w:rPr>
          <w:sz w:val="20"/>
          <w:szCs w:val="20"/>
          <w:color w:val="auto"/>
        </w:rPr>
      </w:pPr>
    </w:p>
    <w:p>
      <w:pPr>
        <w:jc w:val="both"/>
        <w:ind w:left="920"/>
        <w:spacing w:after="0" w:line="342" w:lineRule="auto"/>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1191 Second Avenue, 10th Floor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98101</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Attention:</w:t>
        <w:tab/>
        <w:t>Effie Toshav</w:t>
      </w:r>
    </w:p>
    <w:p>
      <w:pPr>
        <w:spacing w:after="0" w:line="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Facsimile:</w:t>
        <w:tab/>
        <w:t>206-389-4511</w:t>
      </w:r>
    </w:p>
    <w:p>
      <w:pPr>
        <w:spacing w:after="0" w:line="200" w:lineRule="exact"/>
        <w:rPr>
          <w:sz w:val="20"/>
          <w:szCs w:val="20"/>
          <w:color w:val="auto"/>
        </w:rPr>
      </w:pPr>
    </w:p>
    <w:p>
      <w:pPr>
        <w:sectPr>
          <w:pgSz w:w="11900" w:h="16838" w:orient="portrait"/>
          <w:cols w:equalWidth="0" w:num="2">
            <w:col w:w="2700" w:space="640"/>
            <w:col w:w="8020"/>
          </w:cols>
          <w:pgMar w:left="240" w:top="274" w:right="299" w:bottom="1440" w:gutter="0" w:footer="0" w:header="0"/>
          <w:type w:val="continuous"/>
        </w:sectPr>
      </w:pPr>
    </w:p>
    <w:p>
      <w:pPr>
        <w:spacing w:after="0" w:line="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15.7. Severability</w:t>
      </w:r>
      <w:r>
        <w:rPr>
          <w:rFonts w:ascii="Arial" w:cs="Arial" w:eastAsia="Arial" w:hAnsi="Arial"/>
          <w:sz w:val="17"/>
          <w:szCs w:val="17"/>
          <w:color w:val="auto"/>
        </w:rPr>
        <w:t>. Each Party hereby agrees that it does not intend to violate any public policy, statutory or common laws, rules, regulations, treaty or</w:t>
      </w:r>
      <w:r>
        <w:rPr>
          <w:rFonts w:ascii="Arial" w:cs="Arial" w:eastAsia="Arial" w:hAnsi="Arial"/>
          <w:sz w:val="17"/>
          <w:szCs w:val="17"/>
          <w:b w:val="1"/>
          <w:bCs w:val="1"/>
          <w:color w:val="auto"/>
        </w:rPr>
        <w:t xml:space="preserve"> </w:t>
      </w:r>
      <w:r>
        <w:rPr>
          <w:rFonts w:ascii="Arial" w:cs="Arial" w:eastAsia="Arial" w:hAnsi="Arial"/>
          <w:sz w:val="17"/>
          <w:szCs w:val="17"/>
          <w:color w:val="auto"/>
        </w:rPr>
        <w:t>decision of any government agency or executive body thereof of any country or community or association of countries. Should one or more provisions of this Agreement be or become invalid, the Parties hereto shall substitute, by mutual consent, valid provisions for such invalid provisions which valid provisions in their economic effect are sufficiently similar to the invalid provisions that it can be reasonably assumed that the Parties would have entered into this Agreement with such valid provisions. In the event a Party seeks to avoid a material provision of this Agreement upon an assertion that such provision is invalid, illegal or otherwise unenforceable, the other Party shall have the right to terminate this Agreement upon sixty (60) days prior written notice to the asserting Party, unless such assertion is eliminated and cured within such sixty (60) day period. Such a termination shall be deemed a termination by such Party for breach pursuant to Section 14.2.</w:t>
      </w:r>
    </w:p>
    <w:p>
      <w:pPr>
        <w:spacing w:after="0" w:line="17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color w:val="auto"/>
        </w:rPr>
        <w:t>15.8. Force Majeure</w:t>
      </w:r>
      <w:r>
        <w:rPr>
          <w:rFonts w:ascii="Arial" w:cs="Arial" w:eastAsia="Arial" w:hAnsi="Arial"/>
          <w:sz w:val="16"/>
          <w:szCs w:val="16"/>
          <w:color w:val="auto"/>
        </w:rPr>
        <w:t>. Neither Party shall lose any rights hereunder or be liable to the other Party for damages or losses (except for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on account of failure of performance by the defaulting Party if the failure is occasioned by war, strike, fire, Act of God, earthquake, flood, lockout, embargo, governmental acts or orders or restrictions, failure of suppliers, or any other reason where failure to perform is beyond the reasonable control and not caused by the negligence, intentional conduct or misconduct of the non-performing Party and such Party has exerted all reasonable efforts to avoid or remedy such force majeure; provided, however, that in no event shall a Party be required to settle any labor dispute or disturbance.</w:t>
      </w:r>
    </w:p>
    <w:p>
      <w:pPr>
        <w:spacing w:after="0" w:line="15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15.9. Complete Agreement</w:t>
      </w:r>
      <w:r>
        <w:rPr>
          <w:rFonts w:ascii="Arial" w:cs="Arial" w:eastAsia="Arial" w:hAnsi="Arial"/>
          <w:sz w:val="16"/>
          <w:szCs w:val="16"/>
          <w:color w:val="auto"/>
        </w:rPr>
        <w:t>. This Agreement and the Supplemental Information Package, constitute the entire agreement, both written and oral,</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Parties with respect to the subject matter hereof, and all prior agreements respecting the subject matter hereof, either written or oral, express or implied, shall be abrogated, canceled, and are null and void and of no effect. No amendment or change hereof or addition hereto shall be effective or binding on either of the Parties hereto unless reduced to writing and executed by the respective duly authorized representatives of AnaptysBio and TESARO. TESARO, Inc., and TESARO Development, Ltd shall be jointly and severally liable for all obligations of TESARO under this Agreement.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274" w:right="299" w:bottom="1440" w:gutter="0" w:footer="0" w:header="0"/>
          <w:type w:val="continuous"/>
        </w:sectPr>
      </w:pPr>
    </w:p>
    <w:bookmarkStart w:id="229" w:name="page230"/>
    <w:bookmarkEnd w:id="229"/>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15.10. Headings</w:t>
      </w:r>
      <w:r>
        <w:rPr>
          <w:rFonts w:ascii="Arial" w:cs="Arial" w:eastAsia="Arial" w:hAnsi="Arial"/>
          <w:sz w:val="18"/>
          <w:szCs w:val="18"/>
          <w:color w:val="auto"/>
        </w:rPr>
        <w:t>. The captions to the several Sections hereof are not a part of this Agreement, but are included merely for convenience of reference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affect its meaning or interpretation.</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b w:val="1"/>
          <w:bCs w:val="1"/>
          <w:color w:val="auto"/>
        </w:rPr>
        <w:t>15.11. Counterparts</w:t>
      </w:r>
      <w:r>
        <w:rPr>
          <w:rFonts w:ascii="Arial" w:cs="Arial" w:eastAsia="Arial" w:hAnsi="Arial"/>
          <w:sz w:val="18"/>
          <w:szCs w:val="18"/>
          <w:color w:val="auto"/>
        </w:rPr>
        <w:t>. This Agreement may be executed in counterparts, each of which shall be deemed to be an original and all of which together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one and the same agreement.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0" w:right="259" w:bottom="1440" w:gutter="0" w:footer="0" w:header="0"/>
        </w:sectPr>
      </w:pPr>
    </w:p>
    <w:bookmarkStart w:id="230" w:name="page231"/>
    <w:bookmarkEnd w:id="230"/>
    <w:p>
      <w:pPr>
        <w:ind w:right="74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Collaboration and Exclusive License Agreement to be duly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and delivered in duplicate originals effective as of the Effective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TESARO, INC.</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ANAPTYSBIO,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w w:val="86"/>
              </w:rPr>
              <w:t>Name: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ind w:left="220"/>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President &amp; CEO</w:t>
            </w:r>
          </w:p>
        </w:tc>
      </w:tr>
      <w:tr>
        <w:trPr>
          <w:trHeight w:val="412"/>
        </w:trPr>
        <w:tc>
          <w:tcPr>
            <w:tcW w:w="5720" w:type="dxa"/>
            <w:vAlign w:val="bottom"/>
            <w:gridSpan w:val="2"/>
          </w:tcPr>
          <w:p>
            <w:pPr>
              <w:spacing w:after="0"/>
              <w:rPr>
                <w:sz w:val="20"/>
                <w:szCs w:val="20"/>
                <w:color w:val="auto"/>
              </w:rPr>
            </w:pPr>
            <w:r>
              <w:rPr>
                <w:rFonts w:ascii="Arial" w:cs="Arial" w:eastAsia="Arial" w:hAnsi="Arial"/>
                <w:sz w:val="18"/>
                <w:szCs w:val="18"/>
                <w:color w:val="auto"/>
              </w:rPr>
              <w:t>TESARO DEVELOPMENT, LTD.</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Collaboration and Exclusive License Agreement</w:t>
      </w:r>
    </w:p>
    <w:p>
      <w:pPr>
        <w:sectPr>
          <w:pgSz w:w="11900" w:h="16838" w:orient="portrait"/>
          <w:cols w:equalWidth="0" w:num="1">
            <w:col w:w="11420"/>
          </w:cols>
          <w:pgMar w:left="240" w:top="270" w:right="239"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12.2(i)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AnaptysBio Patents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COLLABORATION AND EXCLUSIVE LICENSE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Amendment No. 1 to the Collaboration and Exclusive License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xml:space="preserve">”) effective as of November </w:t>
      </w:r>
      <w:r>
        <w:rPr>
          <w:rFonts w:ascii="Arial" w:cs="Arial" w:eastAsia="Arial" w:hAnsi="Arial"/>
          <w:sz w:val="17"/>
          <w:szCs w:val="17"/>
          <w:u w:val="single" w:color="auto"/>
          <w:color w:val="auto"/>
        </w:rPr>
        <w:t>28</w:t>
      </w:r>
      <w:r>
        <w:rPr>
          <w:rFonts w:ascii="Arial" w:cs="Arial" w:eastAsia="Arial" w:hAnsi="Arial"/>
          <w:sz w:val="17"/>
          <w:szCs w:val="17"/>
          <w:color w:val="auto"/>
        </w:rPr>
        <w:t>, 2014 (the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Amendment Date</w:t>
      </w:r>
      <w:r>
        <w:rPr>
          <w:rFonts w:ascii="Arial" w:cs="Arial" w:eastAsia="Arial" w:hAnsi="Arial"/>
          <w:sz w:val="17"/>
          <w:szCs w:val="17"/>
          <w:color w:val="auto"/>
        </w:rPr>
        <w:t xml:space="preserve">”), is entered into is made by and between (i) </w:t>
      </w:r>
      <w:r>
        <w:rPr>
          <w:rFonts w:ascii="Arial" w:cs="Arial" w:eastAsia="Arial" w:hAnsi="Arial"/>
          <w:sz w:val="17"/>
          <w:szCs w:val="17"/>
          <w:b w:val="1"/>
          <w:bCs w:val="1"/>
          <w:color w:val="auto"/>
        </w:rPr>
        <w:t>AnaptysBio, Inc.</w:t>
      </w:r>
      <w:r>
        <w:rPr>
          <w:rFonts w:ascii="Arial" w:cs="Arial" w:eastAsia="Arial" w:hAnsi="Arial"/>
          <w:sz w:val="17"/>
          <w:szCs w:val="17"/>
          <w:color w:val="auto"/>
        </w:rPr>
        <w:t>, a Delaware corporation, having a place of business at 10421 Pacific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Center Court, Suite 200, San Diego, California 92121 (“</w:t>
      </w:r>
      <w:r>
        <w:rPr>
          <w:rFonts w:ascii="Arial" w:cs="Arial" w:eastAsia="Arial" w:hAnsi="Arial"/>
          <w:sz w:val="16"/>
          <w:szCs w:val="16"/>
          <w:b w:val="1"/>
          <w:bCs w:val="1"/>
          <w:color w:val="auto"/>
        </w:rPr>
        <w:t>AnaptysBio</w:t>
      </w:r>
      <w:r>
        <w:rPr>
          <w:rFonts w:ascii="Arial" w:cs="Arial" w:eastAsia="Arial" w:hAnsi="Arial"/>
          <w:sz w:val="16"/>
          <w:szCs w:val="16"/>
          <w:color w:val="auto"/>
        </w:rPr>
        <w:t xml:space="preserve">”), and (ii) </w:t>
      </w:r>
      <w:r>
        <w:rPr>
          <w:rFonts w:ascii="Arial" w:cs="Arial" w:eastAsia="Arial" w:hAnsi="Arial"/>
          <w:sz w:val="16"/>
          <w:szCs w:val="16"/>
          <w:b w:val="1"/>
          <w:bCs w:val="1"/>
          <w:color w:val="auto"/>
        </w:rPr>
        <w:t>TESARO, Inc.</w:t>
      </w:r>
      <w:r>
        <w:rPr>
          <w:rFonts w:ascii="Arial" w:cs="Arial" w:eastAsia="Arial" w:hAnsi="Arial"/>
          <w:sz w:val="16"/>
          <w:szCs w:val="16"/>
          <w:color w:val="auto"/>
        </w:rPr>
        <w:t>, a Delaware corporation, having a place of business at 1000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Winter Street, Suite 3300, Waltham, Massachusetts 02541 (“</w:t>
      </w:r>
      <w:r>
        <w:rPr>
          <w:rFonts w:ascii="Arial" w:cs="Arial" w:eastAsia="Arial" w:hAnsi="Arial"/>
          <w:sz w:val="16"/>
          <w:szCs w:val="16"/>
          <w:b w:val="1"/>
          <w:bCs w:val="1"/>
          <w:color w:val="auto"/>
        </w:rPr>
        <w:t>TESARO US</w:t>
      </w:r>
      <w:r>
        <w:rPr>
          <w:rFonts w:ascii="Arial" w:cs="Arial" w:eastAsia="Arial" w:hAnsi="Arial"/>
          <w:sz w:val="16"/>
          <w:szCs w:val="16"/>
          <w:color w:val="auto"/>
        </w:rPr>
        <w:t xml:space="preserve">”) and </w:t>
      </w:r>
      <w:r>
        <w:rPr>
          <w:rFonts w:ascii="Arial" w:cs="Arial" w:eastAsia="Arial" w:hAnsi="Arial"/>
          <w:sz w:val="16"/>
          <w:szCs w:val="16"/>
          <w:b w:val="1"/>
          <w:bCs w:val="1"/>
          <w:color w:val="auto"/>
        </w:rPr>
        <w:t>TESARO Development, Ltd.</w:t>
      </w:r>
      <w:r>
        <w:rPr>
          <w:rFonts w:ascii="Arial" w:cs="Arial" w:eastAsia="Arial" w:hAnsi="Arial"/>
          <w:sz w:val="16"/>
          <w:szCs w:val="16"/>
          <w:color w:val="auto"/>
        </w:rPr>
        <w:t>, a Bermuda corporation, having its principal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office at Clarendon House, 2 Church Street, Hamilton HM 11, Bermuda (together with TESARO US, “</w:t>
      </w:r>
      <w:r>
        <w:rPr>
          <w:rFonts w:ascii="Arial" w:cs="Arial" w:eastAsia="Arial" w:hAnsi="Arial"/>
          <w:sz w:val="18"/>
          <w:szCs w:val="18"/>
          <w:b w:val="1"/>
          <w:bCs w:val="1"/>
          <w:color w:val="auto"/>
        </w:rPr>
        <w:t>TESARO</w:t>
      </w:r>
      <w:r>
        <w:rPr>
          <w:rFonts w:ascii="Arial" w:cs="Arial" w:eastAsia="Arial" w:hAnsi="Arial"/>
          <w:sz w:val="18"/>
          <w:szCs w:val="18"/>
          <w:color w:val="auto"/>
        </w:rPr>
        <w:t>”).</w:t>
      </w:r>
    </w:p>
    <w:p>
      <w:pPr>
        <w:spacing w:after="0" w:line="21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WHEREAS, the parties previously entered into that certain Collaboration and Exclusive License Agreement dated as of March 10, 2014 (the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wish to amend the Agreement in certain respects on the terms and conditions set forth herein.</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NOW THEREFORE, capitalized terms not defined in this Amendment shall have the meaning ascribed in the Agreement, and the parties hereby agree as follows:</w:t>
      </w:r>
    </w:p>
    <w:p>
      <w:pPr>
        <w:spacing w:after="0" w:line="170" w:lineRule="exact"/>
        <w:rPr>
          <w:sz w:val="20"/>
          <w:szCs w:val="20"/>
          <w:color w:val="auto"/>
        </w:rPr>
      </w:pPr>
    </w:p>
    <w:p>
      <w:pPr>
        <w:ind w:right="220" w:firstLine="464"/>
        <w:spacing w:after="0" w:line="277" w:lineRule="auto"/>
        <w:tabs>
          <w:tab w:leader="none" w:pos="636" w:val="left"/>
        </w:tabs>
        <w:numPr>
          <w:ilvl w:val="0"/>
          <w:numId w:val="189"/>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 License Fee</w:t>
      </w:r>
      <w:r>
        <w:rPr>
          <w:rFonts w:ascii="Arial" w:cs="Arial" w:eastAsia="Arial" w:hAnsi="Arial"/>
          <w:sz w:val="18"/>
          <w:szCs w:val="18"/>
          <w:color w:val="auto"/>
        </w:rPr>
        <w:t>. Within ten (10) business days following the Amendment Date, TESARO shall pay to AnaptysBio a non-creditable, non-refundable license fee of two million dollars (USD $2,000,000.00).</w:t>
      </w:r>
    </w:p>
    <w:p>
      <w:pPr>
        <w:spacing w:after="0" w:line="170" w:lineRule="exact"/>
        <w:rPr>
          <w:rFonts w:ascii="Arial" w:cs="Arial" w:eastAsia="Arial" w:hAnsi="Arial"/>
          <w:sz w:val="18"/>
          <w:szCs w:val="18"/>
          <w:b w:val="1"/>
          <w:bCs w:val="1"/>
          <w:color w:val="auto"/>
        </w:rPr>
      </w:pPr>
    </w:p>
    <w:p>
      <w:pPr>
        <w:ind w:left="640" w:hanging="176"/>
        <w:spacing w:after="0"/>
        <w:tabs>
          <w:tab w:leader="none" w:pos="640" w:val="left"/>
        </w:tabs>
        <w:numPr>
          <w:ilvl w:val="0"/>
          <w:numId w:val="189"/>
        </w:numPr>
        <w:rPr>
          <w:rFonts w:ascii="Arial" w:cs="Arial" w:eastAsia="Arial" w:hAnsi="Arial"/>
          <w:sz w:val="18"/>
          <w:szCs w:val="18"/>
          <w:b w:val="1"/>
          <w:bCs w:val="1"/>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The following Sections of the Agreement are hereby amended and replaced in their entirety as follows:</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Section 1 of the Agreement is amended to add the following new definitions:</w:t>
      </w:r>
    </w:p>
    <w:p>
      <w:pPr>
        <w:spacing w:after="0" w:line="225" w:lineRule="exact"/>
        <w:rPr>
          <w:sz w:val="20"/>
          <w:szCs w:val="20"/>
          <w:color w:val="auto"/>
        </w:rPr>
      </w:pPr>
    </w:p>
    <w:p>
      <w:pPr>
        <w:ind w:left="1740" w:hanging="248"/>
        <w:spacing w:after="0"/>
        <w:tabs>
          <w:tab w:leader="none" w:pos="1740"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1.51 “</w:t>
      </w:r>
      <w:r>
        <w:rPr>
          <w:rFonts w:ascii="Arial" w:cs="Arial" w:eastAsia="Arial" w:hAnsi="Arial"/>
          <w:sz w:val="18"/>
          <w:szCs w:val="18"/>
          <w:b w:val="1"/>
          <w:bCs w:val="1"/>
          <w:color w:val="auto"/>
        </w:rPr>
        <w:t>[*]</w:t>
      </w:r>
      <w:r>
        <w:rPr>
          <w:rFonts w:ascii="Arial" w:cs="Arial" w:eastAsia="Arial" w:hAnsi="Arial"/>
          <w:sz w:val="18"/>
          <w:szCs w:val="18"/>
          <w:color w:val="auto"/>
        </w:rPr>
        <w:t>” shall mean [*].</w:t>
      </w:r>
    </w:p>
    <w:p>
      <w:pPr>
        <w:spacing w:after="0" w:line="225" w:lineRule="exact"/>
        <w:rPr>
          <w:rFonts w:ascii="Arial" w:cs="Arial" w:eastAsia="Arial" w:hAnsi="Arial"/>
          <w:sz w:val="18"/>
          <w:szCs w:val="18"/>
          <w:b w:val="1"/>
          <w:bCs w:val="1"/>
          <w:color w:val="auto"/>
        </w:rPr>
      </w:pPr>
    </w:p>
    <w:p>
      <w:pPr>
        <w:ind w:right="200" w:firstLine="1492"/>
        <w:spacing w:after="0" w:line="282" w:lineRule="auto"/>
        <w:tabs>
          <w:tab w:leader="none" w:pos="1748"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1.52 “</w:t>
      </w:r>
      <w:r>
        <w:rPr>
          <w:rFonts w:ascii="Arial" w:cs="Arial" w:eastAsia="Arial" w:hAnsi="Arial"/>
          <w:sz w:val="18"/>
          <w:szCs w:val="18"/>
          <w:b w:val="1"/>
          <w:bCs w:val="1"/>
          <w:color w:val="auto"/>
        </w:rPr>
        <w:t>[*]</w:t>
      </w:r>
      <w:r>
        <w:rPr>
          <w:rFonts w:ascii="Arial" w:cs="Arial" w:eastAsia="Arial" w:hAnsi="Arial"/>
          <w:sz w:val="18"/>
          <w:szCs w:val="18"/>
          <w:color w:val="auto"/>
        </w:rPr>
        <w:t>” shall mean both [*] and shall be used with respect to a Development Antibody that is specifically designed to cross-react and antagonize both [*].</w:t>
      </w:r>
    </w:p>
    <w:p>
      <w:pPr>
        <w:spacing w:after="0" w:line="161" w:lineRule="exact"/>
        <w:rPr>
          <w:rFonts w:ascii="Arial" w:cs="Arial" w:eastAsia="Arial" w:hAnsi="Arial"/>
          <w:sz w:val="18"/>
          <w:szCs w:val="18"/>
          <w:b w:val="1"/>
          <w:bCs w:val="1"/>
          <w:color w:val="auto"/>
        </w:rPr>
      </w:pPr>
    </w:p>
    <w:p>
      <w:pPr>
        <w:ind w:right="620" w:firstLine="1492"/>
        <w:spacing w:after="0" w:line="282" w:lineRule="auto"/>
        <w:tabs>
          <w:tab w:leader="none" w:pos="1728"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1.53 “</w:t>
      </w:r>
      <w:r>
        <w:rPr>
          <w:rFonts w:ascii="Arial" w:cs="Arial" w:eastAsia="Arial" w:hAnsi="Arial"/>
          <w:sz w:val="18"/>
          <w:szCs w:val="18"/>
          <w:b w:val="1"/>
          <w:bCs w:val="1"/>
          <w:color w:val="auto"/>
        </w:rPr>
        <w:t>[*] Development Program</w:t>
      </w:r>
      <w:r>
        <w:rPr>
          <w:rFonts w:ascii="Arial" w:cs="Arial" w:eastAsia="Arial" w:hAnsi="Arial"/>
          <w:sz w:val="18"/>
          <w:szCs w:val="18"/>
          <w:color w:val="auto"/>
        </w:rPr>
        <w:t>” shall mean the development program to be conducted in accordance with Section 3 for the development of Development Antibodies generated under the [*] Discovery Program.</w:t>
      </w:r>
    </w:p>
    <w:p>
      <w:pPr>
        <w:spacing w:after="0" w:line="161" w:lineRule="exact"/>
        <w:rPr>
          <w:rFonts w:ascii="Arial" w:cs="Arial" w:eastAsia="Arial" w:hAnsi="Arial"/>
          <w:sz w:val="18"/>
          <w:szCs w:val="18"/>
          <w:b w:val="1"/>
          <w:bCs w:val="1"/>
          <w:color w:val="auto"/>
        </w:rPr>
      </w:pPr>
    </w:p>
    <w:p>
      <w:pPr>
        <w:ind w:right="120" w:firstLine="1492"/>
        <w:spacing w:after="0" w:line="282" w:lineRule="auto"/>
        <w:tabs>
          <w:tab w:leader="none" w:pos="1748" w:val="left"/>
        </w:tabs>
        <w:numPr>
          <w:ilvl w:val="0"/>
          <w:numId w:val="190"/>
        </w:numPr>
        <w:rPr>
          <w:rFonts w:ascii="Arial" w:cs="Arial" w:eastAsia="Arial" w:hAnsi="Arial"/>
          <w:sz w:val="18"/>
          <w:szCs w:val="18"/>
          <w:b w:val="1"/>
          <w:bCs w:val="1"/>
          <w:color w:val="auto"/>
        </w:rPr>
      </w:pPr>
      <w:r>
        <w:rPr>
          <w:rFonts w:ascii="Arial" w:cs="Arial" w:eastAsia="Arial" w:hAnsi="Arial"/>
          <w:sz w:val="18"/>
          <w:szCs w:val="18"/>
          <w:color w:val="auto"/>
        </w:rPr>
        <w:t>1.54 “</w:t>
      </w:r>
      <w:r>
        <w:rPr>
          <w:rFonts w:ascii="Arial" w:cs="Arial" w:eastAsia="Arial" w:hAnsi="Arial"/>
          <w:sz w:val="18"/>
          <w:szCs w:val="18"/>
          <w:b w:val="1"/>
          <w:bCs w:val="1"/>
          <w:color w:val="auto"/>
        </w:rPr>
        <w:t>[*] Discovery Program</w:t>
      </w:r>
      <w:r>
        <w:rPr>
          <w:rFonts w:ascii="Arial" w:cs="Arial" w:eastAsia="Arial" w:hAnsi="Arial"/>
          <w:sz w:val="18"/>
          <w:szCs w:val="18"/>
          <w:color w:val="auto"/>
        </w:rPr>
        <w:t>” shall mean the discovery program to be conducted in accordance with Section 2 for the development of antibodies directed to antagonize both [*].</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Section 1.14, the definition of “Development Programs”, is amended to add the [*] Development Program.</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4" w:right="239" w:bottom="1440" w:gutter="0" w:footer="0" w:header="0"/>
        </w:sectPr>
      </w:pPr>
    </w:p>
    <w:bookmarkStart w:id="233" w:name="page234"/>
    <w:bookmarkEnd w:id="233"/>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color w:val="auto"/>
        </w:rPr>
        <w:t>Section 1.15, the definition of “Discovery Plan”, is amended to add Exhibit A-4 to the Supplemental Information Package.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2.4. </w:t>
      </w:r>
      <w:r>
        <w:rPr>
          <w:rFonts w:ascii="Arial" w:cs="Arial" w:eastAsia="Arial" w:hAnsi="Arial"/>
          <w:sz w:val="18"/>
          <w:szCs w:val="18"/>
          <w:color w:val="auto"/>
        </w:rPr>
        <w:t>Section 1.16, the definition of “Discovery Programs”, is amended to add the [*] Discovery Program.</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Section 1.41, the definition of “Target(s)”, is amended to include [*].</w:t>
      </w:r>
    </w:p>
    <w:p>
      <w:pPr>
        <w:spacing w:after="0" w:line="225" w:lineRule="exact"/>
        <w:rPr>
          <w:sz w:val="20"/>
          <w:szCs w:val="20"/>
          <w:color w:val="auto"/>
        </w:rPr>
      </w:pPr>
    </w:p>
    <w:p>
      <w:pPr>
        <w:ind w:right="420" w:firstLine="913"/>
        <w:spacing w:after="0" w:line="313" w:lineRule="auto"/>
        <w:rPr>
          <w:sz w:val="20"/>
          <w:szCs w:val="20"/>
          <w:color w:val="auto"/>
        </w:rPr>
      </w:pPr>
      <w:r>
        <w:rPr>
          <w:rFonts w:ascii="Arial" w:cs="Arial" w:eastAsia="Arial" w:hAnsi="Arial"/>
          <w:sz w:val="17"/>
          <w:szCs w:val="17"/>
          <w:b w:val="1"/>
          <w:bCs w:val="1"/>
          <w:color w:val="auto"/>
        </w:rPr>
        <w:t xml:space="preserve">2.6. </w:t>
      </w:r>
      <w:r>
        <w:rPr>
          <w:rFonts w:ascii="Arial" w:cs="Arial" w:eastAsia="Arial" w:hAnsi="Arial"/>
          <w:sz w:val="17"/>
          <w:szCs w:val="17"/>
          <w:color w:val="auto"/>
        </w:rPr>
        <w:t>Section 2.4 is hereby amended by adding the following new sentence immediately following the end of Section 2.4: “Exhibit A-4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Supplemental Information Package is hereby added as an additional Discovery Program to be carried out in accordance with this Agreement.”</w:t>
      </w:r>
    </w:p>
    <w:p>
      <w:pPr>
        <w:spacing w:after="0" w:line="13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color w:val="auto"/>
        </w:rPr>
        <w:t>Section 5.3(a) of the Agreement is hereby amended by adding the following new sentence immediately following the end of Section 5.3(a):</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640" w:hanging="176"/>
        <w:spacing w:after="0"/>
        <w:tabs>
          <w:tab w:leader="none" w:pos="640" w:val="left"/>
        </w:tabs>
        <w:numPr>
          <w:ilvl w:val="0"/>
          <w:numId w:val="191"/>
        </w:numPr>
        <w:rPr>
          <w:rFonts w:ascii="Arial" w:cs="Arial" w:eastAsia="Arial" w:hAnsi="Arial"/>
          <w:sz w:val="18"/>
          <w:szCs w:val="18"/>
          <w:b w:val="1"/>
          <w:bCs w:val="1"/>
          <w:color w:val="auto"/>
        </w:rPr>
      </w:pPr>
      <w:r>
        <w:rPr>
          <w:rFonts w:ascii="Arial" w:cs="Arial" w:eastAsia="Arial" w:hAnsi="Arial"/>
          <w:sz w:val="18"/>
          <w:szCs w:val="18"/>
          <w:color w:val="auto"/>
        </w:rPr>
        <w:t>TESARO shall pay AnaptysBio each of the milestone payments set forth in Section 6.3 of the License Agreement [*].</w:t>
      </w:r>
    </w:p>
    <w:p>
      <w:pPr>
        <w:spacing w:after="0" w:line="225" w:lineRule="exact"/>
        <w:rPr>
          <w:rFonts w:ascii="Arial" w:cs="Arial" w:eastAsia="Arial" w:hAnsi="Arial"/>
          <w:sz w:val="18"/>
          <w:szCs w:val="18"/>
          <w:b w:val="1"/>
          <w:bCs w:val="1"/>
          <w:color w:val="auto"/>
        </w:rPr>
      </w:pPr>
    </w:p>
    <w:p>
      <w:pPr>
        <w:ind w:left="640" w:hanging="176"/>
        <w:spacing w:after="0"/>
        <w:tabs>
          <w:tab w:leader="none" w:pos="640" w:val="left"/>
        </w:tabs>
        <w:numPr>
          <w:ilvl w:val="0"/>
          <w:numId w:val="191"/>
        </w:numPr>
        <w:rPr>
          <w:rFonts w:ascii="Arial" w:cs="Arial" w:eastAsia="Arial" w:hAnsi="Arial"/>
          <w:sz w:val="16"/>
          <w:szCs w:val="16"/>
          <w:b w:val="1"/>
          <w:bCs w:val="1"/>
          <w:color w:val="auto"/>
        </w:rPr>
      </w:pPr>
      <w:r>
        <w:rPr>
          <w:rFonts w:ascii="Arial" w:cs="Arial" w:eastAsia="Arial" w:hAnsi="Arial"/>
          <w:sz w:val="16"/>
          <w:szCs w:val="16"/>
          <w:u w:val="single" w:color="auto"/>
          <w:color w:val="auto"/>
        </w:rPr>
        <w:t>Discovery Plan</w:t>
      </w:r>
      <w:r>
        <w:rPr>
          <w:rFonts w:ascii="Arial" w:cs="Arial" w:eastAsia="Arial" w:hAnsi="Arial"/>
          <w:sz w:val="16"/>
          <w:szCs w:val="16"/>
          <w:color w:val="auto"/>
        </w:rPr>
        <w:t>. The Discovery Plan for the [*] Discovery Program shall be added to the Supplemental Information Package as Exhibit A-4, thereto.</w:t>
      </w:r>
    </w:p>
    <w:p>
      <w:pPr>
        <w:spacing w:after="0" w:line="248" w:lineRule="exact"/>
        <w:rPr>
          <w:rFonts w:ascii="Arial" w:cs="Arial" w:eastAsia="Arial" w:hAnsi="Arial"/>
          <w:sz w:val="16"/>
          <w:szCs w:val="16"/>
          <w:b w:val="1"/>
          <w:bCs w:val="1"/>
          <w:color w:val="auto"/>
        </w:rPr>
      </w:pPr>
    </w:p>
    <w:p>
      <w:pPr>
        <w:ind w:right="240" w:firstLine="464"/>
        <w:spacing w:after="0" w:line="277" w:lineRule="auto"/>
        <w:tabs>
          <w:tab w:leader="none" w:pos="636" w:val="left"/>
        </w:tabs>
        <w:numPr>
          <w:ilvl w:val="0"/>
          <w:numId w:val="191"/>
        </w:numPr>
        <w:rPr>
          <w:rFonts w:ascii="Arial" w:cs="Arial" w:eastAsia="Arial" w:hAnsi="Arial"/>
          <w:sz w:val="18"/>
          <w:szCs w:val="18"/>
          <w:b w:val="1"/>
          <w:bCs w:val="1"/>
          <w:color w:val="auto"/>
        </w:rPr>
      </w:pPr>
      <w:r>
        <w:rPr>
          <w:rFonts w:ascii="Arial" w:cs="Arial" w:eastAsia="Arial" w:hAnsi="Arial"/>
          <w:sz w:val="18"/>
          <w:szCs w:val="18"/>
          <w:u w:val="single" w:color="auto"/>
          <w:color w:val="auto"/>
        </w:rPr>
        <w:t>Press Release</w:t>
      </w:r>
      <w:r>
        <w:rPr>
          <w:rFonts w:ascii="Arial" w:cs="Arial" w:eastAsia="Arial" w:hAnsi="Arial"/>
          <w:sz w:val="18"/>
          <w:szCs w:val="18"/>
          <w:color w:val="auto"/>
        </w:rPr>
        <w:t>. Disclosure of the terms of this Amendment are subject to Section 11.1 of the Agreement, provided that the press release attached to this Amendment as Appendix A shall be jointly released by both Parties promptly following the Amendment Date.</w:t>
      </w:r>
    </w:p>
    <w:p>
      <w:pPr>
        <w:spacing w:after="0" w:line="170" w:lineRule="exact"/>
        <w:rPr>
          <w:rFonts w:ascii="Arial" w:cs="Arial" w:eastAsia="Arial" w:hAnsi="Arial"/>
          <w:sz w:val="18"/>
          <w:szCs w:val="18"/>
          <w:b w:val="1"/>
          <w:bCs w:val="1"/>
          <w:color w:val="auto"/>
        </w:rPr>
      </w:pPr>
    </w:p>
    <w:p>
      <w:pPr>
        <w:ind w:right="120" w:firstLine="464"/>
        <w:spacing w:after="0" w:line="264" w:lineRule="auto"/>
        <w:tabs>
          <w:tab w:leader="none" w:pos="636" w:val="left"/>
        </w:tabs>
        <w:numPr>
          <w:ilvl w:val="0"/>
          <w:numId w:val="191"/>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Amendment shall be effective for all purposes as of the Amendment Date. Except as expressly modified herein, the Agreement shall continue to remain in full force and effect in accordance with its terms. This Amendment may be executed in counterparts, each of which shall be deemed to be an original and together shall be deemed to be one and the same document.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w:t>
      </w:r>
    </w:p>
    <w:p>
      <w:pPr>
        <w:sectPr>
          <w:pgSz w:w="11900" w:h="16838" w:orient="portrait"/>
          <w:cols w:equalWidth="0" w:num="1">
            <w:col w:w="11420"/>
          </w:cols>
          <w:pgMar w:left="240" w:top="270" w:right="239" w:bottom="1440" w:gutter="0" w:footer="0" w:header="0"/>
        </w:sectPr>
      </w:pPr>
    </w:p>
    <w:bookmarkStart w:id="234" w:name="page235"/>
    <w:bookmarkEnd w:id="234"/>
    <w:p>
      <w:pPr>
        <w:ind w:right="2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Amendment to be executed by their respective duly authorized representatives effective as of the Amendment Date.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TESARO, INC.</w:t>
            </w:r>
          </w:p>
        </w:tc>
        <w:tc>
          <w:tcPr>
            <w:tcW w:w="5700" w:type="dxa"/>
            <w:vAlign w:val="bottom"/>
            <w:gridSpan w:val="2"/>
          </w:tcPr>
          <w:p>
            <w:pPr>
              <w:ind w:left="220"/>
              <w:spacing w:after="0"/>
              <w:rPr>
                <w:sz w:val="20"/>
                <w:szCs w:val="20"/>
                <w:color w:val="auto"/>
              </w:rPr>
            </w:pPr>
            <w:r>
              <w:rPr>
                <w:rFonts w:ascii="Arial" w:cs="Arial" w:eastAsia="Arial" w:hAnsi="Arial"/>
                <w:sz w:val="18"/>
                <w:szCs w:val="18"/>
                <w:color w:val="auto"/>
              </w:rPr>
              <w:t>ANAPTYSBIO, INC.</w:t>
            </w: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ind w:left="220"/>
              <w:spacing w:after="0"/>
              <w:rPr>
                <w:sz w:val="20"/>
                <w:szCs w:val="20"/>
                <w:color w:val="auto"/>
              </w:rPr>
            </w:pPr>
            <w:r>
              <w:rPr>
                <w:rFonts w:ascii="Arial" w:cs="Arial" w:eastAsia="Arial" w:hAnsi="Arial"/>
                <w:sz w:val="18"/>
                <w:szCs w:val="18"/>
                <w:color w:val="auto"/>
                <w:w w:val="86"/>
              </w:rPr>
              <w:t>Name: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Hamza Suria</w:t>
            </w: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ind w:left="220"/>
              <w:spacing w:after="0"/>
              <w:rPr>
                <w:sz w:val="20"/>
                <w:szCs w:val="20"/>
                <w:color w:val="auto"/>
              </w:rPr>
            </w:pPr>
            <w:r>
              <w:rPr>
                <w:rFonts w:ascii="Arial" w:cs="Arial" w:eastAsia="Arial" w:hAnsi="Arial"/>
                <w:sz w:val="18"/>
                <w:szCs w:val="18"/>
                <w:color w:val="auto"/>
              </w:rPr>
              <w:t>Title:</w:t>
            </w:r>
          </w:p>
        </w:tc>
        <w:tc>
          <w:tcPr>
            <w:tcW w:w="5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President &amp; CEO</w:t>
            </w:r>
          </w:p>
        </w:tc>
      </w:tr>
      <w:tr>
        <w:trPr>
          <w:trHeight w:val="412"/>
        </w:trPr>
        <w:tc>
          <w:tcPr>
            <w:tcW w:w="5720" w:type="dxa"/>
            <w:vAlign w:val="bottom"/>
            <w:gridSpan w:val="2"/>
          </w:tcPr>
          <w:p>
            <w:pPr>
              <w:spacing w:after="0"/>
              <w:rPr>
                <w:sz w:val="20"/>
                <w:szCs w:val="20"/>
                <w:color w:val="auto"/>
              </w:rPr>
            </w:pPr>
            <w:r>
              <w:rPr>
                <w:rFonts w:ascii="Arial" w:cs="Arial" w:eastAsia="Arial" w:hAnsi="Arial"/>
                <w:sz w:val="18"/>
                <w:szCs w:val="18"/>
                <w:color w:val="auto"/>
              </w:rPr>
              <w:t>TESARO DEVELOPMENT, LTD.</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Leon O. Moulder, Jr.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412"/>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Chief Executive Officer</w:t>
            </w:r>
          </w:p>
        </w:tc>
        <w:tc>
          <w:tcPr>
            <w:tcW w:w="700" w:type="dxa"/>
            <w:vAlign w:val="bottom"/>
          </w:tcPr>
          <w:p>
            <w:pPr>
              <w:spacing w:after="0"/>
              <w:rPr>
                <w:sz w:val="24"/>
                <w:szCs w:val="24"/>
                <w:color w:val="auto"/>
              </w:rPr>
            </w:pPr>
          </w:p>
        </w:tc>
        <w:tc>
          <w:tcPr>
            <w:tcW w:w="50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A</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Press Release</w:t>
      </w:r>
    </w:p>
    <w:p>
      <w:pPr>
        <w:sectPr>
          <w:pgSz w:w="11900" w:h="16838" w:orient="portrait"/>
          <w:cols w:equalWidth="0" w:num="1">
            <w:col w:w="9019"/>
          </w:cols>
          <w:pgMar w:left="1440" w:top="270" w:right="1440"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RELEASE ON DECEMBER 2, 2014 AT 5:15 AM ET</w:t>
      </w:r>
    </w:p>
    <w:p>
      <w:pPr>
        <w:spacing w:after="0" w:line="225" w:lineRule="exact"/>
        <w:rPr>
          <w:sz w:val="20"/>
          <w:szCs w:val="20"/>
          <w:color w:val="auto"/>
        </w:rPr>
      </w:pPr>
    </w:p>
    <w:p>
      <w:pPr>
        <w:jc w:val="center"/>
        <w:ind w:left="260" w:right="300"/>
        <w:spacing w:after="0" w:line="282" w:lineRule="auto"/>
        <w:rPr>
          <w:sz w:val="20"/>
          <w:szCs w:val="20"/>
          <w:color w:val="auto"/>
        </w:rPr>
      </w:pPr>
      <w:r>
        <w:rPr>
          <w:rFonts w:ascii="Arial" w:cs="Arial" w:eastAsia="Arial" w:hAnsi="Arial"/>
          <w:sz w:val="18"/>
          <w:szCs w:val="18"/>
          <w:b w:val="1"/>
          <w:bCs w:val="1"/>
          <w:color w:val="auto"/>
        </w:rPr>
        <w:t>TESARO AND ANAPTYSBIO EXPAND IMMUNO-ONCOLOGY COLLABORATION TO INCLUDE NOVEL BISPECIFIC ANTIBODY CANDIDATE</w:t>
      </w:r>
    </w:p>
    <w:p>
      <w:pPr>
        <w:spacing w:after="0" w:line="162" w:lineRule="exact"/>
        <w:rPr>
          <w:sz w:val="20"/>
          <w:szCs w:val="20"/>
          <w:color w:val="auto"/>
        </w:rPr>
      </w:pPr>
    </w:p>
    <w:p>
      <w:pPr>
        <w:ind w:right="4520"/>
        <w:spacing w:after="0" w:line="282" w:lineRule="auto"/>
        <w:rPr>
          <w:sz w:val="20"/>
          <w:szCs w:val="20"/>
          <w:color w:val="auto"/>
        </w:rPr>
      </w:pPr>
      <w:r>
        <w:rPr>
          <w:rFonts w:ascii="Arial" w:cs="Arial" w:eastAsia="Arial" w:hAnsi="Arial"/>
          <w:sz w:val="18"/>
          <w:szCs w:val="18"/>
          <w:b w:val="1"/>
          <w:bCs w:val="1"/>
          <w:color w:val="auto"/>
        </w:rPr>
        <w:t>—Candidate Will Target Two Undisclosed Immune Checkpoints —Anti-TIM-3 Antibody Data to be Presented Today at the AACR Conference in Orlando</w:t>
      </w:r>
    </w:p>
    <w:p>
      <w:pPr>
        <w:spacing w:after="0" w:line="16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WALTHAM, MA, and SAN DIEGO, CA – December 2, 2014 – TESARO, Inc. (NASDAQ: TSRO), an oncology-focused biopharmaceutical company, and AnaptysBio, Inc., a privately-held therapeutic antibody company, today announced an expansion of their immuno-oncology collaboration and exclusive license agreement to include development of a novel bispecific antibody candidate designed to target two undisclosed immune checkpoints.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AnaptysBio and TESARO first initiated their collaboration in March of 2014, and have together focused on the development of monospecific antibody drug candidates targeting TIM-3, LAG-3 and PD-1 and dual reactive antibody drug candidates targeting PD-1/TIM-3 and PD-1/LAG-3. Since the beginning of this partnership, Investigational New Drug (IND) enabling preclinical studies of TSR-042 (anti-PD-1 antibody candidate) have been initiated, and additional clinical candidates have been identified, including lead candidates targeting TIM-3 and LAG-3.</w:t>
      </w:r>
    </w:p>
    <w:p>
      <w:pPr>
        <w:spacing w:after="0" w:line="18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“Through our collaboration with AnaptysBio, we are employing a variety of approaches, including monospecific, bispecific and dual specific antibodies, to address some of the most validated and promising immune checkpoint targets,” said Mary Lynne Hedley, president and COO of TESARO. “We are committed to advancing the science of immuno-oncology in order to potentially transform the care of patients with cancer. Our team looks forward to continued collaboration with AnaptysBio on these programs and to the presentation of data describing our anti-TIM-3 antibody candidate at the AACR conference later today in Orlando.”</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“AnaptysBio continues to focus on the development of therapeutic antibodies for unmet medical needs in immuno-oncology, inflammation and fibrosis. Our strategic advantage is the ability to rapidly discover and develop therapeutic antibodies against emerging biological targets using the natural somatic hypermutation mechanism encoded within the human immune system,” said Hamza Suria, president and CEO of AnaptysBio. “We are pleased to expand our collaboration with TESARO, and look forward to advancing multiple immuno-oncology antibodies into the clinic.”</w:t>
      </w:r>
    </w:p>
    <w:p>
      <w:pPr>
        <w:spacing w:after="0" w:line="17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Under the terms of this expansion, TESARO will pay AnaptysBio an undisclosed upfront fee and will provide funding for all costs incurred by AnaptysBio related to the development of a clinical antibody candidate. For each program within the collaboration, AnaptysBio is eligible to receive milestone payments if certain research and development events are achieved and additional payments for achievement of certain U.S. and ex-U.S. regulatory submissions and approvals in multiple indications. AnaptysBio will also be eligible to receive royalties related to worldwide net sales of products developed under the collaboration, and may earn certain commercial milestone payments if specified levels of annual worldwide net sales are attained. AnaptysBio and TESARO will together complete preclinical development of the antibody candidates, with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0" w:right="25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TESARO being solely responsible for all clinical development, manufacturing, regulatory and commercial activities.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AACR Poster Presentation Details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AACR Conference: Tumor Immunology and Immunotherapy: A New Chapter (Orlando) Tuesday, December 2, 2014, 1:15 PM to 3:30 PM, Poster Session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Abstract title: </w:t>
      </w:r>
      <w:r>
        <w:rPr>
          <w:rFonts w:ascii="Arial" w:cs="Arial" w:eastAsia="Arial" w:hAnsi="Arial"/>
          <w:sz w:val="18"/>
          <w:szCs w:val="18"/>
          <w:i w:val="1"/>
          <w:iCs w:val="1"/>
          <w:color w:val="auto"/>
        </w:rPr>
        <w:t>Identification and characterization of a potent anti-human TIM-3 antagonist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poster will be available following its presentation at: </w:t>
      </w:r>
      <w:r>
        <w:rPr>
          <w:rFonts w:ascii="Arial" w:cs="Arial" w:eastAsia="Arial" w:hAnsi="Arial"/>
          <w:sz w:val="18"/>
          <w:szCs w:val="18"/>
          <w:u w:val="single" w:color="auto"/>
          <w:color w:val="auto"/>
        </w:rPr>
        <w:t>http://www.tesarobio.com/documents/AACRDec2014.pdf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AnaptysBio</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AnaptysBio is a privately-held antibody development company advancing first-in-class programs in immuno-oncology, inflammation and fibrosis. AnaptysBio’s proprietary SHM-XEL™ platform, which couples fully human antibody libraries with in vitro somatic hypermutation in mammalian cells to generate high affinity antibodies. replicates key features of the human immune system and overcomes limitations of prior antibody technologies. Multiple antibodies emanating from the AnaptysBio pipeline are currently undergoing IND-enabling studies with potentially transformative clinical read-outs during the 2016-2017 timeframe. For more information, visit </w:t>
      </w:r>
      <w:r>
        <w:rPr>
          <w:rFonts w:ascii="Arial" w:cs="Arial" w:eastAsia="Arial" w:hAnsi="Arial"/>
          <w:sz w:val="18"/>
          <w:szCs w:val="18"/>
          <w:u w:val="single" w:color="auto"/>
          <w:color w:val="auto"/>
        </w:rPr>
        <w:t>www.anaptysbio.com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TESARO</w:t>
      </w:r>
    </w:p>
    <w:p>
      <w:pPr>
        <w:spacing w:after="0" w:line="12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 xml:space="preserve">TESARO is an oncology-focused biopharmaceutical company dedicated to improving the lives of cancer patients by acquiring, developing and commercializing safer and more effective therapeutics. For more information, visit </w:t>
      </w:r>
      <w:r>
        <w:rPr>
          <w:rFonts w:ascii="Arial" w:cs="Arial" w:eastAsia="Arial" w:hAnsi="Arial"/>
          <w:sz w:val="18"/>
          <w:szCs w:val="18"/>
          <w:u w:val="single" w:color="auto"/>
          <w:color w:val="auto"/>
        </w:rPr>
        <w:t>www.tesarobio.com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TESARO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Jennifer Davis Sr.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+1.781.325.1116 or </w:t>
      </w:r>
      <w:r>
        <w:rPr>
          <w:rFonts w:ascii="Arial" w:cs="Arial" w:eastAsia="Arial" w:hAnsi="Arial"/>
          <w:sz w:val="18"/>
          <w:szCs w:val="18"/>
          <w:u w:val="single" w:color="auto"/>
          <w:color w:val="auto"/>
        </w:rPr>
        <w:t>jdavis@tesarobio.com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+1.206.769.9219 or </w:t>
      </w:r>
      <w:r>
        <w:rPr>
          <w:rFonts w:ascii="Arial" w:cs="Arial" w:eastAsia="Arial" w:hAnsi="Arial"/>
          <w:sz w:val="18"/>
          <w:szCs w:val="18"/>
          <w:u w:val="single" w:color="auto"/>
          <w:color w:val="auto"/>
        </w:rPr>
        <w:t>julie@rathbuncomm.com</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To the extent that statements contained in this press release are not descriptions of historical facts regarding TESARO, they are forward-looking statements reflecting the current beliefs and expectations of management made pursuant to the safe harbor provisions of the Private Securities Litigation Reform Act of 1995. Words such as “may,” “will,” “expect,” “anticipate,” “estimate,” “intend,” and similar expressions (as well as other words or expressions referencing future events, conditions or circumstances) are intended to identify forward-looking statements. Examples of forward looking statements contained in this press release include, among others, statements regarding our expectations regarding the timing of both the selection of clinical candidates from the programs and the commencement of clinical testing, our development plans for any antibody therapeutic candidates individually and in combination</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38" w:name="page239"/>
    <w:bookmarkEnd w:id="238"/>
    <w:p>
      <w:pPr>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products and product candidates, and our ability to form partnerships in the future in support of our overall oncology strategy. Forward-looking statements in this release involve substantial risks and uncertainties that could cause our research and pre-clinical development programs, clinical development programs, future results, performance or achievements to differ significantly from those expressed or implied by the forward-looking statements. Such risks and uncertainties include, among others. the uncertainties inherent in the research and development of therapeutic antibodies, including the selection, pre-clinical testing and manufacturing of antibodies, initiation of future clinical trials, availability of data from ongoing clinical trials, expectations for regulatory approvals, and other matters that could affect the availability or commercial potential of our drug candidates. TESARO undertakes no obligation to update or revise any forward-looking statements. For a further description of the risks and uncertainties that could cause actual results to differ from those expressed in these forward-looking statements, as well as risks relating to the business of the Company in general, see TESARO’s Annual Report on Form 10-K for the year ended December 31, 2013, and Quarterly Report on Form 10-Q for the quarter ended September 30, 2014.</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(as the same may from time to time be amended, modified, supplemented or restated, this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dated as of December 24, 2014 (the “</w:t>
      </w:r>
      <w:r>
        <w:rPr>
          <w:rFonts w:ascii="Arial" w:cs="Arial" w:eastAsia="Arial" w:hAnsi="Arial"/>
          <w:sz w:val="16"/>
          <w:szCs w:val="16"/>
          <w:b w:val="1"/>
          <w:bCs w:val="1"/>
          <w:color w:val="auto"/>
        </w:rPr>
        <w:t>Effective Date</w:t>
      </w:r>
      <w:r>
        <w:rPr>
          <w:rFonts w:ascii="Arial" w:cs="Arial" w:eastAsia="Arial" w:hAnsi="Arial"/>
          <w:sz w:val="16"/>
          <w:szCs w:val="16"/>
          <w:color w:val="auto"/>
        </w:rPr>
        <w:t>”) among OXFORD FINANCE LLC, a Delaware limited liability company with an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located at 133 North Fairfax Street, Alexandria, Virginia 22314 (“</w:t>
      </w:r>
      <w:r>
        <w:rPr>
          <w:rFonts w:ascii="Arial" w:cs="Arial" w:eastAsia="Arial" w:hAnsi="Arial"/>
          <w:sz w:val="16"/>
          <w:szCs w:val="16"/>
          <w:b w:val="1"/>
          <w:bCs w:val="1"/>
          <w:color w:val="auto"/>
        </w:rPr>
        <w:t>Oxford</w:t>
      </w:r>
      <w:r>
        <w:rPr>
          <w:rFonts w:ascii="Arial" w:cs="Arial" w:eastAsia="Arial" w:hAnsi="Arial"/>
          <w:sz w:val="16"/>
          <w:szCs w:val="16"/>
          <w:color w:val="auto"/>
        </w:rPr>
        <w:t>”),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the Lenders listed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hereof or otherwise a party hereto from time to time including Oxford in its capacity as a Lender and SILICON VALLEY BANK, a California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with an office located at 3003 Tasman Drive, Santa Clara, CA 95054 (“</w:t>
      </w:r>
      <w:r>
        <w:rPr>
          <w:rFonts w:ascii="Arial" w:cs="Arial" w:eastAsia="Arial" w:hAnsi="Arial"/>
          <w:sz w:val="16"/>
          <w:szCs w:val="16"/>
          <w:b w:val="1"/>
          <w:bCs w:val="1"/>
          <w:color w:val="auto"/>
        </w:rPr>
        <w:t>Bank</w:t>
      </w:r>
      <w:r>
        <w:rPr>
          <w:rFonts w:ascii="Arial" w:cs="Arial" w:eastAsia="Arial" w:hAnsi="Arial"/>
          <w:sz w:val="16"/>
          <w:szCs w:val="16"/>
          <w:color w:val="auto"/>
        </w:rPr>
        <w:t>” or “</w:t>
      </w:r>
      <w:r>
        <w:rPr>
          <w:rFonts w:ascii="Arial" w:cs="Arial" w:eastAsia="Arial" w:hAnsi="Arial"/>
          <w:sz w:val="16"/>
          <w:szCs w:val="16"/>
          <w:b w:val="1"/>
          <w:bCs w:val="1"/>
          <w:color w:val="auto"/>
        </w:rPr>
        <w:t>SVB</w:t>
      </w:r>
      <w:r>
        <w:rPr>
          <w:rFonts w:ascii="Arial" w:cs="Arial" w:eastAsia="Arial" w:hAnsi="Arial"/>
          <w:sz w:val="16"/>
          <w:szCs w:val="16"/>
          <w:color w:val="auto"/>
        </w:rPr>
        <w:t>”)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ANAPTYSBIO, INC., a Delaware corporation with offices located at 10421 Pacific Center Court, Suite 200, San Diego, CA 92121 (individually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collectively, jointly and severally, “</w:t>
      </w:r>
      <w:r>
        <w:rPr>
          <w:rFonts w:ascii="Arial" w:cs="Arial" w:eastAsia="Arial" w:hAnsi="Arial"/>
          <w:sz w:val="16"/>
          <w:szCs w:val="16"/>
          <w:b w:val="1"/>
          <w:bCs w:val="1"/>
          <w:color w:val="auto"/>
        </w:rPr>
        <w:t>Borrower</w:t>
      </w:r>
      <w:r>
        <w:rPr>
          <w:rFonts w:ascii="Arial" w:cs="Arial" w:eastAsia="Arial" w:hAnsi="Arial"/>
          <w:sz w:val="16"/>
          <w:szCs w:val="16"/>
          <w:color w:val="auto"/>
        </w:rPr>
        <w:t>”), provides the terms on which the Lenders shall lend to Borrower and Borrower shall repay the Lenders.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parties agree as follows:</w:t>
      </w:r>
    </w:p>
    <w:p>
      <w:pPr>
        <w:spacing w:after="0" w:line="355"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17"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Accounting terms not defined in this Agreement shall be construed in accordance with GAAP. Calculations and determinations must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Arial" w:cs="Arial" w:eastAsia="Arial" w:hAnsi="Arial"/>
          <w:sz w:val="18"/>
          <w:szCs w:val="18"/>
          <w:b w:val="1"/>
          <w:bCs w:val="1"/>
          <w:color w:val="auto"/>
        </w:rPr>
        <w:t>Dollars</w:t>
      </w:r>
      <w:r>
        <w:rPr>
          <w:rFonts w:ascii="Arial" w:cs="Arial" w:eastAsia="Arial" w:hAnsi="Arial"/>
          <w:sz w:val="18"/>
          <w:szCs w:val="18"/>
          <w:color w:val="auto"/>
        </w:rPr>
        <w:t>” or “$” are United States Dollars, unless otherwise noted.</w:t>
      </w:r>
    </w:p>
    <w:p>
      <w:pPr>
        <w:spacing w:after="0" w:line="329"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117" w:lineRule="exact"/>
        <w:rPr>
          <w:sz w:val="20"/>
          <w:szCs w:val="20"/>
          <w:color w:val="auto"/>
        </w:rPr>
      </w:pPr>
    </w:p>
    <w:p>
      <w:pPr>
        <w:ind w:right="80" w:firstLine="456"/>
        <w:spacing w:after="0" w:line="347" w:lineRule="auto"/>
        <w:rPr>
          <w:sz w:val="20"/>
          <w:szCs w:val="20"/>
          <w:color w:val="auto"/>
        </w:rPr>
      </w:pPr>
      <w:r>
        <w:rPr>
          <w:rFonts w:ascii="Arial" w:cs="Arial" w:eastAsia="Arial" w:hAnsi="Arial"/>
          <w:sz w:val="16"/>
          <w:szCs w:val="16"/>
          <w:b w:val="1"/>
          <w:bCs w:val="1"/>
          <w:color w:val="auto"/>
        </w:rPr>
        <w:t>2.1. Promise to Pay</w:t>
      </w:r>
      <w:r>
        <w:rPr>
          <w:rFonts w:ascii="Arial" w:cs="Arial" w:eastAsia="Arial" w:hAnsi="Arial"/>
          <w:sz w:val="16"/>
          <w:szCs w:val="16"/>
          <w:color w:val="auto"/>
        </w:rPr>
        <w:t>. Borrower hereby unconditionally promises to pay each Lender, the outstanding principal amount of all Term Loans advanced to</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 by such Lender and accrued and unpaid interest thereon and any other amounts due hereunder as and when due in accordance with this Agreement.</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2.2. Term Loans</w:t>
      </w:r>
      <w:r>
        <w:rPr>
          <w:rFonts w:ascii="Arial" w:cs="Arial" w:eastAsia="Arial" w:hAnsi="Arial"/>
          <w:sz w:val="18"/>
          <w:szCs w:val="18"/>
          <w:color w:val="auto"/>
        </w:rPr>
        <w:t>.</w:t>
      </w:r>
    </w:p>
    <w:p>
      <w:pPr>
        <w:spacing w:after="0" w:line="229" w:lineRule="exact"/>
        <w:rPr>
          <w:sz w:val="20"/>
          <w:szCs w:val="20"/>
          <w:color w:val="auto"/>
        </w:rPr>
      </w:pPr>
    </w:p>
    <w:p>
      <w:pPr>
        <w:ind w:right="60" w:firstLine="921"/>
        <w:spacing w:after="0" w:line="259" w:lineRule="auto"/>
        <w:tabs>
          <w:tab w:leader="none" w:pos="1157"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(i) Subject to the terms and conditions of this Agreement, the Lenders agree, severally and not jointly, to make term loans to Borrower in a single advance on the Effective Date in an aggregate amount of Five Million Dollars ($5,000,000.00) according to each Lender’s Term A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A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A</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After repayment, no Term A Loan may be re-borrowed.</w:t>
      </w:r>
    </w:p>
    <w:p>
      <w:pPr>
        <w:spacing w:after="0" w:line="186" w:lineRule="exact"/>
        <w:rPr>
          <w:rFonts w:ascii="Arial" w:cs="Arial" w:eastAsia="Arial" w:hAnsi="Arial"/>
          <w:sz w:val="18"/>
          <w:szCs w:val="18"/>
          <w:color w:val="auto"/>
        </w:rPr>
      </w:pPr>
    </w:p>
    <w:p>
      <w:pPr>
        <w:ind w:firstLine="1492"/>
        <w:spacing w:after="0" w:line="259" w:lineRule="auto"/>
        <w:tabs>
          <w:tab w:leader="none" w:pos="174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Second Draw Period, to make term loans to Borrower in a single advance in an aggregate amount of Five Million Dollars ($5,000,000.00) according to each Lender’s Term B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w:t>
      </w:r>
      <w:r>
        <w:rPr>
          <w:rFonts w:ascii="Arial" w:cs="Arial" w:eastAsia="Arial" w:hAnsi="Arial"/>
          <w:sz w:val="18"/>
          <w:szCs w:val="18"/>
          <w:color w:val="auto"/>
        </w:rPr>
        <w:t xml:space="preserve"> </w:t>
      </w:r>
      <w:r>
        <w:rPr>
          <w:rFonts w:ascii="Arial" w:cs="Arial" w:eastAsia="Arial" w:hAnsi="Arial"/>
          <w:sz w:val="18"/>
          <w:szCs w:val="18"/>
          <w:b w:val="1"/>
          <w:bCs w:val="1"/>
          <w:color w:val="auto"/>
        </w:rPr>
        <w:t>Loans</w:t>
      </w:r>
      <w:r>
        <w:rPr>
          <w:rFonts w:ascii="Arial" w:cs="Arial" w:eastAsia="Arial" w:hAnsi="Arial"/>
          <w:sz w:val="18"/>
          <w:szCs w:val="18"/>
          <w:color w:val="auto"/>
        </w:rPr>
        <w:t>”. After repayment, no Term B Loan may be re-borrowed.</w:t>
      </w:r>
    </w:p>
    <w:p>
      <w:pPr>
        <w:spacing w:after="0" w:line="186" w:lineRule="exact"/>
        <w:rPr>
          <w:rFonts w:ascii="Arial" w:cs="Arial" w:eastAsia="Arial" w:hAnsi="Arial"/>
          <w:sz w:val="18"/>
          <w:szCs w:val="18"/>
          <w:color w:val="auto"/>
        </w:rPr>
      </w:pPr>
    </w:p>
    <w:p>
      <w:pPr>
        <w:ind w:right="80" w:firstLine="1492"/>
        <w:spacing w:after="0" w:line="297" w:lineRule="auto"/>
        <w:tabs>
          <w:tab w:leader="none" w:pos="179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of this Agreement, the Lenders agree, severally and not jointly, during the Third Draw Period, to make term loans to Borrower in a single advance in an aggregate amount of Five Million Dollars ($5,000,000.00) according to each Lender’s Term C Loan Commitment as set forth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(such term loans are hereinafter referred to singly as a “</w:t>
      </w:r>
      <w:r>
        <w:rPr>
          <w:rFonts w:ascii="Arial" w:cs="Arial" w:eastAsia="Arial" w:hAnsi="Arial"/>
          <w:sz w:val="16"/>
          <w:szCs w:val="16"/>
          <w:b w:val="1"/>
          <w:bCs w:val="1"/>
          <w:color w:val="auto"/>
        </w:rPr>
        <w:t>Term C Loan</w:t>
      </w:r>
      <w:r>
        <w:rPr>
          <w:rFonts w:ascii="Arial" w:cs="Arial" w:eastAsia="Arial" w:hAnsi="Arial"/>
          <w:sz w:val="16"/>
          <w:szCs w:val="16"/>
          <w:color w:val="auto"/>
        </w:rPr>
        <w:t>”, and collectively as the “</w:t>
      </w:r>
      <w:r>
        <w:rPr>
          <w:rFonts w:ascii="Arial" w:cs="Arial" w:eastAsia="Arial" w:hAnsi="Arial"/>
          <w:sz w:val="16"/>
          <w:szCs w:val="16"/>
          <w:b w:val="1"/>
          <w:bCs w:val="1"/>
          <w:color w:val="auto"/>
        </w:rPr>
        <w:t>Term C</w:t>
      </w:r>
      <w:r>
        <w:rPr>
          <w:rFonts w:ascii="Arial" w:cs="Arial" w:eastAsia="Arial" w:hAnsi="Arial"/>
          <w:sz w:val="16"/>
          <w:szCs w:val="16"/>
          <w:color w:val="auto"/>
        </w:rPr>
        <w:t xml:space="preserve"> </w:t>
      </w:r>
      <w:r>
        <w:rPr>
          <w:rFonts w:ascii="Arial" w:cs="Arial" w:eastAsia="Arial" w:hAnsi="Arial"/>
          <w:sz w:val="16"/>
          <w:szCs w:val="16"/>
          <w:b w:val="1"/>
          <w:bCs w:val="1"/>
          <w:color w:val="auto"/>
        </w:rPr>
        <w:t>Loans</w:t>
      </w:r>
      <w:r>
        <w:rPr>
          <w:rFonts w:ascii="Arial" w:cs="Arial" w:eastAsia="Arial" w:hAnsi="Arial"/>
          <w:sz w:val="16"/>
          <w:szCs w:val="16"/>
          <w:color w:val="auto"/>
        </w:rPr>
        <w:t>”; each Term A Loan, Term B Loan or Term C Loan is hereinafter referred to singly as a “</w:t>
      </w:r>
      <w:r>
        <w:rPr>
          <w:rFonts w:ascii="Arial" w:cs="Arial" w:eastAsia="Arial" w:hAnsi="Arial"/>
          <w:sz w:val="16"/>
          <w:szCs w:val="16"/>
          <w:b w:val="1"/>
          <w:bCs w:val="1"/>
          <w:color w:val="auto"/>
        </w:rPr>
        <w:t>Term Loan</w:t>
      </w:r>
      <w:r>
        <w:rPr>
          <w:rFonts w:ascii="Arial" w:cs="Arial" w:eastAsia="Arial" w:hAnsi="Arial"/>
          <w:sz w:val="16"/>
          <w:szCs w:val="16"/>
          <w:color w:val="auto"/>
        </w:rPr>
        <w:t>” and the Term A Loans, the Term B Loans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C Loans are hereinafter referred to collectively as the “</w:t>
      </w:r>
      <w:r>
        <w:rPr>
          <w:rFonts w:ascii="Arial" w:cs="Arial" w:eastAsia="Arial" w:hAnsi="Arial"/>
          <w:sz w:val="16"/>
          <w:szCs w:val="16"/>
          <w:b w:val="1"/>
          <w:bCs w:val="1"/>
          <w:color w:val="auto"/>
        </w:rPr>
        <w:t>Term Loans</w:t>
      </w:r>
      <w:r>
        <w:rPr>
          <w:rFonts w:ascii="Arial" w:cs="Arial" w:eastAsia="Arial" w:hAnsi="Arial"/>
          <w:sz w:val="16"/>
          <w:szCs w:val="16"/>
          <w:color w:val="auto"/>
        </w:rPr>
        <w:t>”). After repayment, no Term C Loan may be re-borrowed.</w:t>
      </w:r>
    </w:p>
    <w:p>
      <w:pPr>
        <w:spacing w:after="0" w:line="158" w:lineRule="exact"/>
        <w:rPr>
          <w:rFonts w:ascii="Arial" w:cs="Arial" w:eastAsia="Arial" w:hAnsi="Arial"/>
          <w:sz w:val="16"/>
          <w:szCs w:val="16"/>
          <w:color w:val="auto"/>
        </w:rPr>
      </w:pPr>
    </w:p>
    <w:p>
      <w:pPr>
        <w:jc w:val="both"/>
        <w:ind w:right="60" w:firstLine="921"/>
        <w:spacing w:after="0" w:line="279" w:lineRule="auto"/>
        <w:tabs>
          <w:tab w:leader="none" w:pos="1168"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Borrower shall make monthly payments of interest only commencing on the first (1</w:t>
      </w:r>
      <w:r>
        <w:rPr>
          <w:rFonts w:ascii="Arial" w:cs="Arial" w:eastAsia="Arial" w:hAnsi="Arial"/>
          <w:sz w:val="14"/>
          <w:szCs w:val="14"/>
          <w:color w:val="auto"/>
        </w:rPr>
        <w:t>st</w:t>
      </w:r>
      <w:r>
        <w:rPr>
          <w:rFonts w:ascii="Arial" w:cs="Arial" w:eastAsia="Arial" w:hAnsi="Arial"/>
          <w:sz w:val="17"/>
          <w:szCs w:val="17"/>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240" w:name="page241"/>
    <w:bookmarkEnd w:id="24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(X) if the Amortization Date is February 1, 2016, thirty six (36) months, (Y) if the Amortization Date is August 1, 2016, thirty (30) months, and</w:t>
      </w:r>
    </w:p>
    <w:p>
      <w:pPr>
        <w:spacing w:after="0" w:line="2" w:lineRule="exact"/>
        <w:rPr>
          <w:sz w:val="20"/>
          <w:szCs w:val="20"/>
          <w:color w:val="auto"/>
        </w:rPr>
      </w:pPr>
    </w:p>
    <w:p>
      <w:pPr>
        <w:ind w:right="280" w:firstLine="8"/>
        <w:spacing w:after="0" w:line="290" w:lineRule="auto"/>
        <w:tabs>
          <w:tab w:leader="none" w:pos="27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if the Amortization Date is February 1, 2017, twenty four (24) months. All unpaid principal and accrued and unpaid interest with respect to each Term Loan is due and payable in full on the Maturity Date. Each Term Loan may only be prepaid in accordance with Sections 2.2(c) and 2.2(d).</w:t>
      </w:r>
    </w:p>
    <w:p>
      <w:pPr>
        <w:spacing w:after="0" w:line="161" w:lineRule="exact"/>
        <w:rPr>
          <w:rFonts w:ascii="Arial" w:cs="Arial" w:eastAsia="Arial" w:hAnsi="Arial"/>
          <w:sz w:val="17"/>
          <w:szCs w:val="17"/>
          <w:color w:val="auto"/>
        </w:rPr>
      </w:pPr>
    </w:p>
    <w:p>
      <w:pPr>
        <w:ind w:right="40" w:firstLine="921"/>
        <w:spacing w:after="0" w:line="255" w:lineRule="auto"/>
        <w:tabs>
          <w:tab w:leader="none" w:pos="1157"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plus (iv)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189" w:lineRule="exact"/>
        <w:rPr>
          <w:rFonts w:ascii="Arial" w:cs="Arial" w:eastAsia="Arial" w:hAnsi="Arial"/>
          <w:sz w:val="18"/>
          <w:szCs w:val="18"/>
          <w:color w:val="auto"/>
        </w:rPr>
      </w:pPr>
    </w:p>
    <w:p>
      <w:pPr>
        <w:ind w:right="120" w:firstLine="921"/>
        <w:spacing w:after="0" w:line="291" w:lineRule="auto"/>
        <w:tabs>
          <w:tab w:leader="none" w:pos="1168"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Loans</w:t>
      </w:r>
      <w:r>
        <w:rPr>
          <w:rFonts w:ascii="Arial" w:cs="Arial" w:eastAsia="Arial" w:hAnsi="Arial"/>
          <w:sz w:val="16"/>
          <w:szCs w:val="16"/>
          <w:color w:val="auto"/>
        </w:rPr>
        <w:t>. Borrower shall have the option to prepay all, but not less than all, of the Term Loans advanced by the Lenders under this Agreement, provided Borrower (i) provides written notice to Collateral Agent of its election to prepay the Term Loans at least thirty</w:t>
      </w: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(30)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amounts.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Payment of Interest on the Credit Extensions</w:t>
      </w:r>
      <w:r>
        <w:rPr>
          <w:rFonts w:ascii="Arial" w:cs="Arial" w:eastAsia="Arial" w:hAnsi="Arial"/>
          <w:sz w:val="18"/>
          <w:szCs w:val="18"/>
          <w:color w:val="auto"/>
        </w:rPr>
        <w:t>.</w:t>
      </w:r>
    </w:p>
    <w:p>
      <w:pPr>
        <w:spacing w:after="0" w:line="229" w:lineRule="exact"/>
        <w:rPr>
          <w:sz w:val="20"/>
          <w:szCs w:val="20"/>
          <w:color w:val="auto"/>
        </w:rPr>
      </w:pPr>
    </w:p>
    <w:p>
      <w:pPr>
        <w:ind w:right="20" w:firstLine="921"/>
        <w:spacing w:after="0" w:line="257" w:lineRule="auto"/>
        <w:tabs>
          <w:tab w:leader="none" w:pos="1157"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Subject to Section 2.3(b), the principal amount outstanding under the Term Loans shall accrue interest at a fixed per annum rate (which rate shall be fixed for the duration of the applicable Term Loan) equal to the Basic Rate, determined by Collateral Agent on the Funding Date of the applicable Term Loan, which interest shall be payable monthly in arrears in accordance with Sections 2.2(b) and 2.3(e). Interest shall accrue on each Term Loan commencing on, and including, the Funding Date of such Term Loan, and shall accrue on the principal amount outstanding under such Term Loan through and including the day on which such Term Loan is paid in full.</w:t>
      </w:r>
    </w:p>
    <w:p>
      <w:pPr>
        <w:spacing w:after="0" w:line="188" w:lineRule="exact"/>
        <w:rPr>
          <w:rFonts w:ascii="Arial" w:cs="Arial" w:eastAsia="Arial" w:hAnsi="Arial"/>
          <w:sz w:val="18"/>
          <w:szCs w:val="18"/>
          <w:color w:val="auto"/>
        </w:rPr>
      </w:pPr>
    </w:p>
    <w:p>
      <w:pPr>
        <w:ind w:firstLine="921"/>
        <w:spacing w:after="0" w:line="259" w:lineRule="auto"/>
        <w:tabs>
          <w:tab w:leader="none" w:pos="1168" w:val="left"/>
        </w:tabs>
        <w:numPr>
          <w:ilvl w:val="1"/>
          <w:numId w:val="196"/>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accrue interest at a fixed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1"/>
          <w:numId w:val="196"/>
        </w:numPr>
        <w:rPr>
          <w:rFonts w:ascii="Arial" w:cs="Arial" w:eastAsia="Arial" w:hAnsi="Arial"/>
          <w:sz w:val="17"/>
          <w:szCs w:val="17"/>
          <w:color w:val="auto"/>
        </w:rPr>
      </w:pPr>
      <w:r>
        <w:rPr>
          <w:rFonts w:ascii="Arial" w:cs="Arial" w:eastAsia="Arial" w:hAnsi="Arial"/>
          <w:sz w:val="17"/>
          <w:szCs w:val="17"/>
          <w:u w:val="single" w:color="auto"/>
          <w:color w:val="auto"/>
        </w:rPr>
        <w:t>360-Day Year</w:t>
      </w:r>
      <w:r>
        <w:rPr>
          <w:rFonts w:ascii="Arial" w:cs="Arial" w:eastAsia="Arial" w:hAnsi="Arial"/>
          <w:sz w:val="17"/>
          <w:szCs w:val="17"/>
          <w:color w:val="auto"/>
        </w:rPr>
        <w:t>. Interest shall be computed on the basis of a three hundred sixty (360) day year consisting of twelve (12) months of thirty</w:t>
      </w:r>
    </w:p>
    <w:p>
      <w:pPr>
        <w:spacing w:after="0" w:line="34" w:lineRule="exact"/>
        <w:rPr>
          <w:rFonts w:ascii="Arial" w:cs="Arial" w:eastAsia="Arial" w:hAnsi="Arial"/>
          <w:sz w:val="17"/>
          <w:szCs w:val="17"/>
          <w:color w:val="auto"/>
        </w:rPr>
      </w:pPr>
    </w:p>
    <w:p>
      <w:pPr>
        <w:ind w:left="360" w:hanging="352"/>
        <w:spacing w:after="0"/>
        <w:tabs>
          <w:tab w:leader="none" w:pos="3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days.</w:t>
      </w:r>
    </w:p>
    <w:p>
      <w:pPr>
        <w:spacing w:after="0" w:line="210" w:lineRule="exact"/>
        <w:rPr>
          <w:rFonts w:ascii="Arial" w:cs="Arial" w:eastAsia="Arial" w:hAnsi="Arial"/>
          <w:sz w:val="18"/>
          <w:szCs w:val="18"/>
          <w:color w:val="auto"/>
        </w:rPr>
      </w:pPr>
    </w:p>
    <w:p>
      <w:pPr>
        <w:ind w:firstLine="921"/>
        <w:spacing w:after="0" w:line="264" w:lineRule="auto"/>
        <w:tabs>
          <w:tab w:leader="none" w:pos="1168"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Debit of Accounts</w:t>
      </w:r>
      <w:r>
        <w:rPr>
          <w:rFonts w:ascii="Arial" w:cs="Arial" w:eastAsia="Arial" w:hAnsi="Arial"/>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set-off.</w:t>
      </w:r>
    </w:p>
    <w:p>
      <w:pPr>
        <w:spacing w:after="0" w:line="181" w:lineRule="exact"/>
        <w:rPr>
          <w:rFonts w:ascii="Arial" w:cs="Arial" w:eastAsia="Arial" w:hAnsi="Arial"/>
          <w:sz w:val="18"/>
          <w:szCs w:val="18"/>
          <w:color w:val="auto"/>
        </w:rPr>
      </w:pPr>
    </w:p>
    <w:p>
      <w:pPr>
        <w:ind w:right="260" w:firstLine="921"/>
        <w:spacing w:after="0" w:line="286" w:lineRule="auto"/>
        <w:tabs>
          <w:tab w:leader="none" w:pos="1157"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2:00 pm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241" w:name="page242"/>
    <w:bookmarkEnd w:id="241"/>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5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2.4. Secured Promissory Notes</w:t>
      </w:r>
      <w:r>
        <w:rPr>
          <w:rFonts w:ascii="Arial" w:cs="Arial" w:eastAsia="Arial" w:hAnsi="Arial"/>
          <w:sz w:val="17"/>
          <w:szCs w:val="17"/>
          <w:color w:val="auto"/>
        </w:rPr>
        <w:t>. The Term Loans shall be evidenced by a Secured Promissory Note or Notes in the form attached as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D</w:t>
      </w:r>
      <w:r>
        <w:rPr>
          <w:rFonts w:ascii="Arial" w:cs="Arial" w:eastAsia="Arial" w:hAnsi="Arial"/>
          <w:sz w:val="17"/>
          <w:szCs w:val="17"/>
          <w:b w:val="1"/>
          <w:bCs w:val="1"/>
          <w:color w:val="auto"/>
        </w:rPr>
        <w:t xml:space="preserve"> </w:t>
      </w:r>
      <w:r>
        <w:rPr>
          <w:rFonts w:ascii="Arial" w:cs="Arial" w:eastAsia="Arial" w:hAnsi="Arial"/>
          <w:sz w:val="17"/>
          <w:szCs w:val="17"/>
          <w:color w:val="auto"/>
        </w:rPr>
        <w:t>hereto</w:t>
      </w:r>
      <w:r>
        <w:rPr>
          <w:rFonts w:ascii="Arial" w:cs="Arial" w:eastAsia="Arial" w:hAnsi="Arial"/>
          <w:sz w:val="17"/>
          <w:szCs w:val="17"/>
          <w:b w:val="1"/>
          <w:bCs w:val="1"/>
          <w:color w:val="auto"/>
        </w:rPr>
        <w:t xml:space="preserve"> </w:t>
      </w:r>
      <w:r>
        <w:rPr>
          <w:rFonts w:ascii="Arial" w:cs="Arial" w:eastAsia="Arial" w:hAnsi="Arial"/>
          <w:sz w:val="17"/>
          <w:szCs w:val="17"/>
          <w:color w:val="auto"/>
        </w:rPr>
        <w:t>(each a “</w:t>
      </w:r>
      <w:r>
        <w:rPr>
          <w:rFonts w:ascii="Arial" w:cs="Arial" w:eastAsia="Arial" w:hAnsi="Arial"/>
          <w:sz w:val="17"/>
          <w:szCs w:val="17"/>
          <w:b w:val="1"/>
          <w:bCs w:val="1"/>
          <w:color w:val="auto"/>
        </w:rPr>
        <w:t>Secured Promissory Note</w:t>
      </w:r>
      <w:r>
        <w:rPr>
          <w:rFonts w:ascii="Arial" w:cs="Arial" w:eastAsia="Arial" w:hAnsi="Arial"/>
          <w:sz w:val="17"/>
          <w:szCs w:val="17"/>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Borrower shall issue, in lieu thereof, a replacement Secured Promissory Note in the same principal amount thereof and of like tenor.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2.5. Fees. </w:t>
      </w:r>
      <w:r>
        <w:rPr>
          <w:rFonts w:ascii="Arial" w:cs="Arial" w:eastAsia="Arial" w:hAnsi="Arial"/>
          <w:sz w:val="18"/>
          <w:szCs w:val="18"/>
          <w:color w:val="auto"/>
        </w:rPr>
        <w:t>Borrower shall pay to Collateral Agent:</w:t>
      </w:r>
    </w:p>
    <w:p>
      <w:pPr>
        <w:spacing w:after="0" w:line="229" w:lineRule="exact"/>
        <w:rPr>
          <w:sz w:val="20"/>
          <w:szCs w:val="20"/>
          <w:color w:val="auto"/>
        </w:rPr>
      </w:pPr>
    </w:p>
    <w:p>
      <w:pPr>
        <w:ind w:firstLine="921"/>
        <w:spacing w:after="0" w:line="276" w:lineRule="auto"/>
        <w:tabs>
          <w:tab w:leader="none" w:pos="1157"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Facility Fee</w:t>
      </w:r>
      <w:r>
        <w:rPr>
          <w:rFonts w:ascii="Arial" w:cs="Arial" w:eastAsia="Arial" w:hAnsi="Arial"/>
          <w:sz w:val="17"/>
          <w:szCs w:val="17"/>
          <w:color w:val="auto"/>
        </w:rPr>
        <w:t>. A fully earned, non-refundable facility fee of up to One Hundred Fifty Thousand Dollars ($150,000.00) to be shared between the Lenders pursuant to their respective Commitment Percentages payable as follows: (i) Fifty Thousand Dollars ($50,000.00) of the facility fee shall be due and payable on the Effective Date, the receipt of which Collateral Agent and Lenders hereby acknowledge, (ii) Fifty Thousand Dollars ($50,000.00) of the facility fee shall be due and payable on and conditioned upon the Funding Date of the Term B Loan, and (iii) Fifty Thousand Dollars ($50,000.00) of the facility fee shall be due and payable on and conditioned upon the Funding Date of the Term C Loan.</w:t>
      </w:r>
    </w:p>
    <w:p>
      <w:pPr>
        <w:spacing w:after="0" w:line="172" w:lineRule="exact"/>
        <w:rPr>
          <w:rFonts w:ascii="Arial" w:cs="Arial" w:eastAsia="Arial" w:hAnsi="Arial"/>
          <w:sz w:val="17"/>
          <w:szCs w:val="17"/>
          <w:color w:val="auto"/>
        </w:rPr>
      </w:pPr>
    </w:p>
    <w:p>
      <w:pPr>
        <w:ind w:left="1180" w:hanging="259"/>
        <w:spacing w:after="0"/>
        <w:tabs>
          <w:tab w:leader="none" w:pos="1180"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Final Payment</w:t>
      </w:r>
      <w:r>
        <w:rPr>
          <w:rFonts w:ascii="Arial" w:cs="Arial" w:eastAsia="Arial" w:hAnsi="Arial"/>
          <w:sz w:val="16"/>
          <w:szCs w:val="16"/>
          <w:color w:val="auto"/>
        </w:rPr>
        <w:t>. The Final Payment, when due hereunder, to be shared between the Lenders in accordance with their respective Pro Rata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w:t>
      </w:r>
    </w:p>
    <w:p>
      <w:pPr>
        <w:spacing w:after="0" w:line="210" w:lineRule="exact"/>
        <w:rPr>
          <w:rFonts w:ascii="Arial" w:cs="Arial" w:eastAsia="Arial" w:hAnsi="Arial"/>
          <w:sz w:val="16"/>
          <w:szCs w:val="16"/>
          <w:color w:val="auto"/>
        </w:rPr>
      </w:pPr>
    </w:p>
    <w:p>
      <w:pPr>
        <w:ind w:left="1160" w:hanging="239"/>
        <w:spacing w:after="0"/>
        <w:tabs>
          <w:tab w:leader="none" w:pos="1160"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between the Lenders in accordance with their respective Pro Rata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Shares; and</w:t>
      </w:r>
    </w:p>
    <w:p>
      <w:pPr>
        <w:spacing w:after="0" w:line="210" w:lineRule="exact"/>
        <w:rPr>
          <w:rFonts w:ascii="Arial" w:cs="Arial" w:eastAsia="Arial" w:hAnsi="Arial"/>
          <w:sz w:val="16"/>
          <w:szCs w:val="16"/>
          <w:color w:val="auto"/>
        </w:rPr>
      </w:pPr>
    </w:p>
    <w:p>
      <w:pPr>
        <w:ind w:right="80" w:firstLine="921"/>
        <w:spacing w:after="0" w:line="277" w:lineRule="auto"/>
        <w:tabs>
          <w:tab w:leader="none" w:pos="1168"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reasonable Lenders’ Expenses (including reasonable attorneys’ fees and expenses for documentation and negotiation of this Agreement) incurred from November 5, 2014 through and after the Effective Date, promptly when due.</w:t>
      </w:r>
    </w:p>
    <w:p>
      <w:pPr>
        <w:spacing w:after="0" w:line="16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b w:val="1"/>
          <w:bCs w:val="1"/>
          <w:color w:val="auto"/>
        </w:rPr>
        <w:t>2.6. Withholding</w:t>
      </w:r>
      <w:r>
        <w:rPr>
          <w:rFonts w:ascii="Arial" w:cs="Arial" w:eastAsia="Arial" w:hAnsi="Arial"/>
          <w:sz w:val="16"/>
          <w:szCs w:val="16"/>
          <w:color w:val="auto"/>
        </w:rPr>
        <w:t>. Payments received by the Lenders from Borrower hereunder will be made free and clear of and without deduction for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242" w:name="page243"/>
    <w:bookmarkEnd w:id="242"/>
    <w:p>
      <w:pPr>
        <w:ind w:left="460" w:hanging="452"/>
        <w:spacing w:after="0"/>
        <w:tabs>
          <w:tab w:leader="none" w:pos="4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LOANS</w:t>
      </w:r>
    </w:p>
    <w:p>
      <w:pPr>
        <w:spacing w:after="0" w:line="117"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Each Lender’s obligation to make a Term A Loan is subject to the condition precedent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1160" w:hanging="239"/>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duly executed original Control Agreements with respect to any Collateral Accounts maintained by Borrower or any of its Subsidiaries;</w:t>
      </w:r>
    </w:p>
    <w:p>
      <w:pPr>
        <w:spacing w:after="0" w:line="236" w:lineRule="exact"/>
        <w:rPr>
          <w:rFonts w:ascii="Arial" w:cs="Arial" w:eastAsia="Arial" w:hAnsi="Arial"/>
          <w:sz w:val="17"/>
          <w:szCs w:val="17"/>
          <w:color w:val="auto"/>
        </w:rPr>
      </w:pPr>
    </w:p>
    <w:p>
      <w:pPr>
        <w:ind w:left="1160" w:hanging="239"/>
        <w:spacing w:after="0"/>
        <w:tabs>
          <w:tab w:leader="none" w:pos="11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duly executed original Secured Promissory Notes in favor of each Lender according to its Term A Loan Commitment Percentage;</w:t>
      </w:r>
    </w:p>
    <w:p>
      <w:pPr>
        <w:spacing w:after="0" w:line="236" w:lineRule="exact"/>
        <w:rPr>
          <w:rFonts w:ascii="Arial" w:cs="Arial" w:eastAsia="Arial" w:hAnsi="Arial"/>
          <w:sz w:val="17"/>
          <w:szCs w:val="17"/>
          <w:color w:val="auto"/>
        </w:rPr>
      </w:pPr>
    </w:p>
    <w:p>
      <w:pPr>
        <w:ind w:right="280" w:firstLine="921"/>
        <w:spacing w:after="0" w:line="264" w:lineRule="auto"/>
        <w:tabs>
          <w:tab w:leader="none" w:pos="116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25" w:lineRule="exact"/>
        <w:rPr>
          <w:rFonts w:ascii="Arial" w:cs="Arial" w:eastAsia="Arial" w:hAnsi="Arial"/>
          <w:sz w:val="18"/>
          <w:szCs w:val="18"/>
          <w:color w:val="auto"/>
        </w:rPr>
      </w:pPr>
    </w:p>
    <w:p>
      <w:pPr>
        <w:ind w:left="1140" w:hanging="219"/>
        <w:spacing w:after="0"/>
        <w:tabs>
          <w:tab w:leader="none" w:pos="11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Annual Projections, for the current calendar year;</w:t>
      </w:r>
    </w:p>
    <w:p>
      <w:pPr>
        <w:spacing w:after="0" w:line="225" w:lineRule="exact"/>
        <w:rPr>
          <w:rFonts w:ascii="Arial" w:cs="Arial" w:eastAsia="Arial" w:hAnsi="Arial"/>
          <w:sz w:val="18"/>
          <w:szCs w:val="18"/>
          <w:color w:val="auto"/>
        </w:rPr>
      </w:pPr>
    </w:p>
    <w:p>
      <w:pPr>
        <w:ind w:right="200" w:firstLine="921"/>
        <w:spacing w:after="0" w:line="277" w:lineRule="auto"/>
        <w:tabs>
          <w:tab w:leader="none" w:pos="116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duly executed original officer’s certificate for Borrower and each Subsidiary that is a party to the Loan Documents, in a form acceptable to Collateral Agent and the Lenders;</w:t>
      </w:r>
    </w:p>
    <w:p>
      <w:pPr>
        <w:spacing w:after="0" w:line="170" w:lineRule="exact"/>
        <w:rPr>
          <w:rFonts w:ascii="Arial" w:cs="Arial" w:eastAsia="Arial" w:hAnsi="Arial"/>
          <w:sz w:val="18"/>
          <w:szCs w:val="18"/>
          <w:color w:val="auto"/>
        </w:rPr>
      </w:pPr>
    </w:p>
    <w:p>
      <w:pPr>
        <w:ind w:right="120" w:firstLine="921"/>
        <w:spacing w:after="0" w:line="286" w:lineRule="auto"/>
        <w:tabs>
          <w:tab w:leader="none" w:pos="1168" w:val="left"/>
        </w:tabs>
        <w:numPr>
          <w:ilvl w:val="0"/>
          <w:numId w:val="200"/>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5" w:lineRule="exact"/>
        <w:rPr>
          <w:rFonts w:ascii="Arial" w:cs="Arial" w:eastAsia="Arial" w:hAnsi="Arial"/>
          <w:sz w:val="17"/>
          <w:szCs w:val="17"/>
          <w:color w:val="auto"/>
        </w:rPr>
      </w:pPr>
    </w:p>
    <w:p>
      <w:pPr>
        <w:ind w:left="1140" w:hanging="219"/>
        <w:spacing w:after="0"/>
        <w:tabs>
          <w:tab w:leader="none" w:pos="11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landlord’s consent executed in favor of Collateral Agent in respect of all of Borrower’s and each Subsidiaries’ leased locations;</w:t>
      </w:r>
    </w:p>
    <w:p>
      <w:pPr>
        <w:spacing w:after="0" w:line="225" w:lineRule="exact"/>
        <w:rPr>
          <w:rFonts w:ascii="Arial" w:cs="Arial" w:eastAsia="Arial" w:hAnsi="Arial"/>
          <w:sz w:val="18"/>
          <w:szCs w:val="18"/>
          <w:color w:val="auto"/>
        </w:rPr>
      </w:pPr>
    </w:p>
    <w:p>
      <w:pPr>
        <w:ind w:right="560" w:firstLine="921"/>
        <w:spacing w:after="0" w:line="277" w:lineRule="auto"/>
        <w:tabs>
          <w:tab w:leader="none" w:pos="112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bailee waiver executed in favor of Collateral Agent in respect of each third party bailee where Borrower or any Subsidiary maintains Collateral having a book value in excess of One Hundred Thousand Dollars ($100,000.00);</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rFonts w:ascii="Arial" w:cs="Arial" w:eastAsia="Arial" w:hAnsi="Arial"/>
          <w:sz w:val="18"/>
          <w:szCs w:val="18"/>
          <w:color w:val="auto"/>
        </w:rPr>
      </w:pPr>
    </w:p>
    <w:p>
      <w:pPr>
        <w:ind w:firstLine="921"/>
        <w:spacing w:after="0" w:line="264" w:lineRule="auto"/>
        <w:tabs>
          <w:tab w:leader="none" w:pos="112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 and</w:t>
      </w:r>
    </w:p>
    <w:p>
      <w:pPr>
        <w:spacing w:after="0" w:line="181" w:lineRule="exact"/>
        <w:rPr>
          <w:rFonts w:ascii="Arial" w:cs="Arial" w:eastAsia="Arial" w:hAnsi="Arial"/>
          <w:sz w:val="18"/>
          <w:szCs w:val="18"/>
          <w:color w:val="auto"/>
        </w:rPr>
      </w:pPr>
    </w:p>
    <w:p>
      <w:pPr>
        <w:ind w:right="300" w:firstLine="921"/>
        <w:spacing w:after="0" w:line="277" w:lineRule="auto"/>
        <w:tabs>
          <w:tab w:leader="none" w:pos="121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 copy of the Third Amended and Restated Rights Agreement by and among the Company and the investors party thereto, dated July 15, 2013 (as such agreement may be amended and restated through the Effective Date).</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0" w:right="279" w:bottom="1440" w:gutter="0" w:footer="0" w:header="0"/>
        </w:sectPr>
      </w:pPr>
    </w:p>
    <w:bookmarkStart w:id="243" w:name="page244"/>
    <w:bookmarkEnd w:id="243"/>
    <w:p>
      <w:pPr>
        <w:ind w:right="58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3.2. Conditions Precedent to all Credit Extensions</w:t>
      </w:r>
      <w:r>
        <w:rPr>
          <w:rFonts w:ascii="Arial" w:cs="Arial" w:eastAsia="Arial" w:hAnsi="Arial"/>
          <w:sz w:val="18"/>
          <w:szCs w:val="18"/>
          <w:color w:val="auto"/>
        </w:rPr>
        <w:t>. The obligation of each Lender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right="180" w:firstLine="921"/>
        <w:spacing w:after="0" w:line="277" w:lineRule="auto"/>
        <w:tabs>
          <w:tab w:leader="none" w:pos="115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receipt by (i) the Lenders of an executed Disbursement Letter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and (ii) SVB of an executed Loan Payment/Advance Request Form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40" w:firstLine="921"/>
        <w:spacing w:after="0" w:line="270" w:lineRule="auto"/>
        <w:tabs>
          <w:tab w:leader="none" w:pos="1168"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representations and warranties in Section 5 hereof shall be true, accurate and complete in all material respects on the date of the Disbursement Letter (and the Loan Payment/Advance Request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1" w:lineRule="exact"/>
        <w:rPr>
          <w:rFonts w:ascii="Arial" w:cs="Arial" w:eastAsia="Arial" w:hAnsi="Arial"/>
          <w:sz w:val="17"/>
          <w:szCs w:val="17"/>
          <w:color w:val="auto"/>
        </w:rPr>
      </w:pPr>
    </w:p>
    <w:p>
      <w:pPr>
        <w:ind w:left="1160" w:hanging="239"/>
        <w:spacing w:after="0"/>
        <w:tabs>
          <w:tab w:leader="none" w:pos="1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such Lender’s sole but reasonable discretion, there has not been any Material Adverse Change;</w:t>
      </w:r>
    </w:p>
    <w:p>
      <w:pPr>
        <w:spacing w:after="0" w:line="225" w:lineRule="exact"/>
        <w:rPr>
          <w:rFonts w:ascii="Arial" w:cs="Arial" w:eastAsia="Arial" w:hAnsi="Arial"/>
          <w:sz w:val="18"/>
          <w:szCs w:val="18"/>
          <w:color w:val="auto"/>
        </w:rPr>
      </w:pPr>
    </w:p>
    <w:p>
      <w:pPr>
        <w:jc w:val="both"/>
        <w:ind w:firstLine="921"/>
        <w:spacing w:after="0" w:line="264" w:lineRule="auto"/>
        <w:tabs>
          <w:tab w:leader="none" w:pos="116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 to the extent not delivered at the Effective Date, duly executed original Secured Promissory Notes substantially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in favor of each Lender according to its Commitment Percentage, with respect to each Credit Extension made by such Lender after the Effective Date and (ii) a Warrant substantially in the form attached hereto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in favor of each Lender; and</w:t>
      </w:r>
    </w:p>
    <w:p>
      <w:pPr>
        <w:spacing w:after="0" w:line="181" w:lineRule="exact"/>
        <w:rPr>
          <w:rFonts w:ascii="Arial" w:cs="Arial" w:eastAsia="Arial" w:hAnsi="Arial"/>
          <w:sz w:val="18"/>
          <w:szCs w:val="18"/>
          <w:color w:val="auto"/>
        </w:rPr>
      </w:pPr>
    </w:p>
    <w:p>
      <w:pPr>
        <w:ind w:left="1160" w:hanging="239"/>
        <w:spacing w:after="0"/>
        <w:tabs>
          <w:tab w:leader="none" w:pos="11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2.5 hereof.</w:t>
      </w:r>
    </w:p>
    <w:p>
      <w:pPr>
        <w:spacing w:after="0" w:line="221"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3.3. Covenant to Deliver</w:t>
      </w:r>
      <w:r>
        <w:rPr>
          <w:rFonts w:ascii="Arial" w:cs="Arial" w:eastAsia="Arial" w:hAnsi="Arial"/>
          <w:sz w:val="17"/>
          <w:szCs w:val="17"/>
          <w:color w:val="auto"/>
        </w:rPr>
        <w:t>. Borrower agrees to deliver to Collateral Agent and the Lenders each item required to be delivered to Collateral Agent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3.4. Procedures for Borrowing</w:t>
      </w:r>
      <w:r>
        <w:rPr>
          <w:rFonts w:ascii="Arial" w:cs="Arial" w:eastAsia="Arial" w:hAnsi="Arial"/>
          <w:sz w:val="17"/>
          <w:szCs w:val="17"/>
          <w:color w:val="auto"/>
        </w:rPr>
        <w:t>. Subject to the prior satisfaction of all other applicable conditions to the making of a Term Loan set forth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to obtain a Term Loan, Borrower shall notify the Lenders (which notice shall be irrevocable) by electronic mail, facsimile, or telephone by 2:00 pm Eastern time three (3) Business Days prior to the date the Term Loan is to be made. Together with any such electronic, facsimile or telephonic notification, Borrower shall deliver to the Lenders by electronic mail or facsimile a completed Disbursement Letter (and the Loan Payment/Advance Request Form, with respect to SVB)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Term Loan Commitment.</w:t>
      </w:r>
    </w:p>
    <w:p>
      <w:pPr>
        <w:spacing w:after="0" w:line="321"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ind w:right="120" w:firstLine="456"/>
        <w:spacing w:after="0" w:line="258" w:lineRule="auto"/>
        <w:rPr>
          <w:sz w:val="20"/>
          <w:szCs w:val="20"/>
          <w:color w:val="auto"/>
        </w:rPr>
      </w:pPr>
      <w:r>
        <w:rPr>
          <w:rFonts w:ascii="Arial" w:cs="Arial" w:eastAsia="Arial" w:hAnsi="Arial"/>
          <w:sz w:val="18"/>
          <w:szCs w:val="18"/>
          <w:b w:val="1"/>
          <w:bCs w:val="1"/>
          <w:color w:val="auto"/>
        </w:rPr>
        <w:t>4.1. Grant of Security Interest</w:t>
      </w:r>
      <w:r>
        <w:rPr>
          <w:rFonts w:ascii="Arial" w:cs="Arial" w:eastAsia="Arial" w:hAnsi="Arial"/>
          <w:sz w:val="18"/>
          <w:szCs w:val="18"/>
          <w:color w:val="auto"/>
        </w:rPr>
        <w:t>. Borrower hereby grants Collateral Agent, for the ratable benefit of the Lenders, to secure the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0" w:right="279" w:bottom="1440" w:gutter="0" w:footer="0" w:header="0"/>
        </w:sectPr>
      </w:pPr>
    </w:p>
    <w:bookmarkStart w:id="244" w:name="page245"/>
    <w:bookmarkEnd w:id="244"/>
    <w:p>
      <w:pPr>
        <w:ind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have priority to Collateral Agent’s Lien. If Borrower shall acquire a commercial tort claim (as defined in the Code),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71" w:lineRule="exact"/>
        <w:rPr>
          <w:sz w:val="20"/>
          <w:szCs w:val="20"/>
          <w:color w:val="auto"/>
        </w:rPr>
      </w:pPr>
    </w:p>
    <w:p>
      <w:pPr>
        <w:ind w:right="120" w:firstLine="921"/>
        <w:spacing w:after="0" w:line="279" w:lineRule="auto"/>
        <w:tabs>
          <w:tab w:leader="none" w:pos="1158" w:val="left"/>
        </w:tabs>
        <w:numPr>
          <w:ilvl w:val="1"/>
          <w:numId w:val="203"/>
        </w:numPr>
        <w:rPr>
          <w:rFonts w:ascii="Arial" w:cs="Arial" w:eastAsia="Arial" w:hAnsi="Arial"/>
          <w:sz w:val="17"/>
          <w:szCs w:val="17"/>
          <w:color w:val="auto"/>
        </w:rPr>
      </w:pPr>
      <w:r>
        <w:rPr>
          <w:rFonts w:ascii="Arial" w:cs="Arial" w:eastAsia="Arial" w:hAnsi="Arial"/>
          <w:sz w:val="17"/>
          <w:szCs w:val="17"/>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may have superior priority to Bank’s Lien in this Agreement).</w:t>
      </w:r>
    </w:p>
    <w:p>
      <w:pPr>
        <w:spacing w:after="0" w:line="171" w:lineRule="exact"/>
        <w:rPr>
          <w:rFonts w:ascii="Arial" w:cs="Arial" w:eastAsia="Arial" w:hAnsi="Arial"/>
          <w:sz w:val="17"/>
          <w:szCs w:val="17"/>
          <w:color w:val="auto"/>
        </w:rPr>
      </w:pPr>
    </w:p>
    <w:p>
      <w:pPr>
        <w:ind w:right="180" w:firstLine="921"/>
        <w:spacing w:after="0" w:line="259" w:lineRule="auto"/>
        <w:tabs>
          <w:tab w:leader="none" w:pos="1168"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w:t>
      </w:r>
    </w:p>
    <w:p>
      <w:pPr>
        <w:spacing w:after="0" w:line="186" w:lineRule="exact"/>
        <w:rPr>
          <w:rFonts w:ascii="Arial" w:cs="Arial" w:eastAsia="Arial" w:hAnsi="Arial"/>
          <w:sz w:val="18"/>
          <w:szCs w:val="18"/>
          <w:color w:val="auto"/>
        </w:rPr>
      </w:pPr>
    </w:p>
    <w:p>
      <w:pPr>
        <w:ind w:right="180" w:firstLine="921"/>
        <w:spacing w:after="0" w:line="286" w:lineRule="auto"/>
        <w:tabs>
          <w:tab w:leader="none" w:pos="1158" w:val="left"/>
        </w:tabs>
        <w:numPr>
          <w:ilvl w:val="1"/>
          <w:numId w:val="203"/>
        </w:numPr>
        <w:rPr>
          <w:rFonts w:ascii="Arial" w:cs="Arial" w:eastAsia="Arial" w:hAnsi="Arial"/>
          <w:sz w:val="16"/>
          <w:szCs w:val="16"/>
          <w:color w:val="auto"/>
        </w:rPr>
      </w:pPr>
      <w:r>
        <w:rPr>
          <w:rFonts w:ascii="Arial" w:cs="Arial" w:eastAsia="Arial" w:hAnsi="Arial"/>
          <w:sz w:val="16"/>
          <w:szCs w:val="16"/>
          <w:color w:val="auto"/>
        </w:rPr>
        <w:t>Notwithstanding the provisions of Section 4(b), in the event (x) all Obligations (other than inchoate indemnity obligations), except for Bank Services, are satisfied in full, and (y) this Agreement is terminated, Bank shall terminate the security interest granted herein upon Borrower providing cash collateral acceptable to Bank in the reasonable and good faith business judgment for Bank Services, if any. In the event such Bank Services consist of outstanding Letters of Credit, it shall be sufficient cash collateral acceptable to Bank for securing such Bank Services in applying the provisions of clause</w:t>
      </w:r>
    </w:p>
    <w:p>
      <w:pPr>
        <w:spacing w:after="0" w:line="1" w:lineRule="exact"/>
        <w:rPr>
          <w:rFonts w:ascii="Arial" w:cs="Arial" w:eastAsia="Arial" w:hAnsi="Arial"/>
          <w:sz w:val="16"/>
          <w:szCs w:val="16"/>
          <w:color w:val="auto"/>
        </w:rPr>
      </w:pPr>
    </w:p>
    <w:p>
      <w:pPr>
        <w:ind w:right="100" w:firstLine="8"/>
        <w:spacing w:after="0" w:line="295" w:lineRule="auto"/>
        <w:tabs>
          <w:tab w:leader="none" w:pos="25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with respect to Bank Services that consist of Letters of Credit, if Borrower provides to Bank cash collateral in an amount equal to (x) if such Letters of Credit are denominated in Dollars, then one hundred five percent (105%); and (y) if such Letters of Credit are denominated in a Foreign Currency, then one hundred ten percent (110%),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158"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b w:val="1"/>
          <w:bCs w:val="1"/>
          <w:color w:val="auto"/>
        </w:rPr>
        <w:t>4.2. Authorization to File Financing Statements</w:t>
      </w:r>
      <w:r>
        <w:rPr>
          <w:rFonts w:ascii="Arial" w:cs="Arial" w:eastAsia="Arial" w:hAnsi="Arial"/>
          <w:sz w:val="17"/>
          <w:szCs w:val="17"/>
          <w:color w:val="auto"/>
        </w:rPr>
        <w:t>. Borrower hereby authorizes Collateral Agent to file financing statements or take any other action</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314"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5.1. Due Organization, Authorization: Power and Authority</w:t>
      </w:r>
      <w:r>
        <w:rPr>
          <w:rFonts w:ascii="Arial" w:cs="Arial" w:eastAsia="Arial" w:hAnsi="Arial"/>
          <w:sz w:val="17"/>
          <w:szCs w:val="17"/>
          <w:color w:val="auto"/>
        </w:rPr>
        <w:t>. Borrower and each of its Subsidiaries is duly existing and in good standing as a</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Arial" w:cs="Arial" w:eastAsia="Arial" w:hAnsi="Arial"/>
          <w:sz w:val="17"/>
          <w:szCs w:val="17"/>
          <w:b w:val="1"/>
          <w:bCs w:val="1"/>
          <w:color w:val="auto"/>
        </w:rPr>
        <w:t>Perfection Certificate</w:t>
      </w:r>
      <w:r>
        <w:rPr>
          <w:rFonts w:ascii="Arial" w:cs="Arial" w:eastAsia="Arial" w:hAnsi="Arial"/>
          <w:sz w:val="17"/>
          <w:szCs w:val="17"/>
          <w:color w:val="auto"/>
        </w:rPr>
        <w:t>” and collectively, the “</w:t>
      </w:r>
      <w:r>
        <w:rPr>
          <w:rFonts w:ascii="Arial" w:cs="Arial" w:eastAsia="Arial" w:hAnsi="Arial"/>
          <w:sz w:val="17"/>
          <w:szCs w:val="17"/>
          <w:b w:val="1"/>
          <w:bCs w:val="1"/>
          <w:color w:val="auto"/>
        </w:rPr>
        <w:t>Perfection Certificates</w:t>
      </w:r>
      <w:r>
        <w:rPr>
          <w:rFonts w:ascii="Arial" w:cs="Arial" w:eastAsia="Arial" w:hAnsi="Arial"/>
          <w:sz w:val="17"/>
          <w:szCs w:val="17"/>
          <w:color w:val="auto"/>
        </w:rPr>
        <w:t>”). Borrower represents and warrants that (a) Borrower and each of its Subsidiaries’ exact legal name is that which is indicated on its respective Perfection Certificate and on the signature page of each Loan Document to which it is 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45" w:name="page246"/>
    <w:bookmarkEnd w:id="245"/>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and each of its Subsidiaries’ mailing address (if different than its chief executive office); (e) 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(it being understood and agreed that Borrower and each of its Subsidiaries may from time to time update certain information in the Perfection Certificates (including the information set forth in clause (d) above) after the Effective Date to the extent permitted by one or more specific provisions in this Agreement); such updated Perfection Certificates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66"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w:t>
      </w:r>
    </w:p>
    <w:p>
      <w:pPr>
        <w:ind w:right="20" w:firstLine="8"/>
        <w:spacing w:after="0" w:line="269" w:lineRule="auto"/>
        <w:tabs>
          <w:tab w:leader="none" w:pos="26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Collateral</w:t>
      </w:r>
      <w:r>
        <w:rPr>
          <w:rFonts w:ascii="Arial" w:cs="Arial" w:eastAsia="Arial" w:hAnsi="Arial"/>
          <w:sz w:val="18"/>
          <w:szCs w:val="18"/>
          <w:color w:val="auto"/>
        </w:rPr>
        <w:t>.</w:t>
      </w:r>
    </w:p>
    <w:p>
      <w:pPr>
        <w:spacing w:after="0" w:line="229" w:lineRule="exact"/>
        <w:rPr>
          <w:sz w:val="20"/>
          <w:szCs w:val="20"/>
          <w:color w:val="auto"/>
        </w:rPr>
      </w:pPr>
    </w:p>
    <w:p>
      <w:pPr>
        <w:ind w:right="180" w:firstLine="921"/>
        <w:spacing w:after="0" w:line="273" w:lineRule="auto"/>
        <w:tabs>
          <w:tab w:leader="none" w:pos="115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Subsidiary has given Collateral Agent notice and taken such actions as are necessary to give Collateral Agent a perfected security interest therein. The Accounts are bona fide, existing obligations of the Account Debtors.</w:t>
      </w:r>
    </w:p>
    <w:p>
      <w:pPr>
        <w:spacing w:after="0" w:line="178" w:lineRule="exact"/>
        <w:rPr>
          <w:rFonts w:ascii="Arial" w:cs="Arial" w:eastAsia="Arial" w:hAnsi="Arial"/>
          <w:sz w:val="17"/>
          <w:szCs w:val="17"/>
          <w:color w:val="auto"/>
        </w:rPr>
      </w:pPr>
    </w:p>
    <w:p>
      <w:pPr>
        <w:jc w:val="both"/>
        <w:ind w:right="80" w:firstLine="921"/>
        <w:spacing w:after="0" w:line="259" w:lineRule="auto"/>
        <w:tabs>
          <w:tab w:leader="none" w:pos="1168" w:val="left"/>
        </w:tabs>
        <w:numPr>
          <w:ilvl w:val="0"/>
          <w:numId w:val="207"/>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(such as a warehouse), and (ii) no such third party bailee possesses components of the Collateral in excess of One Hundred Thousand Dollars ($100,000.00). None of the components of the Collateral shall be maintained at locations other than as disclosed in the Perfection Certificates on the Effective Date or as permitted pursuant to Section 6.11.</w:t>
      </w:r>
    </w:p>
    <w:p>
      <w:pPr>
        <w:spacing w:after="0" w:line="186" w:lineRule="exact"/>
        <w:rPr>
          <w:rFonts w:ascii="Arial" w:cs="Arial" w:eastAsia="Arial" w:hAnsi="Arial"/>
          <w:sz w:val="18"/>
          <w:szCs w:val="18"/>
          <w:color w:val="auto"/>
        </w:rPr>
      </w:pPr>
    </w:p>
    <w:p>
      <w:pPr>
        <w:ind w:left="1160" w:hanging="239"/>
        <w:spacing w:after="0"/>
        <w:tabs>
          <w:tab w:leader="none" w:pos="11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rFonts w:ascii="Arial" w:cs="Arial" w:eastAsia="Arial" w:hAnsi="Arial"/>
          <w:sz w:val="18"/>
          <w:szCs w:val="18"/>
          <w:color w:val="auto"/>
        </w:rPr>
      </w:pPr>
    </w:p>
    <w:p>
      <w:pPr>
        <w:ind w:right="220" w:firstLine="921"/>
        <w:spacing w:after="0" w:line="271" w:lineRule="auto"/>
        <w:tabs>
          <w:tab w:leader="none" w:pos="1168" w:val="left"/>
        </w:tabs>
        <w:numPr>
          <w:ilvl w:val="0"/>
          <w:numId w:val="207"/>
        </w:numPr>
        <w:rPr>
          <w:rFonts w:ascii="Arial" w:cs="Arial" w:eastAsia="Arial" w:hAnsi="Arial"/>
          <w:sz w:val="17"/>
          <w:szCs w:val="17"/>
          <w:color w:val="auto"/>
        </w:rPr>
      </w:pPr>
      <w:r>
        <w:rPr>
          <w:rFonts w:ascii="Arial" w:cs="Arial" w:eastAsia="Arial" w:hAnsi="Arial"/>
          <w:sz w:val="17"/>
          <w:szCs w:val="17"/>
          <w:color w:val="auto"/>
        </w:rPr>
        <w:t>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material license or other material agreement with respect to which Borrower or any Subsidiary is the licensee (other than over-the-counter software that is commercially available to the public).</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246" w:name="page247"/>
    <w:bookmarkEnd w:id="246"/>
    <w:p>
      <w:pPr>
        <w:ind w:right="7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5.3. Litigation</w:t>
      </w:r>
      <w:r>
        <w:rPr>
          <w:rFonts w:ascii="Arial" w:cs="Arial" w:eastAsia="Arial" w:hAnsi="Arial"/>
          <w:sz w:val="18"/>
          <w:szCs w:val="18"/>
          <w:color w:val="auto"/>
        </w:rPr>
        <w:t>. Except as disclosed (i) on the Perfection Certificates, or (ii) in accordance with Section 6.9 hereof,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the Responsible Officers, threatened in writing by or against Borrower or any of its Subsidiaries involving more than One Hundred Thousand Dollars ($100,000.00).</w:t>
      </w:r>
    </w:p>
    <w:p>
      <w:pPr>
        <w:spacing w:after="0" w:line="176"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b w:val="1"/>
          <w:bCs w:val="1"/>
          <w:color w:val="auto"/>
        </w:rPr>
        <w:t>5.4. No Material Deterioration in Financial Condition; Financial Statements</w:t>
      </w:r>
      <w:r>
        <w:rPr>
          <w:rFonts w:ascii="Arial" w:cs="Arial" w:eastAsia="Arial" w:hAnsi="Arial"/>
          <w:sz w:val="16"/>
          <w:szCs w:val="16"/>
          <w:color w:val="auto"/>
        </w:rPr>
        <w:t>. All consolidated financial statements for Borrower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delivered to Collateral Agent fairly present, in conformity with GAAP, in all material respects the consolidated financial condition of Borrower and its Subsidiaries, and the consolidated results of operations of Borrower and its Subsidiaries. There has not been any material deterioration in the consolidated financial condition of Borrower and its Subsidiaries since the date of the most recent financial statements submitted to any Lender.</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Borrower and each of its Subsidiaries is Solvent.</w:t>
      </w:r>
    </w:p>
    <w:p>
      <w:pPr>
        <w:spacing w:after="0" w:line="22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color w:val="auto"/>
        </w:rPr>
        <w:t>5.6. Regulatory Compliance</w:t>
      </w:r>
      <w:r>
        <w:rPr>
          <w:rFonts w:ascii="Arial" w:cs="Arial" w:eastAsia="Arial" w:hAnsi="Arial"/>
          <w:sz w:val="18"/>
          <w:szCs w:val="18"/>
          <w:color w:val="auto"/>
        </w:rPr>
        <w:t>. Neither Borrower nor any of its Subsidiaries is an “investment company” or a company “controlled” by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9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5.7. Investments</w:t>
      </w:r>
      <w:r>
        <w:rPr>
          <w:rFonts w:ascii="Arial" w:cs="Arial" w:eastAsia="Arial" w:hAnsi="Arial"/>
          <w:sz w:val="18"/>
          <w:szCs w:val="18"/>
          <w:color w:val="auto"/>
        </w:rPr>
        <w:t>. 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b w:val="1"/>
          <w:bCs w:val="1"/>
          <w:color w:val="auto"/>
        </w:rPr>
        <w:t>5.8. Tax Returns and Payments; Pension Contributions</w:t>
      </w:r>
      <w:r>
        <w:rPr>
          <w:rFonts w:ascii="Arial" w:cs="Arial" w:eastAsia="Arial" w:hAnsi="Arial"/>
          <w:sz w:val="17"/>
          <w:szCs w:val="17"/>
          <w:color w:val="auto"/>
        </w:rPr>
        <w:t>. Borrower and each of its Subsidiaries has timely filed all required tax returns and reports,</w:t>
      </w:r>
      <w:r>
        <w:rPr>
          <w:rFonts w:ascii="Arial" w:cs="Arial" w:eastAsia="Arial" w:hAnsi="Arial"/>
          <w:sz w:val="17"/>
          <w:szCs w:val="17"/>
          <w:b w:val="1"/>
          <w:bCs w:val="1"/>
          <w:color w:val="auto"/>
        </w:rPr>
        <w:t xml:space="preserve"> </w:t>
      </w:r>
      <w:r>
        <w:rPr>
          <w:rFonts w:ascii="Arial" w:cs="Arial" w:eastAsia="Arial" w:hAnsi="Arial"/>
          <w:sz w:val="17"/>
          <w:szCs w:val="17"/>
          <w:color w:val="auto"/>
        </w:rPr>
        <w:t>and Borrower and each of its Subsidiaries, has timely paid all foreign, federal, state, and local taxes, assessments, deposits and contributions owed by Borrower and such Subsidiaries, in all jurisdictions in which Borrower or any such Subsidiary is subject to taxes, including the United States, unless such taxes are being contested in accordance with the following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Arial" w:cs="Arial" w:eastAsia="Arial" w:hAnsi="Arial"/>
          <w:sz w:val="17"/>
          <w:szCs w:val="17"/>
          <w:b w:val="1"/>
          <w:bCs w:val="1"/>
          <w:color w:val="auto"/>
        </w:rPr>
        <w:t>Permitted Lien</w:t>
      </w:r>
      <w:r>
        <w:rPr>
          <w:rFonts w:ascii="Arial" w:cs="Arial" w:eastAsia="Arial" w:hAnsi="Arial"/>
          <w:sz w:val="17"/>
          <w:szCs w:val="17"/>
          <w:color w:val="auto"/>
        </w:rPr>
        <w:t>.”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0" w:right="279" w:bottom="1440" w:gutter="0" w:footer="0" w:header="0"/>
        </w:sectPr>
      </w:pPr>
    </w:p>
    <w:bookmarkStart w:id="247" w:name="page248"/>
    <w:bookmarkEnd w:id="24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83"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5.9. Use of Proceeds</w:t>
      </w:r>
      <w:r>
        <w:rPr>
          <w:rFonts w:ascii="Arial" w:cs="Arial" w:eastAsia="Arial" w:hAnsi="Arial"/>
          <w:sz w:val="18"/>
          <w:szCs w:val="18"/>
          <w:color w:val="auto"/>
        </w:rPr>
        <w:t>. Borrower shall use the proceeds of the Credit Extensions solely as working capital and to fund its general business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provisions of this Agreement, and not for personal, family, household or agricultural purposes.</w:t>
      </w:r>
    </w:p>
    <w:p>
      <w:pPr>
        <w:spacing w:after="0" w:line="1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5.10. Full Disclosure</w:t>
      </w:r>
      <w:r>
        <w:rPr>
          <w:rFonts w:ascii="Arial" w:cs="Arial" w:eastAsia="Arial" w:hAnsi="Arial"/>
          <w:sz w:val="18"/>
          <w:szCs w:val="18"/>
          <w:color w:val="auto"/>
        </w:rPr>
        <w:t>. No written representation, warranty or other statement of Borrower or any of its Subsidiaries in any certificate or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given to Collateral Agent or any Lender in connection with the transactions contemplated hereby, as of the date such representation, warranty, or other statement was made, taken together with all such written certificates and written statements given to Collateral Agent or any Lender with respect to the transactions contemplated hereby,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9"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5.11. Definition of </w:t>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For purposes of the Loan Documents, whenever a representation or warranty is made to Borrower’s knowledge or</w:t>
      </w:r>
      <w:r>
        <w:rPr>
          <w:rFonts w:ascii="Arial" w:cs="Arial" w:eastAsia="Arial" w:hAnsi="Arial"/>
          <w:sz w:val="18"/>
          <w:szCs w:val="18"/>
          <w:b w:val="1"/>
          <w:bCs w:val="1"/>
          <w:color w:val="auto"/>
        </w:rPr>
        <w:t xml:space="preserve"> </w:t>
      </w:r>
      <w:r>
        <w:rPr>
          <w:rFonts w:ascii="Arial" w:cs="Arial" w:eastAsia="Arial" w:hAnsi="Arial"/>
          <w:sz w:val="18"/>
          <w:szCs w:val="18"/>
          <w:color w:val="auto"/>
        </w:rPr>
        <w:t>awareness, to the “best of” Borrower’s knowledge, or with a similar qualification, knowledge or awareness means the actual knowledge, after reasonable investigation, of the Responsible Officers.</w:t>
      </w:r>
    </w:p>
    <w:p>
      <w:pPr>
        <w:spacing w:after="0" w:line="325" w:lineRule="exact"/>
        <w:rPr>
          <w:sz w:val="20"/>
          <w:szCs w:val="20"/>
          <w:color w:val="auto"/>
        </w:rPr>
      </w:pPr>
    </w:p>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2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right="220" w:firstLine="921"/>
        <w:spacing w:after="0" w:line="259" w:lineRule="auto"/>
        <w:tabs>
          <w:tab w:leader="none" w:pos="115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6" w:lineRule="exact"/>
        <w:rPr>
          <w:rFonts w:ascii="Arial" w:cs="Arial" w:eastAsia="Arial" w:hAnsi="Arial"/>
          <w:sz w:val="18"/>
          <w:szCs w:val="18"/>
          <w:color w:val="auto"/>
        </w:rPr>
      </w:pPr>
    </w:p>
    <w:p>
      <w:pPr>
        <w:ind w:right="80" w:firstLine="921"/>
        <w:spacing w:after="0" w:line="259" w:lineRule="auto"/>
        <w:tabs>
          <w:tab w:leader="none" w:pos="116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6.2. Financial Statements, Reports, Certificates</w:t>
      </w:r>
      <w:r>
        <w:rPr>
          <w:rFonts w:ascii="Arial" w:cs="Arial" w:eastAsia="Arial" w:hAnsi="Arial"/>
          <w:sz w:val="18"/>
          <w:szCs w:val="18"/>
          <w:color w:val="auto"/>
        </w:rPr>
        <w:t>.</w:t>
      </w:r>
    </w:p>
    <w:p>
      <w:pPr>
        <w:spacing w:after="0" w:line="229" w:lineRule="exact"/>
        <w:rPr>
          <w:sz w:val="20"/>
          <w:szCs w:val="20"/>
          <w:color w:val="auto"/>
        </w:rPr>
      </w:pPr>
    </w:p>
    <w:p>
      <w:pPr>
        <w:ind w:left="1160" w:hanging="239"/>
        <w:spacing w:after="0"/>
        <w:tabs>
          <w:tab w:leader="none" w:pos="116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Deliver to each Lender:</w:t>
      </w:r>
    </w:p>
    <w:p>
      <w:pPr>
        <w:spacing w:after="0" w:line="225" w:lineRule="exact"/>
        <w:rPr>
          <w:rFonts w:ascii="Arial" w:cs="Arial" w:eastAsia="Arial" w:hAnsi="Arial"/>
          <w:sz w:val="18"/>
          <w:szCs w:val="18"/>
          <w:color w:val="auto"/>
        </w:rPr>
      </w:pPr>
    </w:p>
    <w:p>
      <w:pPr>
        <w:ind w:right="80" w:firstLine="1492"/>
        <w:spacing w:after="0" w:line="264" w:lineRule="auto"/>
        <w:tabs>
          <w:tab w:leader="none" w:pos="1698" w:val="left"/>
        </w:tabs>
        <w:numPr>
          <w:ilvl w:val="2"/>
          <w:numId w:val="209"/>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consolidating balance sheet, income statement and cash flow statement covering the consolidated operations of Borrower and its Subsidiaries for such month certified by a Responsible Officer and in a form reasonably acceptable to Collateral Agent;</w:t>
      </w:r>
    </w:p>
    <w:p>
      <w:pPr>
        <w:spacing w:after="0" w:line="181" w:lineRule="exact"/>
        <w:rPr>
          <w:rFonts w:ascii="Arial" w:cs="Arial" w:eastAsia="Arial" w:hAnsi="Arial"/>
          <w:sz w:val="18"/>
          <w:szCs w:val="18"/>
          <w:color w:val="auto"/>
        </w:rPr>
      </w:pPr>
    </w:p>
    <w:p>
      <w:pPr>
        <w:ind w:left="1760" w:hanging="268"/>
        <w:spacing w:after="0"/>
        <w:tabs>
          <w:tab w:leader="none" w:pos="1760" w:val="left"/>
        </w:tabs>
        <w:numPr>
          <w:ilvl w:val="2"/>
          <w:numId w:val="209"/>
        </w:numPr>
        <w:rPr>
          <w:rFonts w:ascii="Arial" w:cs="Arial" w:eastAsia="Arial" w:hAnsi="Arial"/>
          <w:sz w:val="17"/>
          <w:szCs w:val="17"/>
          <w:color w:val="auto"/>
        </w:rPr>
      </w:pPr>
      <w:r>
        <w:rPr>
          <w:rFonts w:ascii="Arial" w:cs="Arial" w:eastAsia="Arial" w:hAnsi="Arial"/>
          <w:sz w:val="17"/>
          <w:szCs w:val="17"/>
          <w:color w:val="auto"/>
        </w:rPr>
        <w:t>as soon as available, but no later than one hundred eighty (180) days after the last day of Borrower’s fiscal year or within five</w:t>
      </w:r>
    </w:p>
    <w:p>
      <w:pPr>
        <w:spacing w:after="0" w:line="34" w:lineRule="exact"/>
        <w:rPr>
          <w:rFonts w:ascii="Arial" w:cs="Arial" w:eastAsia="Arial" w:hAnsi="Arial"/>
          <w:sz w:val="17"/>
          <w:szCs w:val="17"/>
          <w:color w:val="auto"/>
        </w:rPr>
      </w:pPr>
    </w:p>
    <w:p>
      <w:pPr>
        <w:ind w:firstLine="8"/>
        <w:spacing w:after="0" w:line="261" w:lineRule="auto"/>
        <w:tabs>
          <w:tab w:leader="none" w:pos="2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days of filing with the SEC, audited consolidated financial statements prepared under GAAP, consistently applied, together with an unqualified opinion on the financial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from an independent certified public accounting firm acceptable to Collateral Agent in its reasonable discretion;</w:t>
      </w:r>
    </w:p>
    <w:p>
      <w:pPr>
        <w:spacing w:after="0" w:line="225" w:lineRule="exact"/>
        <w:rPr>
          <w:sz w:val="20"/>
          <w:szCs w:val="20"/>
          <w:color w:val="auto"/>
        </w:rPr>
      </w:pPr>
    </w:p>
    <w:p>
      <w:pPr>
        <w:ind w:firstLine="1492"/>
        <w:spacing w:after="0" w:line="276" w:lineRule="auto"/>
        <w:tabs>
          <w:tab w:leader="none" w:pos="1798"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as soon as available after approval thereof by Borrower’s Board of Directors, but no later than ten (10) days after the last day of each of Borrower’s fiscal years, Borrower’s annual financial projections for the entire current fiscal year as approved by Borrower’s Board of Directors, which such annual financial projections shall be set forth in a month-by-month format (such annual financial projections as originally delivered to Collateral Agent and the Lenders are referred to herein as the “</w:t>
      </w:r>
      <w:r>
        <w:rPr>
          <w:rFonts w:ascii="Arial" w:cs="Arial" w:eastAsia="Arial" w:hAnsi="Arial"/>
          <w:sz w:val="17"/>
          <w:szCs w:val="17"/>
          <w:b w:val="1"/>
          <w:bCs w:val="1"/>
          <w:color w:val="auto"/>
        </w:rPr>
        <w:t>Annual Projections</w:t>
      </w:r>
      <w:r>
        <w:rPr>
          <w:rFonts w:ascii="Arial" w:cs="Arial" w:eastAsia="Arial" w:hAnsi="Arial"/>
          <w:sz w:val="17"/>
          <w:szCs w:val="17"/>
          <w:color w:val="auto"/>
        </w:rPr>
        <w:t>”; provided that, any revisions of the Annual Projections approved by Borrower’s Board of Directors shall be delivered to Collateral Agent and the Lenders no later than seven (7) days after such approval);</w:t>
      </w:r>
    </w:p>
    <w:p>
      <w:pPr>
        <w:spacing w:after="0" w:line="172" w:lineRule="exact"/>
        <w:rPr>
          <w:rFonts w:ascii="Arial" w:cs="Arial" w:eastAsia="Arial" w:hAnsi="Arial"/>
          <w:sz w:val="17"/>
          <w:szCs w:val="17"/>
          <w:color w:val="auto"/>
        </w:rPr>
      </w:pPr>
    </w:p>
    <w:p>
      <w:pPr>
        <w:ind w:left="1800" w:hanging="308"/>
        <w:spacing w:after="0"/>
        <w:tabs>
          <w:tab w:leader="none" w:pos="180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within five (5) days of delivery, copies of all statements, reports and notices made available to Borrower’s security holders or holders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Subordinated Debt;</w:t>
      </w:r>
    </w:p>
    <w:p>
      <w:pPr>
        <w:spacing w:after="0" w:line="210" w:lineRule="exact"/>
        <w:rPr>
          <w:rFonts w:ascii="Arial" w:cs="Arial" w:eastAsia="Arial" w:hAnsi="Arial"/>
          <w:sz w:val="16"/>
          <w:szCs w:val="16"/>
          <w:color w:val="auto"/>
        </w:rPr>
      </w:pPr>
    </w:p>
    <w:p>
      <w:pPr>
        <w:ind w:right="260" w:firstLine="1492"/>
        <w:spacing w:after="0" w:line="277" w:lineRule="auto"/>
        <w:tabs>
          <w:tab w:leader="none" w:pos="173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70" w:lineRule="exact"/>
        <w:rPr>
          <w:rFonts w:ascii="Arial" w:cs="Arial" w:eastAsia="Arial" w:hAnsi="Arial"/>
          <w:sz w:val="18"/>
          <w:szCs w:val="18"/>
          <w:color w:val="auto"/>
        </w:rPr>
      </w:pPr>
    </w:p>
    <w:p>
      <w:pPr>
        <w:ind w:right="80" w:firstLine="1492"/>
        <w:spacing w:after="0" w:line="254" w:lineRule="auto"/>
        <w:tabs>
          <w:tab w:leader="none" w:pos="178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prompt notice of any (A) amendments of or other changes to the Operating Documents of Borrower or any of its Subsidiaries, together with any copies reflecting such amendments or changes with respect thereto and (B) material changes to the capitalization table of Borrower or any of its Subsidiaries, provided, however, that (i) no such notice shall be required with respect to the grant, exercise, cancellation or modification of options to purchase Borrower’s Common Stock outstanding or hereafter issued by Borrower from the option pool set forth on the capitalization table of Borrower delivered to Bank in connection with the Perfection Certificate or upon exercise of warrants to purchase capital stock of the Borrower reflected upon such capitalization table and (ii) Borrower shall provide Lenders notice with respect to, and copies of, the current capitalization table no later than thirty (30) days after the end of each quarter to the extent that there have been any amendments of, or changes to, the capitalization table since the last time the same was delivered to Lenders.</w:t>
      </w:r>
    </w:p>
    <w:p>
      <w:pPr>
        <w:spacing w:after="0" w:line="192" w:lineRule="exact"/>
        <w:rPr>
          <w:rFonts w:ascii="Arial" w:cs="Arial" w:eastAsia="Arial" w:hAnsi="Arial"/>
          <w:sz w:val="18"/>
          <w:szCs w:val="18"/>
          <w:color w:val="auto"/>
        </w:rPr>
      </w:pPr>
    </w:p>
    <w:p>
      <w:pPr>
        <w:ind w:left="1840" w:hanging="348"/>
        <w:spacing w:after="0"/>
        <w:tabs>
          <w:tab w:leader="none" w:pos="184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prompt notice of any event that could reasonably be expected to materially and adversely affect the value of the Intellectual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Property;</w:t>
      </w:r>
    </w:p>
    <w:p>
      <w:pPr>
        <w:spacing w:after="0" w:line="210" w:lineRule="exact"/>
        <w:rPr>
          <w:rFonts w:ascii="Arial" w:cs="Arial" w:eastAsia="Arial" w:hAnsi="Arial"/>
          <w:sz w:val="17"/>
          <w:szCs w:val="17"/>
          <w:color w:val="auto"/>
        </w:rPr>
      </w:pPr>
    </w:p>
    <w:p>
      <w:pPr>
        <w:jc w:val="both"/>
        <w:ind w:right="40" w:firstLine="1492"/>
        <w:spacing w:after="0" w:line="264" w:lineRule="auto"/>
        <w:tabs>
          <w:tab w:leader="none" w:pos="1888"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 and</w:t>
      </w:r>
    </w:p>
    <w:p>
      <w:pPr>
        <w:spacing w:after="0" w:line="181" w:lineRule="exact"/>
        <w:rPr>
          <w:rFonts w:ascii="Arial" w:cs="Arial" w:eastAsia="Arial" w:hAnsi="Arial"/>
          <w:sz w:val="18"/>
          <w:szCs w:val="18"/>
          <w:color w:val="auto"/>
        </w:rPr>
      </w:pPr>
    </w:p>
    <w:p>
      <w:pPr>
        <w:ind w:left="1800" w:hanging="308"/>
        <w:spacing w:after="0"/>
        <w:tabs>
          <w:tab w:leader="none" w:pos="18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other information as reasonably requested by Collateral Agent or any Lender.</w:t>
      </w:r>
    </w:p>
    <w:p>
      <w:pPr>
        <w:spacing w:after="0" w:line="22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66" w:lineRule="exact"/>
        <w:rPr>
          <w:sz w:val="20"/>
          <w:szCs w:val="20"/>
          <w:color w:val="auto"/>
        </w:rPr>
      </w:pPr>
    </w:p>
    <w:p>
      <w:pPr>
        <w:ind w:right="160" w:firstLine="921"/>
        <w:spacing w:after="0" w:line="277" w:lineRule="auto"/>
        <w:tabs>
          <w:tab w:leader="none" w:pos="116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 (30) days after the last day of each month, deliver to each Lender, a duly completed Compliance Certificate signed by a Responsible Officer.</w:t>
      </w:r>
    </w:p>
    <w:p>
      <w:pPr>
        <w:spacing w:after="0" w:line="170" w:lineRule="exact"/>
        <w:rPr>
          <w:rFonts w:ascii="Arial" w:cs="Arial" w:eastAsia="Arial" w:hAnsi="Arial"/>
          <w:sz w:val="18"/>
          <w:szCs w:val="18"/>
          <w:color w:val="auto"/>
        </w:rPr>
      </w:pPr>
    </w:p>
    <w:p>
      <w:pPr>
        <w:ind w:firstLine="921"/>
        <w:spacing w:after="0" w:line="257" w:lineRule="auto"/>
        <w:tabs>
          <w:tab w:leader="none" w:pos="115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Keep proper books of record and account in accordance with GAAP in all material respects,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49" w:name="page250"/>
    <w:bookmarkEnd w:id="249"/>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audit and analysis of its operations and the Collateral. Such audits shall be conducted no more often than once every six months unless (and more frequently if) an Event of Default has occurred and is continuing.</w:t>
      </w:r>
    </w:p>
    <w:p>
      <w:pPr>
        <w:spacing w:after="0" w:line="166"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6.3. Inventory; Returns</w:t>
      </w:r>
      <w:r>
        <w:rPr>
          <w:rFonts w:ascii="Arial" w:cs="Arial" w:eastAsia="Arial" w:hAnsi="Arial"/>
          <w:sz w:val="17"/>
          <w:szCs w:val="17"/>
          <w:color w:val="auto"/>
        </w:rPr>
        <w:t>. Keep all Inventory in good and marketable condition, free from material defects. Returns and allowances between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of its Subsidiaries, and their respective Account Debtors shall follow Borrower’s, or such Subsidiary’s, customary practices as they exist at the Effective Date. Borrower must promptly notify Collateral Agent and the Lenders of all returns, recoveries, disputes and claims that involve more than One Hundred Thousand Dollars ($100,000.00) individually or in the aggregate in any calendar year.</w:t>
      </w:r>
    </w:p>
    <w:p>
      <w:pPr>
        <w:spacing w:after="0" w:line="16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Timely file and require each of its Subsidiaries to timely file, all required tax returns and reports and timely pay, and require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its Subsidiaries to timely file, all foreign, federal, state, and local taxes, assessments, deposits and contributions owed by Borrower or its Subsidiaries, except for deferred payment of any taxes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w:t>
      </w:r>
    </w:p>
    <w:p>
      <w:pPr>
        <w:spacing w:after="0" w:line="18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6.5. Insurance</w:t>
      </w:r>
      <w:r>
        <w:rPr>
          <w:rFonts w:ascii="Arial" w:cs="Arial" w:eastAsia="Arial" w:hAnsi="Arial"/>
          <w:sz w:val="16"/>
          <w:szCs w:val="16"/>
          <w:color w:val="auto"/>
        </w:rPr>
        <w:t>. 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thirty (30) days prior written notice before any such policy or policies shall be materially altered or canceled.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One Hundred Thousand Dollars ($100,000.00) with respect to any loss, but not exceeding One Hundred Thousand Dollars ($100,000.00),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3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6.6. Operating Accounts</w:t>
      </w:r>
      <w:r>
        <w:rPr>
          <w:rFonts w:ascii="Arial" w:cs="Arial" w:eastAsia="Arial" w:hAnsi="Arial"/>
          <w:sz w:val="18"/>
          <w:szCs w:val="18"/>
          <w:color w:val="auto"/>
        </w:rPr>
        <w:t>.</w:t>
      </w:r>
    </w:p>
    <w:p>
      <w:pPr>
        <w:spacing w:after="0" w:line="229" w:lineRule="exact"/>
        <w:rPr>
          <w:sz w:val="20"/>
          <w:szCs w:val="20"/>
          <w:color w:val="auto"/>
        </w:rPr>
      </w:pPr>
    </w:p>
    <w:p>
      <w:pPr>
        <w:ind w:right="140" w:firstLine="921"/>
        <w:spacing w:after="0" w:line="264" w:lineRule="auto"/>
        <w:tabs>
          <w:tab w:leader="none" w:pos="115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Maintain its primary and its Subsidiaries’ primary Collateral Accounts with Bank or its Affiliates in accounts which are subject to a Control Agreement in favor of Collateral Agent and which accounts shall represent at least fifty percent (50%) of the dollar value of Borrower’s and such Subsidiaries’ accounts at all financial institutions.</w:t>
      </w:r>
    </w:p>
    <w:p>
      <w:pPr>
        <w:spacing w:after="0" w:line="181" w:lineRule="exact"/>
        <w:rPr>
          <w:rFonts w:ascii="Arial" w:cs="Arial" w:eastAsia="Arial" w:hAnsi="Arial"/>
          <w:sz w:val="18"/>
          <w:szCs w:val="18"/>
          <w:color w:val="auto"/>
        </w:rPr>
      </w:pPr>
    </w:p>
    <w:p>
      <w:pPr>
        <w:ind w:right="20" w:firstLine="921"/>
        <w:spacing w:after="0" w:line="255" w:lineRule="auto"/>
        <w:tabs>
          <w:tab w:leader="none" w:pos="116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Borrower shall provide Collateral Agent five (5) days’ prior written notice before Borrower or any of its Subsidiaries establishes any Collateral Account at or with any Person other than Bank or its Affiliates.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250" w:name="page251"/>
    <w:bookmarkEnd w:id="250"/>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prior written consent of Collateral Agent.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Certificates.</w:t>
      </w:r>
    </w:p>
    <w:p>
      <w:pPr>
        <w:spacing w:after="0" w:line="181" w:lineRule="exact"/>
        <w:rPr>
          <w:sz w:val="20"/>
          <w:szCs w:val="20"/>
          <w:color w:val="auto"/>
        </w:rPr>
      </w:pPr>
    </w:p>
    <w:p>
      <w:pPr>
        <w:ind w:right="340" w:firstLine="921"/>
        <w:spacing w:after="0" w:line="277" w:lineRule="auto"/>
        <w:tabs>
          <w:tab w:leader="none" w:pos="1158"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Sections 6.6(a) and (b).</w:t>
      </w:r>
    </w:p>
    <w:p>
      <w:pPr>
        <w:spacing w:after="0" w:line="166" w:lineRule="exact"/>
        <w:rPr>
          <w:sz w:val="20"/>
          <w:szCs w:val="20"/>
          <w:color w:val="auto"/>
        </w:rPr>
      </w:pPr>
    </w:p>
    <w:p>
      <w:pPr>
        <w:jc w:val="both"/>
        <w:ind w:right="200" w:firstLine="456"/>
        <w:spacing w:after="0" w:line="293" w:lineRule="auto"/>
        <w:rPr>
          <w:sz w:val="20"/>
          <w:szCs w:val="20"/>
          <w:color w:val="auto"/>
        </w:rPr>
      </w:pPr>
      <w:r>
        <w:rPr>
          <w:rFonts w:ascii="Arial" w:cs="Arial" w:eastAsia="Arial" w:hAnsi="Arial"/>
          <w:sz w:val="16"/>
          <w:szCs w:val="16"/>
          <w:b w:val="1"/>
          <w:bCs w:val="1"/>
          <w:color w:val="auto"/>
        </w:rPr>
        <w:t>6.7. Protection of Intellectual Property Rights</w:t>
      </w:r>
      <w:r>
        <w:rPr>
          <w:rFonts w:ascii="Arial" w:cs="Arial" w:eastAsia="Arial" w:hAnsi="Arial"/>
          <w:sz w:val="16"/>
          <w:szCs w:val="16"/>
          <w:color w:val="auto"/>
        </w:rPr>
        <w:t>. Borrower and each of its Subsidiaries shall: (a) use commercially reasonable efforts consistent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current business practices to protect, defend and maintain the validity and enforceability of its Intellectual Property that is material to Borrower’s business;</w:t>
      </w:r>
    </w:p>
    <w:p>
      <w:pPr>
        <w:spacing w:after="0" w:line="1" w:lineRule="exact"/>
        <w:rPr>
          <w:sz w:val="20"/>
          <w:szCs w:val="20"/>
          <w:color w:val="auto"/>
        </w:rPr>
      </w:pPr>
    </w:p>
    <w:p>
      <w:pPr>
        <w:jc w:val="both"/>
        <w:ind w:right="20" w:firstLine="8"/>
        <w:spacing w:after="0" w:line="271" w:lineRule="auto"/>
        <w:tabs>
          <w:tab w:leader="none" w:pos="25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promptly after Borrower becomes aware thereof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 Borrower shall obtain Collateral Agent’s and Lenders’ written consent prior to abandoning, modifying or delaying filing, prosecution or issuance of any Core IP. Borrower shall provide Collateral Agent and Lenders with notice, on a quarterly basis, of any abandonment, modification or delay in the filing, prosecution or issuance of any Non-Core IP during the preceding quarter.</w:t>
      </w:r>
    </w:p>
    <w:p>
      <w:pPr>
        <w:spacing w:after="0" w:line="1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6.8. Litigation Cooperation</w:t>
      </w:r>
      <w:r>
        <w:rPr>
          <w:rFonts w:ascii="Arial" w:cs="Arial" w:eastAsia="Arial" w:hAnsi="Arial"/>
          <w:sz w:val="17"/>
          <w:szCs w:val="17"/>
          <w:color w:val="auto"/>
        </w:rPr>
        <w:t>. 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at reasonable times and with reasonable advance notice, unless an Event of Default has occurred and is continuing,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 In such event, Collateral Agent and the Lenders shall work cooperatively with Borrower to minimize disruption, to the extent reasonably possible, of Borrower’s ongoing operations.</w:t>
      </w:r>
    </w:p>
    <w:p>
      <w:pPr>
        <w:spacing w:after="0" w:line="174"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b w:val="1"/>
          <w:bCs w:val="1"/>
          <w:color w:val="auto"/>
        </w:rPr>
        <w:t>6.9. Notices of Litigation and Default</w:t>
      </w:r>
      <w:r>
        <w:rPr>
          <w:rFonts w:ascii="Arial" w:cs="Arial" w:eastAsia="Arial" w:hAnsi="Arial"/>
          <w:sz w:val="17"/>
          <w:szCs w:val="17"/>
          <w:color w:val="auto"/>
        </w:rPr>
        <w:t>. After becoming aware thereof, Borrower will give prompt written notice to Collateral Agent and the Lenders</w:t>
      </w:r>
      <w:r>
        <w:rPr>
          <w:rFonts w:ascii="Arial" w:cs="Arial" w:eastAsia="Arial" w:hAnsi="Arial"/>
          <w:sz w:val="17"/>
          <w:szCs w:val="17"/>
          <w:b w:val="1"/>
          <w:bCs w:val="1"/>
          <w:color w:val="auto"/>
        </w:rPr>
        <w:t xml:space="preserve"> </w:t>
      </w:r>
      <w:r>
        <w:rPr>
          <w:rFonts w:ascii="Arial" w:cs="Arial" w:eastAsia="Arial" w:hAnsi="Arial"/>
          <w:sz w:val="17"/>
          <w:szCs w:val="17"/>
          <w:color w:val="auto"/>
        </w:rPr>
        <w:t>of any litigation or governmental proceedings pending or threatened (in writing) against Borrower or any of its Subsidiaries, which could reasonably be expected to result in damages or costs to Borrower or any of its Subsidiaries of One Hundred Thousand Dollars ($100,000.00)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6.10. Intentionally Omitted</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6.11. Landlord Waivers; Bailee Waivers</w:t>
      </w:r>
      <w:r>
        <w:rPr>
          <w:rFonts w:ascii="Arial" w:cs="Arial" w:eastAsia="Arial" w:hAnsi="Arial"/>
          <w:sz w:val="18"/>
          <w:szCs w:val="18"/>
          <w:color w:val="auto"/>
        </w:rPr>
        <w:t>. In the event that Borrower or any of its Subsidiaries, after the Effective Date, intends to add any new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or business locations, including warehouses, or otherwise store any portion of the Collateral with, or deliver any portion of the Collateral to, a bailee, in each case pursuant to Section 7.2, then Borrower or such Subsidiary will first provide at least thirty (30) days prior written notice to Collateral Agent and, in the event that the Collateral at any new location includes Borrower’s Books or is valued in excess of One Hundred Thousand ($100,000.00) in the aggregate,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89" w:lineRule="exact"/>
        <w:rPr>
          <w:sz w:val="20"/>
          <w:szCs w:val="20"/>
          <w:color w:val="auto"/>
        </w:rPr>
      </w:pPr>
    </w:p>
    <w:p>
      <w:pPr>
        <w:ind w:right="420" w:firstLine="456"/>
        <w:spacing w:after="0" w:line="314" w:lineRule="auto"/>
        <w:rPr>
          <w:sz w:val="20"/>
          <w:szCs w:val="20"/>
          <w:color w:val="auto"/>
        </w:rPr>
      </w:pPr>
      <w:r>
        <w:rPr>
          <w:rFonts w:ascii="Arial" w:cs="Arial" w:eastAsia="Arial" w:hAnsi="Arial"/>
          <w:sz w:val="16"/>
          <w:szCs w:val="16"/>
          <w:b w:val="1"/>
          <w:bCs w:val="1"/>
          <w:color w:val="auto"/>
        </w:rPr>
        <w:t>6.12. Creation/Acquisition of Subsidiaries</w:t>
      </w:r>
      <w:r>
        <w:rPr>
          <w:rFonts w:ascii="Arial" w:cs="Arial" w:eastAsia="Arial" w:hAnsi="Arial"/>
          <w:sz w:val="16"/>
          <w:szCs w:val="16"/>
          <w:color w:val="auto"/>
        </w:rPr>
        <w:t>. In the event Borrower, or any of its Subsidiaries creates or acquires any Subsidiary,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251" w:name="page252"/>
    <w:bookmarkEnd w:id="25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Obligations of Borrower under the Loan Documents and, in each case, grant a continuing pledge and security interest in and to the assets of such Subsidiary (substantially as described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Borrower (or its Subsidiary, as applicable) shall grant and pledge to Collateral Agent, for the ratable benefit of the Lenders, to secure payment and performance of the Obligations a perfected security interest in the stock, units or other evidence of ownership of each such newly created Subsidiary, provided, however, that in the case of a Foreign Subsidiary, Borrower (or any domestic Subsidiary which is the owner of such Foreign Subsidiary) shall not be required to pledge or grant a security interest in more than sixty five percent (65%) of the outstanding equity securities of such Foreign Subsidiary and no assets of such Foreign Subsidiary shall be required to be pledged or subject to a security interest hereunder if Borrower demonstrates to the reasonable satisfaction of Collateral Agent that such Foreign Subsidiary providing such guarantee or pledge and security interest or Borrower providing a perfected security interest in more than sixty five percent (65%) of the outstanding equity securities would create a present and existing adverse tax consequence to Borrower under the U.S. Internal Revenue Code. Notwithstanding the foregoing, Borrower shall not be required to pledge or grant a security interest in more than sixty five percent (65%) of the outstanding equity securities of the Australia Subsidiary and no assets of the Australia Subsidiary shall be required to be pledged or subject to a security interest hereunder.</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6.13. Further Assurances</w:t>
      </w:r>
      <w:r>
        <w:rPr>
          <w:rFonts w:ascii="Arial" w:cs="Arial" w:eastAsia="Arial" w:hAnsi="Arial"/>
          <w:sz w:val="18"/>
          <w:szCs w:val="18"/>
          <w:color w:val="auto"/>
        </w:rPr>
        <w:t>.</w:t>
      </w:r>
    </w:p>
    <w:p>
      <w:pPr>
        <w:spacing w:after="0" w:line="229" w:lineRule="exact"/>
        <w:rPr>
          <w:sz w:val="20"/>
          <w:szCs w:val="20"/>
          <w:color w:val="auto"/>
        </w:rPr>
      </w:pPr>
    </w:p>
    <w:p>
      <w:pPr>
        <w:ind w:right="740" w:firstLine="921"/>
        <w:spacing w:after="0" w:line="277" w:lineRule="auto"/>
        <w:tabs>
          <w:tab w:leader="none" w:pos="115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70" w:lineRule="exact"/>
        <w:rPr>
          <w:rFonts w:ascii="Arial" w:cs="Arial" w:eastAsia="Arial" w:hAnsi="Arial"/>
          <w:sz w:val="18"/>
          <w:szCs w:val="18"/>
          <w:color w:val="auto"/>
        </w:rPr>
      </w:pPr>
    </w:p>
    <w:p>
      <w:pPr>
        <w:jc w:val="both"/>
        <w:ind w:right="480" w:firstLine="921"/>
        <w:spacing w:after="0" w:line="312" w:lineRule="auto"/>
        <w:tabs>
          <w:tab w:leader="none" w:pos="116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291" w:lineRule="exact"/>
        <w:rPr>
          <w:rFonts w:ascii="Arial" w:cs="Arial" w:eastAsia="Arial" w:hAnsi="Arial"/>
          <w:sz w:val="16"/>
          <w:szCs w:val="16"/>
          <w:color w:val="auto"/>
        </w:rPr>
      </w:pPr>
    </w:p>
    <w:p>
      <w:pPr>
        <w:ind w:left="460" w:hanging="452"/>
        <w:spacing w:after="0"/>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Borrower shall not, and shall not permit any of its Subsidiaries to, do any of the following without the prior written consent of the Required Lenders:</w:t>
      </w:r>
    </w:p>
    <w:p>
      <w:pPr>
        <w:spacing w:after="0" w:line="244"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transfer, assign, or otherwise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all or any part of its business or property, except for Transfers (a) of Inventory in the ordinary course of business; (b) of worn out or obsolete Equipment; and (c) in connection with Permitted Liens, Permitted Investments and Permitted Licenses.</w:t>
      </w:r>
    </w:p>
    <w:p>
      <w:pPr>
        <w:spacing w:after="0" w:line="176"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7.2. Changes in Business, Management, Ownership, or Business Locations</w:t>
      </w:r>
      <w:r>
        <w:rPr>
          <w:rFonts w:ascii="Arial" w:cs="Arial" w:eastAsia="Arial" w:hAnsi="Arial"/>
          <w:sz w:val="17"/>
          <w:szCs w:val="17"/>
          <w:color w:val="auto"/>
        </w:rPr>
        <w:t>. (a) Engage in or permit any of its Subsidiaries to engage in any</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within five (5) days of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private investors so long as Borrower identifies to Collateral Agent the private investors prior to the closing of the transaction). Borrower shall not, without at least thirty (30) days’ prior written notice to Collateral Agent: (A) add any new offices or business locations, including warehouses (unless such new offices or business locations contain less than One Hundred Thousand Dollars ($100,000.00) in assets or property of Borrower or any of its Subsidiaries); (B) change its jurisdiction of organization, (C) change its organizational structure or type, (D) change its legal name, or (E) change any organizational number (if any) assigned by its jurisdiction of organization.</w:t>
      </w:r>
    </w:p>
    <w:p>
      <w:pPr>
        <w:spacing w:after="0" w:line="174" w:lineRule="exact"/>
        <w:rPr>
          <w:sz w:val="20"/>
          <w:szCs w:val="20"/>
          <w:color w:val="auto"/>
        </w:rPr>
      </w:pPr>
    </w:p>
    <w:p>
      <w:pPr>
        <w:ind w:right="320" w:firstLine="456"/>
        <w:spacing w:after="0" w:line="266"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shares or property of another Person. A Subsidiary may merge or consolidate into another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2" w:name="page253"/>
    <w:bookmarkEnd w:id="252"/>
    <w:p>
      <w:pPr>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7.4. 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24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b w:val="1"/>
          <w:bCs w:val="1"/>
          <w:color w:val="auto"/>
        </w:rPr>
        <w:t>7.5. Encumbrance</w:t>
      </w:r>
      <w:r>
        <w:rPr>
          <w:rFonts w:ascii="Arial" w:cs="Arial" w:eastAsia="Arial" w:hAnsi="Arial"/>
          <w:sz w:val="17"/>
          <w:szCs w:val="17"/>
          <w:color w:val="auto"/>
        </w:rPr>
        <w:t>. Create, incur, allow, or suffer any Lien on any of its property, or assign or convey any right to receive income, including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7"/>
          <w:szCs w:val="17"/>
          <w:b w:val="1"/>
          <w:bCs w:val="1"/>
          <w:color w:val="auto"/>
        </w:rPr>
        <w:t>Permitted Liens</w:t>
      </w:r>
      <w:r>
        <w:rPr>
          <w:rFonts w:ascii="Arial" w:cs="Arial" w:eastAsia="Arial" w:hAnsi="Arial"/>
          <w:sz w:val="17"/>
          <w:szCs w:val="17"/>
          <w:color w:val="auto"/>
        </w:rPr>
        <w:t>” herein.</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7.6. Maintenance of Collateral Accounts</w:t>
      </w:r>
      <w:r>
        <w:rPr>
          <w:rFonts w:ascii="Arial" w:cs="Arial" w:eastAsia="Arial" w:hAnsi="Arial"/>
          <w:sz w:val="18"/>
          <w:szCs w:val="18"/>
          <w:color w:val="auto"/>
        </w:rPr>
        <w:t>. Maintain any Collateral Account except pursuant to the terms of Section 6.6 hereof.</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7.7. Distributions; Investments</w:t>
      </w:r>
      <w:r>
        <w:rPr>
          <w:rFonts w:ascii="Arial" w:cs="Arial" w:eastAsia="Arial" w:hAnsi="Arial"/>
          <w:sz w:val="18"/>
          <w:szCs w:val="18"/>
          <w:color w:val="auto"/>
        </w:rPr>
        <w:t>. (a) Pay any dividends (other than dividends payable solely in capital stock) or make any distribution or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or redeem, retire or purchase any capital stock (other than repurchases pursuant to the terms of employee stock purchase plans, employee restricted stock agreements, stockholder rights plans, director or consultant stock option plans, or similar plans, provided such repurchases do not exceed One Hundred Thousand Dollars ($100,000.00) in the aggregate per fiscal year) or (b) directly or indirectly make any Investment other than Permitted Investments, or permit any of its Subsidiaries to do so.</w:t>
      </w:r>
    </w:p>
    <w:p>
      <w:pPr>
        <w:spacing w:after="0" w:line="184"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7.8. Transactions with Affiliates</w:t>
      </w:r>
      <w:r>
        <w:rPr>
          <w:rFonts w:ascii="Arial" w:cs="Arial" w:eastAsia="Arial" w:hAnsi="Arial"/>
          <w:sz w:val="18"/>
          <w:szCs w:val="18"/>
          <w:color w:val="auto"/>
        </w:rPr>
        <w:t>. Directly or indirectly enter into or permit to exist any material transaction with any Affiliate of Borrower or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and (b) Subordinated Debt or equity investments by Borrower’s investors in Borrower or its Subsidiaries.</w:t>
      </w:r>
    </w:p>
    <w:p>
      <w:pPr>
        <w:spacing w:after="0" w:line="180" w:lineRule="exact"/>
        <w:rPr>
          <w:sz w:val="20"/>
          <w:szCs w:val="20"/>
          <w:color w:val="auto"/>
        </w:rPr>
      </w:pPr>
    </w:p>
    <w:p>
      <w:pPr>
        <w:jc w:val="both"/>
        <w:ind w:right="320" w:firstLine="456"/>
        <w:spacing w:after="0" w:line="289" w:lineRule="auto"/>
        <w:rPr>
          <w:sz w:val="20"/>
          <w:szCs w:val="20"/>
          <w:color w:val="auto"/>
        </w:rPr>
      </w:pPr>
      <w:r>
        <w:rPr>
          <w:rFonts w:ascii="Arial" w:cs="Arial" w:eastAsia="Arial" w:hAnsi="Arial"/>
          <w:sz w:val="17"/>
          <w:szCs w:val="17"/>
          <w:b w:val="1"/>
          <w:bCs w:val="1"/>
          <w:color w:val="auto"/>
        </w:rPr>
        <w:t>7.9. Subordinated Debt</w:t>
      </w:r>
      <w:r>
        <w:rPr>
          <w:rFonts w:ascii="Arial" w:cs="Arial" w:eastAsia="Arial" w:hAnsi="Arial"/>
          <w:sz w:val="17"/>
          <w:szCs w:val="17"/>
          <w:color w:val="auto"/>
        </w:rPr>
        <w:t>. (a)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5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7.10. Compliance</w:t>
      </w:r>
      <w:r>
        <w:rPr>
          <w:rFonts w:ascii="Arial" w:cs="Arial" w:eastAsia="Arial" w:hAnsi="Arial"/>
          <w:sz w:val="18"/>
          <w:szCs w:val="18"/>
          <w:color w:val="auto"/>
        </w:rPr>
        <w:t>. Become an “investment company” or a company controlled by an “investment company”, under the Investment Company Act of</w:t>
      </w:r>
      <w:r>
        <w:rPr>
          <w:rFonts w:ascii="Arial" w:cs="Arial" w:eastAsia="Arial" w:hAnsi="Arial"/>
          <w:sz w:val="18"/>
          <w:szCs w:val="18"/>
          <w:b w:val="1"/>
          <w:bCs w:val="1"/>
          <w:color w:val="auto"/>
        </w:rPr>
        <w:t xml:space="preserve"> </w:t>
      </w:r>
      <w:r>
        <w:rPr>
          <w:rFonts w:ascii="Arial" w:cs="Arial" w:eastAsia="Arial" w:hAnsi="Arial"/>
          <w:sz w:val="18"/>
          <w:szCs w:val="18"/>
          <w:color w:val="auto"/>
        </w:rPr>
        <w:t>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89"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7.11. Compliance with Anti-Terrorism Laws</w:t>
      </w:r>
      <w:r>
        <w:rPr>
          <w:rFonts w:ascii="Arial" w:cs="Arial" w:eastAsia="Arial" w:hAnsi="Arial"/>
          <w:sz w:val="18"/>
          <w:szCs w:val="18"/>
          <w:color w:val="auto"/>
        </w:rPr>
        <w:t>. Collateral Agent hereby notifies Borrower and each of its Subsidiaries that pursuant to the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53" w:name="page254"/>
    <w:bookmarkEnd w:id="253"/>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(c) is indicted on, or</w:t>
      </w:r>
    </w:p>
    <w:p>
      <w:pPr>
        <w:spacing w:after="0" w:line="2" w:lineRule="exact"/>
        <w:rPr>
          <w:sz w:val="20"/>
          <w:szCs w:val="20"/>
          <w:color w:val="auto"/>
        </w:rPr>
      </w:pPr>
    </w:p>
    <w:p>
      <w:pPr>
        <w:ind w:right="20" w:firstLine="8"/>
        <w:spacing w:after="0" w:line="290" w:lineRule="auto"/>
        <w:tabs>
          <w:tab w:leader="none" w:pos="25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is arraigned and held over on charges 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309"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320" w:firstLine="456"/>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Covenant Default</w:t>
      </w:r>
      <w:r>
        <w:rPr>
          <w:rFonts w:ascii="Arial" w:cs="Arial" w:eastAsia="Arial" w:hAnsi="Arial"/>
          <w:sz w:val="18"/>
          <w:szCs w:val="18"/>
          <w:color w:val="auto"/>
        </w:rPr>
        <w:t>.</w:t>
      </w:r>
    </w:p>
    <w:p>
      <w:pPr>
        <w:spacing w:after="0" w:line="229" w:lineRule="exact"/>
        <w:rPr>
          <w:sz w:val="20"/>
          <w:szCs w:val="20"/>
          <w:color w:val="auto"/>
        </w:rPr>
      </w:pPr>
    </w:p>
    <w:p>
      <w:pPr>
        <w:ind w:right="80" w:firstLine="921"/>
        <w:spacing w:after="0" w:line="312" w:lineRule="auto"/>
        <w:tabs>
          <w:tab w:leader="none" w:pos="1158" w:val="left"/>
        </w:tabs>
        <w:numPr>
          <w:ilvl w:val="1"/>
          <w:numId w:val="220"/>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6.11 (Landlord Waivers; Bailee Waivers), 6.12 (Creation/Acquisition of Subsidiaries) or 6.13 (Further Assurances) or Borrower violates any covenant in Section 7; or</w:t>
      </w:r>
    </w:p>
    <w:p>
      <w:pPr>
        <w:spacing w:after="0" w:line="146" w:lineRule="exact"/>
        <w:rPr>
          <w:rFonts w:ascii="Arial" w:cs="Arial" w:eastAsia="Arial" w:hAnsi="Arial"/>
          <w:sz w:val="16"/>
          <w:szCs w:val="16"/>
          <w:color w:val="auto"/>
        </w:rPr>
      </w:pPr>
    </w:p>
    <w:p>
      <w:pPr>
        <w:ind w:firstLine="921"/>
        <w:spacing w:after="0" w:line="285" w:lineRule="auto"/>
        <w:tabs>
          <w:tab w:leader="none" w:pos="1168" w:val="left"/>
        </w:tabs>
        <w:numPr>
          <w:ilvl w:val="1"/>
          <w:numId w:val="220"/>
        </w:numPr>
        <w:rPr>
          <w:rFonts w:ascii="Arial" w:cs="Arial" w:eastAsia="Arial" w:hAnsi="Arial"/>
          <w:sz w:val="16"/>
          <w:szCs w:val="16"/>
          <w:color w:val="auto"/>
        </w:rPr>
      </w:pPr>
      <w:r>
        <w:rPr>
          <w:rFonts w:ascii="Arial" w:cs="Arial" w:eastAsia="Arial" w:hAnsi="Arial"/>
          <w:sz w:val="16"/>
          <w:szCs w:val="16"/>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w:t>
      </w:r>
    </w:p>
    <w:p>
      <w:pPr>
        <w:spacing w:after="0" w:line="2" w:lineRule="exact"/>
        <w:rPr>
          <w:rFonts w:ascii="Arial" w:cs="Arial" w:eastAsia="Arial" w:hAnsi="Arial"/>
          <w:sz w:val="16"/>
          <w:szCs w:val="16"/>
          <w:color w:val="auto"/>
        </w:rPr>
      </w:pPr>
    </w:p>
    <w:p>
      <w:pPr>
        <w:ind w:right="140" w:firstLine="8"/>
        <w:spacing w:after="0" w:line="255" w:lineRule="auto"/>
        <w:tabs>
          <w:tab w:leader="none" w:pos="34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Material Adverse Change</w:t>
      </w:r>
      <w:r>
        <w:rPr>
          <w:rFonts w:ascii="Arial" w:cs="Arial" w:eastAsia="Arial" w:hAnsi="Arial"/>
          <w:sz w:val="18"/>
          <w:szCs w:val="18"/>
          <w:color w:val="auto"/>
        </w:rPr>
        <w:t>. A Material Adverse Change occurs;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Attachment; Levy; Restraint on Business</w:t>
      </w:r>
      <w:r>
        <w:rPr>
          <w:rFonts w:ascii="Arial" w:cs="Arial" w:eastAsia="Arial" w:hAnsi="Arial"/>
          <w:sz w:val="18"/>
          <w:szCs w:val="18"/>
          <w:color w:val="auto"/>
        </w:rPr>
        <w:t>.</w:t>
      </w:r>
    </w:p>
    <w:p>
      <w:pPr>
        <w:spacing w:after="0" w:line="229" w:lineRule="exact"/>
        <w:rPr>
          <w:sz w:val="20"/>
          <w:szCs w:val="20"/>
          <w:color w:val="auto"/>
        </w:rPr>
      </w:pPr>
    </w:p>
    <w:p>
      <w:pPr>
        <w:ind w:right="160" w:firstLine="921"/>
        <w:spacing w:after="0" w:line="259" w:lineRule="auto"/>
        <w:tabs>
          <w:tab w:leader="none" w:pos="1158"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Authority and the same under subclauses (i)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54" w:name="page255"/>
    <w:bookmarkEnd w:id="254"/>
    <w:p>
      <w:pPr>
        <w:ind w:right="360" w:firstLine="8"/>
        <w:spacing w:after="0" w:line="277" w:lineRule="auto"/>
        <w:tabs>
          <w:tab w:leader="none" w:pos="265"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hereof are not, within ten (10) days after the occurrence thereof, discharged or stayed (whether through the posting of a bond or otherwise); provided, however, no Credit Extensions shall be made during any ten (10) day cure period; and</w:t>
      </w:r>
    </w:p>
    <w:p>
      <w:pPr>
        <w:spacing w:after="0" w:line="170" w:lineRule="exact"/>
        <w:rPr>
          <w:rFonts w:ascii="Arial" w:cs="Arial" w:eastAsia="Arial" w:hAnsi="Arial"/>
          <w:sz w:val="18"/>
          <w:szCs w:val="18"/>
          <w:color w:val="auto"/>
        </w:rPr>
      </w:pPr>
    </w:p>
    <w:p>
      <w:pPr>
        <w:ind w:right="100" w:firstLine="921"/>
        <w:spacing w:after="0" w:line="308" w:lineRule="auto"/>
        <w:tabs>
          <w:tab w:leader="none" w:pos="1168" w:val="left"/>
        </w:tabs>
        <w:numPr>
          <w:ilvl w:val="1"/>
          <w:numId w:val="223"/>
        </w:numPr>
        <w:rPr>
          <w:rFonts w:ascii="Arial" w:cs="Arial" w:eastAsia="Arial" w:hAnsi="Arial"/>
          <w:sz w:val="17"/>
          <w:szCs w:val="17"/>
          <w:color w:val="auto"/>
        </w:rPr>
      </w:pPr>
      <w:r>
        <w:rPr>
          <w:rFonts w:ascii="Arial" w:cs="Arial" w:eastAsia="Arial" w:hAnsi="Arial"/>
          <w:sz w:val="17"/>
          <w:szCs w:val="17"/>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43"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b w:val="1"/>
          <w:bCs w:val="1"/>
          <w:color w:val="auto"/>
        </w:rPr>
        <w:t>8.5. Insolvency</w:t>
      </w:r>
      <w:r>
        <w:rPr>
          <w:rFonts w:ascii="Arial" w:cs="Arial" w:eastAsia="Arial" w:hAnsi="Arial"/>
          <w:sz w:val="17"/>
          <w:szCs w:val="17"/>
          <w:color w:val="auto"/>
        </w:rPr>
        <w:t>. (a)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w:t>
      </w:r>
    </w:p>
    <w:p>
      <w:pPr>
        <w:spacing w:after="0" w:line="158" w:lineRule="exact"/>
        <w:rPr>
          <w:sz w:val="20"/>
          <w:szCs w:val="20"/>
          <w:color w:val="auto"/>
        </w:rPr>
      </w:pPr>
    </w:p>
    <w:p>
      <w:pPr>
        <w:ind w:right="460" w:firstLine="456"/>
        <w:spacing w:after="0" w:line="289"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a default in any agreement to which Borrower or any of its Subsidiaries is a party with a third party or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 excess of One Hundred Thousand Dollars ($100,000.00) or that could reasonably be expected to have a Material Adverse Change;</w:t>
      </w:r>
    </w:p>
    <w:p>
      <w:pPr>
        <w:spacing w:after="0" w:line="158"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b w:val="1"/>
          <w:bCs w:val="1"/>
          <w:color w:val="auto"/>
        </w:rPr>
        <w:t>8.7. Judgments</w:t>
      </w:r>
      <w:r>
        <w:rPr>
          <w:rFonts w:ascii="Arial" w:cs="Arial" w:eastAsia="Arial" w:hAnsi="Arial"/>
          <w:sz w:val="16"/>
          <w:szCs w:val="16"/>
          <w:color w:val="auto"/>
        </w:rPr>
        <w:t>. One or more judgments, orders, or decrees for the payment of money in an amount, individually or in the aggregate, of at least One</w:t>
      </w:r>
      <w:r>
        <w:rPr>
          <w:rFonts w:ascii="Arial" w:cs="Arial" w:eastAsia="Arial" w:hAnsi="Arial"/>
          <w:sz w:val="16"/>
          <w:szCs w:val="16"/>
          <w:b w:val="1"/>
          <w:bCs w:val="1"/>
          <w:color w:val="auto"/>
        </w:rPr>
        <w:t xml:space="preserve"> </w:t>
      </w:r>
      <w:r>
        <w:rPr>
          <w:rFonts w:ascii="Arial" w:cs="Arial" w:eastAsia="Arial" w:hAnsi="Arial"/>
          <w:sz w:val="16"/>
          <w:szCs w:val="16"/>
          <w:color w:val="auto"/>
        </w:rPr>
        <w:t>Hundred Thousand Dollars ($100,000.00) (not covered by independent third-party insurance as to which liability has been accepted by such insurance carrier) shall be rendered against Borrower or any of its Subsidiaries and shall remain unsatisfied, unvacated, or unstayed for a period of ten (10) days after the entry thereof (provided that no Credit Extensions will be made prior to the satisfaction, vacation, or stay of such judgment, order or decree);</w:t>
      </w:r>
    </w:p>
    <w:p>
      <w:pPr>
        <w:spacing w:after="0" w:line="151" w:lineRule="exact"/>
        <w:rPr>
          <w:sz w:val="20"/>
          <w:szCs w:val="20"/>
          <w:color w:val="auto"/>
        </w:rPr>
      </w:pPr>
    </w:p>
    <w:p>
      <w:pPr>
        <w:ind w:right="260" w:firstLine="456"/>
        <w:spacing w:after="0" w:line="281" w:lineRule="auto"/>
        <w:rPr>
          <w:sz w:val="20"/>
          <w:szCs w:val="20"/>
          <w:color w:val="auto"/>
        </w:rPr>
      </w:pPr>
      <w:r>
        <w:rPr>
          <w:rFonts w:ascii="Arial" w:cs="Arial" w:eastAsia="Arial" w:hAnsi="Arial"/>
          <w:sz w:val="17"/>
          <w:szCs w:val="17"/>
          <w:b w:val="1"/>
          <w:bCs w:val="1"/>
          <w:color w:val="auto"/>
        </w:rPr>
        <w:t>8.8. Misrepresentations</w:t>
      </w:r>
      <w:r>
        <w:rPr>
          <w:rFonts w:ascii="Arial" w:cs="Arial" w:eastAsia="Arial" w:hAnsi="Arial"/>
          <w:sz w:val="17"/>
          <w:szCs w:val="17"/>
          <w:color w:val="auto"/>
        </w:rPr>
        <w:t>. Borrower or any of its Subsidiaries or any Person acting for Borrower or any of its Subsidiaries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 contemplated hereby makes any 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6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 default or breach occurs under any agreement between Borrower or any of its Subsidiaries and any creditor of Borrower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6"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8.10. Guaranty</w:t>
      </w:r>
      <w:r>
        <w:rPr>
          <w:rFonts w:ascii="Arial" w:cs="Arial" w:eastAsia="Arial" w:hAnsi="Arial"/>
          <w:sz w:val="18"/>
          <w:szCs w:val="18"/>
          <w:color w:val="auto"/>
        </w:rPr>
        <w:t>. (a) Any Guaranty terminates or ceases for any reason to be in full force and effect; (b) any Guarantor does not perform any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covenant under any Guaranty; (c) any circumstance described in Sections 8.3, 8.4, 8.5, 8.7, or 8.8 occurs with respect to any Guarantor, or (d) the liquidation, winding up, or termination of existence of any Guarantor.</w:t>
      </w:r>
    </w:p>
    <w:p>
      <w:pPr>
        <w:spacing w:after="0" w:line="17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8.11. Governmental Approvals</w:t>
      </w:r>
      <w:r>
        <w:rPr>
          <w:rFonts w:ascii="Arial" w:cs="Arial" w:eastAsia="Arial" w:hAnsi="Arial"/>
          <w:sz w:val="18"/>
          <w:szCs w:val="18"/>
          <w:color w:val="auto"/>
        </w:rPr>
        <w:t>. Any Governmental Approval shall have been revoked, rescinded, suspended, modified in an adverse manner, or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renewed in the ordinary course for a full term </w:t>
      </w:r>
      <w:r>
        <w:rPr>
          <w:rFonts w:ascii="Arial" w:cs="Arial" w:eastAsia="Arial" w:hAnsi="Arial"/>
          <w:sz w:val="18"/>
          <w:szCs w:val="18"/>
          <w:i w:val="1"/>
          <w:iCs w:val="1"/>
          <w:color w:val="auto"/>
        </w:rPr>
        <w:t>and</w:t>
      </w:r>
      <w:r>
        <w:rPr>
          <w:rFonts w:ascii="Arial" w:cs="Arial" w:eastAsia="Arial" w:hAnsi="Arial"/>
          <w:sz w:val="18"/>
          <w:szCs w:val="18"/>
          <w:color w:val="auto"/>
        </w:rPr>
        <w:t xml:space="preserve"> such revocation, rescission, suspension, modification or non-renewal has resulted in or could reasonably be expected to result in a Material Adverse Change; or</w:t>
      </w:r>
    </w:p>
    <w:p>
      <w:pPr>
        <w:spacing w:after="0" w:line="176"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8.12. Lien Priority</w:t>
      </w:r>
      <w:r>
        <w:rPr>
          <w:rFonts w:ascii="Arial" w:cs="Arial" w:eastAsia="Arial" w:hAnsi="Arial"/>
          <w:sz w:val="18"/>
          <w:szCs w:val="18"/>
          <w:color w:val="auto"/>
        </w:rPr>
        <w:t>. Any Lien created hereunder or by any other Loan Document shall at any time fail to constitute a valid and perfected Lien on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Collateral purported to be secured thereby, subject to no prior or equal Lien, other than Permitted Liens which are permitted to have priority in accordance with the terms of this Agreement.</w:t>
      </w:r>
    </w:p>
    <w:p>
      <w:pPr>
        <w:spacing w:after="0" w:line="325" w:lineRule="exact"/>
        <w:rPr>
          <w:sz w:val="20"/>
          <w:szCs w:val="20"/>
          <w:color w:val="auto"/>
        </w:rPr>
      </w:pPr>
    </w:p>
    <w:p>
      <w:pPr>
        <w:ind w:left="460" w:right="8800" w:hanging="452"/>
        <w:spacing w:after="0" w:line="425" w:lineRule="auto"/>
        <w:tabs>
          <w:tab w:leader="none" w:pos="449" w:val="left"/>
        </w:tabs>
        <w:numPr>
          <w:ilvl w:val="0"/>
          <w:numId w:val="22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RIGHTS AND REMEDIES </w:t>
      </w:r>
      <w:r>
        <w:rPr>
          <w:rFonts w:ascii="Arial" w:cs="Arial" w:eastAsia="Arial" w:hAnsi="Arial"/>
          <w:sz w:val="17"/>
          <w:szCs w:val="17"/>
          <w:b w:val="1"/>
          <w:bCs w:val="1"/>
          <w:color w:val="auto"/>
        </w:rPr>
        <w:t>9.1. Rights and Remedies</w:t>
      </w:r>
      <w:r>
        <w:rPr>
          <w:rFonts w:ascii="Arial" w:cs="Arial" w:eastAsia="Arial" w:hAnsi="Arial"/>
          <w:sz w:val="17"/>
          <w:szCs w:val="17"/>
          <w:color w:val="auto"/>
        </w:rPr>
        <w:t>.</w:t>
      </w: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255" w:name="page256"/>
    <w:bookmarkEnd w:id="255"/>
    <w:p>
      <w:pPr>
        <w:ind w:left="-20" w:right="100" w:firstLine="921"/>
        <w:spacing w:after="0" w:line="271" w:lineRule="auto"/>
        <w:tabs>
          <w:tab w:leader="none" w:pos="1138" w:val="left"/>
        </w:tabs>
        <w:numPr>
          <w:ilvl w:val="0"/>
          <w:numId w:val="2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8" w:lineRule="exact"/>
        <w:rPr>
          <w:rFonts w:ascii="Arial" w:cs="Arial" w:eastAsia="Arial" w:hAnsi="Arial"/>
          <w:sz w:val="17"/>
          <w:szCs w:val="17"/>
          <w:color w:val="auto"/>
        </w:rPr>
      </w:pPr>
    </w:p>
    <w:p>
      <w:pPr>
        <w:ind w:left="-20" w:right="680" w:firstLine="921"/>
        <w:spacing w:after="0" w:line="308" w:lineRule="auto"/>
        <w:tabs>
          <w:tab w:leader="none" w:pos="114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1680" w:hanging="208"/>
        <w:spacing w:after="0"/>
        <w:tabs>
          <w:tab w:leader="none" w:pos="16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left="-20" w:right="160" w:firstLine="1492"/>
        <w:spacing w:after="0" w:line="277" w:lineRule="auto"/>
        <w:tabs>
          <w:tab w:leader="none" w:pos="172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apply to the Obligations any (a) balances and deposits of Borrower that Collateral Agent or any Lender holds or controls, or (b) any amount held or controlled by Collateral Agent or any Lender owing to or for the credit or the account of Borrower; and/or</w:t>
      </w:r>
    </w:p>
    <w:p>
      <w:pPr>
        <w:spacing w:after="0" w:line="170" w:lineRule="exact"/>
        <w:rPr>
          <w:rFonts w:ascii="Arial" w:cs="Arial" w:eastAsia="Arial" w:hAnsi="Arial"/>
          <w:sz w:val="18"/>
          <w:szCs w:val="18"/>
          <w:color w:val="auto"/>
        </w:rPr>
      </w:pPr>
    </w:p>
    <w:p>
      <w:pPr>
        <w:ind w:left="1780" w:hanging="308"/>
        <w:spacing w:after="0"/>
        <w:tabs>
          <w:tab w:leader="none" w:pos="178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commence and prosecute an Insolvency Proceeding or consent to Borrower commencing any Insolvency Proceeding.</w:t>
      </w:r>
    </w:p>
    <w:p>
      <w:pPr>
        <w:spacing w:after="0" w:line="225" w:lineRule="exact"/>
        <w:rPr>
          <w:rFonts w:ascii="Arial" w:cs="Arial" w:eastAsia="Arial" w:hAnsi="Arial"/>
          <w:sz w:val="18"/>
          <w:szCs w:val="18"/>
          <w:color w:val="auto"/>
        </w:rPr>
      </w:pPr>
    </w:p>
    <w:p>
      <w:pPr>
        <w:ind w:left="-20" w:right="60" w:firstLine="921"/>
        <w:spacing w:after="0" w:line="308" w:lineRule="auto"/>
        <w:tabs>
          <w:tab w:leader="none" w:pos="1138" w:val="left"/>
        </w:tabs>
        <w:numPr>
          <w:ilvl w:val="0"/>
          <w:numId w:val="225"/>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20" w:right="220" w:firstLine="1492"/>
        <w:spacing w:after="0" w:line="342" w:lineRule="auto"/>
        <w:tabs>
          <w:tab w:leader="none" w:pos="167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23" w:lineRule="exact"/>
        <w:rPr>
          <w:rFonts w:ascii="Arial" w:cs="Arial" w:eastAsia="Arial" w:hAnsi="Arial"/>
          <w:sz w:val="16"/>
          <w:szCs w:val="16"/>
          <w:color w:val="auto"/>
        </w:rPr>
      </w:pPr>
    </w:p>
    <w:p>
      <w:pPr>
        <w:ind w:left="-20" w:firstLine="1492"/>
        <w:spacing w:after="0" w:line="276" w:lineRule="auto"/>
        <w:tabs>
          <w:tab w:leader="none" w:pos="1728" w:val="left"/>
        </w:tabs>
        <w:numPr>
          <w:ilvl w:val="1"/>
          <w:numId w:val="225"/>
        </w:numPr>
        <w:rPr>
          <w:rFonts w:ascii="Arial" w:cs="Arial" w:eastAsia="Arial" w:hAnsi="Arial"/>
          <w:sz w:val="17"/>
          <w:szCs w:val="17"/>
          <w:color w:val="auto"/>
        </w:rPr>
      </w:pPr>
      <w:r>
        <w:rPr>
          <w:rFonts w:ascii="Arial" w:cs="Arial" w:eastAsia="Arial" w:hAnsi="Arial"/>
          <w:sz w:val="17"/>
          <w:szCs w:val="17"/>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72" w:lineRule="exact"/>
        <w:rPr>
          <w:rFonts w:ascii="Arial" w:cs="Arial" w:eastAsia="Arial" w:hAnsi="Arial"/>
          <w:sz w:val="17"/>
          <w:szCs w:val="17"/>
          <w:color w:val="auto"/>
        </w:rPr>
      </w:pPr>
    </w:p>
    <w:p>
      <w:pPr>
        <w:ind w:left="-20" w:right="40" w:firstLine="1492"/>
        <w:spacing w:after="0" w:line="255" w:lineRule="auto"/>
        <w:tabs>
          <w:tab w:leader="none" w:pos="1778" w:val="left"/>
        </w:tabs>
        <w:numPr>
          <w:ilvl w:val="1"/>
          <w:numId w:val="225"/>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3" w:lineRule="exact"/>
        <w:rPr>
          <w:rFonts w:ascii="Arial" w:cs="Arial" w:eastAsia="Arial" w:hAnsi="Arial"/>
          <w:sz w:val="18"/>
          <w:szCs w:val="18"/>
          <w:color w:val="auto"/>
        </w:rPr>
      </w:pPr>
    </w:p>
    <w:p>
      <w:pPr>
        <w:ind w:left="-20" w:right="420" w:firstLine="1492"/>
        <w:spacing w:after="0" w:line="342" w:lineRule="auto"/>
        <w:tabs>
          <w:tab w:leader="none" w:pos="1768" w:val="left"/>
        </w:tabs>
        <w:numPr>
          <w:ilvl w:val="1"/>
          <w:numId w:val="225"/>
        </w:numPr>
        <w:rPr>
          <w:rFonts w:ascii="Arial" w:cs="Arial" w:eastAsia="Arial" w:hAnsi="Arial"/>
          <w:sz w:val="16"/>
          <w:szCs w:val="16"/>
          <w:color w:val="auto"/>
        </w:rPr>
      </w:pPr>
      <w:r>
        <w:rPr>
          <w:rFonts w:ascii="Arial" w:cs="Arial" w:eastAsia="Arial" w:hAnsi="Arial"/>
          <w:sz w:val="16"/>
          <w:szCs w:val="16"/>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23" w:lineRule="exact"/>
        <w:rPr>
          <w:rFonts w:ascii="Arial" w:cs="Arial" w:eastAsia="Arial" w:hAnsi="Arial"/>
          <w:sz w:val="16"/>
          <w:szCs w:val="16"/>
          <w:color w:val="auto"/>
        </w:rPr>
      </w:pPr>
    </w:p>
    <w:p>
      <w:pPr>
        <w:ind w:left="1720" w:hanging="248"/>
        <w:spacing w:after="0"/>
        <w:tabs>
          <w:tab w:leader="none" w:pos="17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256" w:name="page257"/>
    <w:bookmarkEnd w:id="256"/>
    <w:p>
      <w:pPr>
        <w:ind w:firstLine="1492"/>
        <w:spacing w:after="0" w:line="264" w:lineRule="auto"/>
        <w:tabs>
          <w:tab w:leader="none" w:pos="1788"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w:t>
      </w:r>
    </w:p>
    <w:p>
      <w:pPr>
        <w:spacing w:after="0" w:line="181" w:lineRule="exact"/>
        <w:rPr>
          <w:rFonts w:ascii="Arial" w:cs="Arial" w:eastAsia="Arial" w:hAnsi="Arial"/>
          <w:sz w:val="18"/>
          <w:szCs w:val="18"/>
          <w:color w:val="auto"/>
        </w:rPr>
      </w:pPr>
    </w:p>
    <w:p>
      <w:pPr>
        <w:ind w:right="420" w:firstLine="1492"/>
        <w:spacing w:after="0" w:line="342" w:lineRule="auto"/>
        <w:tabs>
          <w:tab w:leader="none" w:pos="183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3" w:lineRule="exact"/>
        <w:rPr>
          <w:rFonts w:ascii="Arial" w:cs="Arial" w:eastAsia="Arial" w:hAnsi="Arial"/>
          <w:sz w:val="16"/>
          <w:szCs w:val="16"/>
          <w:color w:val="auto"/>
        </w:rPr>
      </w:pPr>
    </w:p>
    <w:p>
      <w:pPr>
        <w:ind w:right="40" w:firstLine="1492"/>
        <w:spacing w:after="0" w:line="293" w:lineRule="auto"/>
        <w:tabs>
          <w:tab w:leader="none" w:pos="1888" w:val="left"/>
        </w:tabs>
        <w:numPr>
          <w:ilvl w:val="0"/>
          <w:numId w:val="226"/>
        </w:numPr>
        <w:rPr>
          <w:rFonts w:ascii="Arial" w:cs="Arial" w:eastAsia="Arial" w:hAnsi="Arial"/>
          <w:sz w:val="16"/>
          <w:szCs w:val="16"/>
          <w:color w:val="auto"/>
        </w:rPr>
      </w:pPr>
      <w:r>
        <w:rPr>
          <w:rFonts w:ascii="Arial" w:cs="Arial" w:eastAsia="Arial" w:hAnsi="Arial"/>
          <w:sz w:val="16"/>
          <w:szCs w:val="16"/>
          <w:color w:val="auto"/>
        </w:rPr>
        <w:t>for any Letters of Credit, demand that Borrower (i) deposit cash with Bank in an amount equal to (x) if such Letters of Credit are denominated in Dollars, then one hundred five percent (105%); and (y) if such Letters of Credit are denominated in a Foreign Currency, then one hundred ten percent (110%), of the Dollar Equivalent of the aggregate face amount of all Letters of Credit remaining undrawn (plus all interest, fees, and costs due or to 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and(ii) pay in advance all letter of credit fees scheduled to be paid or payable over the remaining term of any Letters of Credit; and</w:t>
      </w:r>
    </w:p>
    <w:p>
      <w:pPr>
        <w:spacing w:after="0" w:line="164" w:lineRule="exact"/>
        <w:rPr>
          <w:rFonts w:ascii="Arial" w:cs="Arial" w:eastAsia="Arial" w:hAnsi="Arial"/>
          <w:sz w:val="16"/>
          <w:szCs w:val="16"/>
          <w:color w:val="auto"/>
        </w:rPr>
      </w:pPr>
    </w:p>
    <w:p>
      <w:pPr>
        <w:ind w:left="1800" w:hanging="308"/>
        <w:spacing w:after="0"/>
        <w:tabs>
          <w:tab w:leader="none" w:pos="18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Arial" w:cs="Arial" w:eastAsia="Arial" w:hAnsi="Arial"/>
          <w:sz w:val="18"/>
          <w:szCs w:val="18"/>
          <w:b w:val="1"/>
          <w:bCs w:val="1"/>
          <w:color w:val="auto"/>
        </w:rPr>
        <w:t>Exigent Circumstance</w:t>
      </w:r>
      <w:r>
        <w:rPr>
          <w:rFonts w:ascii="Arial" w:cs="Arial" w:eastAsia="Arial" w:hAnsi="Arial"/>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8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color w:val="auto"/>
        </w:rPr>
        <w:t>9.2. Power of Attorney</w:t>
      </w:r>
      <w:r>
        <w:rPr>
          <w:rFonts w:ascii="Arial" w:cs="Arial" w:eastAsia="Arial" w:hAnsi="Arial"/>
          <w:sz w:val="17"/>
          <w:szCs w:val="17"/>
          <w:color w:val="auto"/>
        </w:rPr>
        <w:t>. Borrower hereby irrevocably appoints Collateral Agent as its lawful attorney-in-fact, exercisable upon the occurrence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the Lien Termination Date. Collateral Agent’s foregoing appointment as Borrower’s or any of its Subsidiaries’ attorney in fact, and all of Collateral Agent’s rights and powers, coupled with an interest, are irrevocable until the Lien Termination Date.</w:t>
      </w:r>
    </w:p>
    <w:p>
      <w:pPr>
        <w:spacing w:after="0" w:line="174"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b w:val="1"/>
          <w:bCs w:val="1"/>
          <w:color w:val="auto"/>
        </w:rPr>
        <w:t>9.3. Protective Payments</w:t>
      </w:r>
      <w:r>
        <w:rPr>
          <w:rFonts w:ascii="Arial" w:cs="Arial" w:eastAsia="Arial" w:hAnsi="Arial"/>
          <w:sz w:val="16"/>
          <w:szCs w:val="16"/>
          <w:color w:val="auto"/>
        </w:rPr>
        <w:t>. If Borrower or any of its Subsidiaries fail to obtain the insurance called for by Section 6.5 or fails to pay any premium</w:t>
      </w:r>
      <w:r>
        <w:rPr>
          <w:rFonts w:ascii="Arial" w:cs="Arial" w:eastAsia="Arial" w:hAnsi="Arial"/>
          <w:sz w:val="16"/>
          <w:szCs w:val="16"/>
          <w:b w:val="1"/>
          <w:bCs w:val="1"/>
          <w:color w:val="auto"/>
        </w:rPr>
        <w:t xml:space="preserve"> </w:t>
      </w:r>
      <w:r>
        <w:rPr>
          <w:rFonts w:ascii="Arial" w:cs="Arial" w:eastAsia="Arial" w:hAnsi="Arial"/>
          <w:sz w:val="16"/>
          <w:szCs w:val="16"/>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257" w:name="page258"/>
    <w:bookmarkEnd w:id="257"/>
    <w:p>
      <w:pPr>
        <w:ind w:right="20" w:firstLine="456"/>
        <w:spacing w:after="0" w:line="28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9.4. Application of Payments and Proceeds</w:t>
      </w:r>
      <w:r>
        <w:rPr>
          <w:rFonts w:ascii="Arial" w:cs="Arial" w:eastAsia="Arial" w:hAnsi="Arial"/>
          <w:sz w:val="16"/>
          <w:szCs w:val="16"/>
          <w:color w:val="auto"/>
        </w:rPr>
        <w:t>. Notwithstanding anything to the contrary contained in this Agreement, upon the occurrence and during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9.5. Liability for Collateral</w:t>
      </w:r>
      <w:r>
        <w:rPr>
          <w:rFonts w:ascii="Arial" w:cs="Arial" w:eastAsia="Arial" w:hAnsi="Arial"/>
          <w:sz w:val="16"/>
          <w:szCs w:val="16"/>
          <w:color w:val="auto"/>
        </w:rPr>
        <w:t>. So long as Collateral Agent and the Lenders comply with reasonable banking practices regarding the safekeeping of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Collateral in the possession or under the control of Collateral Agent and the Lenders, Collateral Agent and the Lenders shall not be liable or responsible for:</w:t>
      </w:r>
    </w:p>
    <w:p>
      <w:pPr>
        <w:spacing w:after="0" w:line="32" w:lineRule="exact"/>
        <w:rPr>
          <w:sz w:val="20"/>
          <w:szCs w:val="20"/>
          <w:color w:val="auto"/>
        </w:rPr>
      </w:pPr>
    </w:p>
    <w:p>
      <w:pPr>
        <w:ind w:firstLine="8"/>
        <w:spacing w:after="0" w:line="261" w:lineRule="auto"/>
        <w:tabs>
          <w:tab w:leader="none" w:pos="24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9.6. No Waiver; Remedies Cumulative</w:t>
      </w:r>
      <w:r>
        <w:rPr>
          <w:rFonts w:ascii="Arial" w:cs="Arial" w:eastAsia="Arial" w:hAnsi="Arial"/>
          <w:sz w:val="18"/>
          <w:szCs w:val="18"/>
          <w:color w:val="auto"/>
        </w:rPr>
        <w:t>. Failure by Collateral Agent or any Lender, at any time or times, to require strict performance by Borrower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5" w:lineRule="exact"/>
        <w:rPr>
          <w:sz w:val="20"/>
          <w:szCs w:val="20"/>
          <w:color w:val="auto"/>
        </w:rPr>
      </w:pPr>
    </w:p>
    <w:p>
      <w:pPr>
        <w:ind w:right="780" w:firstLine="456"/>
        <w:spacing w:after="0" w:line="282"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to the fullest extent permitted by law, demand, notice of default or dishonor, notice of payment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notice of any default, nonpayment at maturity, release,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70" w:right="299" w:bottom="1440" w:gutter="0" w:footer="0" w:header="0"/>
        </w:sectPr>
      </w:pPr>
    </w:p>
    <w:bookmarkStart w:id="258" w:name="page259"/>
    <w:bookmarkEnd w:id="258"/>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compromise, settlement, extension, or renewal of accounts, documents, instruments, chattel paper, and guarantees held by Collateral Agent or any Lender on which Borrower or any Subsidiary is liable.</w:t>
      </w:r>
    </w:p>
    <w:p>
      <w:pPr>
        <w:spacing w:after="0" w:line="315" w:lineRule="exact"/>
        <w:rPr>
          <w:sz w:val="20"/>
          <w:szCs w:val="20"/>
          <w:color w:val="auto"/>
        </w:rPr>
      </w:pPr>
    </w:p>
    <w:p>
      <w:pPr>
        <w:ind w:left="460" w:hanging="452"/>
        <w:spacing w:after="0"/>
        <w:tabs>
          <w:tab w:leader="none" w:pos="46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w:t>
      </w:r>
    </w:p>
    <w:p>
      <w:pPr>
        <w:spacing w:after="0" w:line="1" w:lineRule="exact"/>
        <w:rPr>
          <w:sz w:val="20"/>
          <w:szCs w:val="20"/>
          <w:color w:val="auto"/>
        </w:rPr>
      </w:pPr>
    </w:p>
    <w:p>
      <w:pPr>
        <w:ind w:firstLine="8"/>
        <w:spacing w:after="0" w:line="252" w:lineRule="auto"/>
        <w:tabs>
          <w:tab w:leader="none" w:pos="255" w:val="left"/>
        </w:tabs>
        <w:numPr>
          <w:ilvl w:val="0"/>
          <w:numId w:val="229"/>
        </w:numPr>
        <w:rPr>
          <w:rFonts w:ascii="Arial" w:cs="Arial" w:eastAsia="Arial" w:hAnsi="Arial"/>
          <w:sz w:val="18"/>
          <w:szCs w:val="18"/>
          <w:color w:val="auto"/>
        </w:rPr>
      </w:pPr>
      <w:r>
        <w:rPr>
          <w:rFonts w:ascii="Arial" w:cs="Arial" w:eastAsia="Arial" w:hAnsi="Arial"/>
          <w:sz w:val="18"/>
          <w:szCs w:val="18"/>
          <w:color w:val="auto"/>
        </w:rPr>
        <w:t>Business Days after deposit in the U.S. mail, first class, registered or certified mail return receipt requested, with proper postage prepaid; (b) upon transmission, when sent by facsimile transmission, provided however, that if such transmission is not on a Business Day, on the next Business Day after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ectPr>
          <w:pgSz w:w="11900" w:h="16838" w:orient="portrait"/>
          <w:cols w:equalWidth="0" w:num="1">
            <w:col w:w="11360"/>
          </w:cols>
          <w:pgMar w:left="240" w:top="274" w:right="299" w:bottom="1440" w:gutter="0" w:footer="0" w:header="0"/>
        </w:sectPr>
      </w:pP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to 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920" w:right="100"/>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(858) 366-9055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hsuria@anaptysbio.com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mrossiter@fenwick.com</w:t>
      </w:r>
    </w:p>
    <w:p>
      <w:pPr>
        <w:spacing w:after="0" w:line="139" w:lineRule="exact"/>
        <w:rPr>
          <w:sz w:val="20"/>
          <w:szCs w:val="20"/>
          <w:color w:val="auto"/>
        </w:rPr>
      </w:pPr>
    </w:p>
    <w:p>
      <w:pPr>
        <w:sectPr>
          <w:pgSz w:w="11900" w:h="16838" w:orient="portrait"/>
          <w:cols w:equalWidth="0" w:num="2">
            <w:col w:w="3080" w:space="720"/>
            <w:col w:w="7560"/>
          </w:cols>
          <w:pgMar w:left="240" w:top="274" w:right="299" w:bottom="1440" w:gutter="0" w:footer="0" w:header="0"/>
          <w:type w:val="continuous"/>
        </w:sectPr>
      </w:pPr>
    </w:p>
    <w:p>
      <w:pPr>
        <w:ind w:left="920"/>
        <w:spacing w:after="0"/>
        <w:tabs>
          <w:tab w:leader="none" w:pos="3780" w:val="left"/>
        </w:tabs>
        <w:rPr>
          <w:sz w:val="20"/>
          <w:szCs w:val="20"/>
          <w:color w:val="auto"/>
        </w:rPr>
      </w:pPr>
      <w:r>
        <w:rPr>
          <w:rFonts w:ascii="Arial" w:cs="Arial" w:eastAsia="Arial" w:hAnsi="Arial"/>
          <w:sz w:val="18"/>
          <w:szCs w:val="18"/>
          <w:color w:val="auto"/>
        </w:rPr>
        <w:t>If to Collateral Agent:</w:t>
      </w:r>
      <w:r>
        <w:rPr>
          <w:sz w:val="20"/>
          <w:szCs w:val="20"/>
          <w:color w:val="auto"/>
        </w:rPr>
        <w:tab/>
      </w:r>
      <w:r>
        <w:rPr>
          <w:rFonts w:ascii="Arial" w:cs="Arial" w:eastAsia="Arial" w:hAnsi="Arial"/>
          <w:sz w:val="17"/>
          <w:szCs w:val="17"/>
          <w:color w:val="auto"/>
        </w:rPr>
        <w:t>OXFORD FINANCE LLC</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133 North Fairfax Street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Alexandria, Virginia 22314</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(703) 519-5225</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LegalDepartment@oxfordfinance.com</w:t>
      </w:r>
    </w:p>
    <w:p>
      <w:pPr>
        <w:spacing w:after="0" w:line="116"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with a copy to</w:t>
      </w:r>
      <w:r>
        <w:rPr>
          <w:sz w:val="20"/>
          <w:szCs w:val="20"/>
          <w:color w:val="auto"/>
        </w:rPr>
        <w:tab/>
      </w:r>
      <w:r>
        <w:rPr>
          <w:rFonts w:ascii="Arial" w:cs="Arial" w:eastAsia="Arial" w:hAnsi="Arial"/>
          <w:sz w:val="18"/>
          <w:szCs w:val="18"/>
          <w:color w:val="auto"/>
        </w:rPr>
        <w:t>SILICON VALLEY BANK</w:t>
      </w:r>
    </w:p>
    <w:p>
      <w:pPr>
        <w:spacing w:after="0" w:line="2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4370 La Jolla Village Drive, Suite 1050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92122</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Michael White</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784-3310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mwhite@svb.com</w:t>
      </w:r>
    </w:p>
    <w:p>
      <w:pPr>
        <w:spacing w:after="0" w:line="116"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with a copy (which shall not</w:t>
      </w:r>
      <w:r>
        <w:rPr>
          <w:sz w:val="20"/>
          <w:szCs w:val="20"/>
          <w:color w:val="auto"/>
        </w:rPr>
        <w:tab/>
      </w:r>
      <w:r>
        <w:rPr>
          <w:rFonts w:ascii="Arial" w:cs="Arial" w:eastAsia="Arial" w:hAnsi="Arial"/>
          <w:sz w:val="17"/>
          <w:szCs w:val="17"/>
          <w:color w:val="auto"/>
        </w:rPr>
        <w:t>Cooley LLP</w:t>
      </w:r>
    </w:p>
    <w:p>
      <w:pPr>
        <w:spacing w:after="0" w:line="23" w:lineRule="exact"/>
        <w:rPr>
          <w:sz w:val="20"/>
          <w:szCs w:val="20"/>
          <w:color w:val="auto"/>
        </w:rPr>
      </w:pPr>
    </w:p>
    <w:p>
      <w:pPr>
        <w:ind w:left="920"/>
        <w:spacing w:after="0"/>
        <w:tabs>
          <w:tab w:leader="none" w:pos="3780" w:val="left"/>
        </w:tabs>
        <w:rPr>
          <w:sz w:val="20"/>
          <w:szCs w:val="20"/>
          <w:color w:val="auto"/>
        </w:rPr>
      </w:pPr>
      <w:r>
        <w:rPr>
          <w:rFonts w:ascii="Arial" w:cs="Arial" w:eastAsia="Arial" w:hAnsi="Arial"/>
          <w:sz w:val="18"/>
          <w:szCs w:val="18"/>
          <w:color w:val="auto"/>
        </w:rPr>
        <w:t>constitute notice) to:</w:t>
      </w:r>
      <w:r>
        <w:rPr>
          <w:sz w:val="20"/>
          <w:szCs w:val="20"/>
          <w:color w:val="auto"/>
        </w:rPr>
        <w:tab/>
      </w:r>
      <w:r>
        <w:rPr>
          <w:rFonts w:ascii="Arial" w:cs="Arial" w:eastAsia="Arial" w:hAnsi="Arial"/>
          <w:sz w:val="16"/>
          <w:szCs w:val="16"/>
          <w:color w:val="auto"/>
        </w:rPr>
        <w:t>4401 Eastgate Mall</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San Diego, CA 92121-1909</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Attn: George Samuel</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Fax: (858) 550 6420</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Email: gsamuel@cooley.com</w:t>
      </w:r>
    </w:p>
    <w:p>
      <w:pPr>
        <w:spacing w:after="0" w:line="369" w:lineRule="exact"/>
        <w:rPr>
          <w:sz w:val="20"/>
          <w:szCs w:val="20"/>
          <w:color w:val="auto"/>
        </w:rPr>
      </w:pPr>
    </w:p>
    <w:p>
      <w:pPr>
        <w:ind w:left="460" w:hanging="452"/>
        <w:spacing w:after="0"/>
        <w:tabs>
          <w:tab w:leader="none" w:pos="4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 AND JUDICIAL REFERENCE</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California law governs the Loan Documents without regard to principles of conflicts of law. Borrower, Collateral Agent and each Lender each submit to the exclusive jurisdiction of the State and Federal courts in Santa</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74" w:right="299" w:bottom="1440" w:gutter="0" w:footer="0" w:header="0"/>
          <w:type w:val="continuous"/>
        </w:sectPr>
      </w:pPr>
    </w:p>
    <w:bookmarkStart w:id="259" w:name="page260"/>
    <w:bookmarkEnd w:id="259"/>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78"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8"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336" w:lineRule="exact"/>
        <w:rPr>
          <w:sz w:val="20"/>
          <w:szCs w:val="20"/>
          <w:color w:val="auto"/>
        </w:rPr>
      </w:pPr>
    </w:p>
    <w:p>
      <w:pPr>
        <w:ind w:left="460" w:hanging="452"/>
        <w:spacing w:after="0"/>
        <w:tabs>
          <w:tab w:leader="none" w:pos="46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117"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12.1. Successors and Assigns</w:t>
      </w:r>
      <w:r>
        <w:rPr>
          <w:rFonts w:ascii="Arial" w:cs="Arial" w:eastAsia="Arial" w:hAnsi="Arial"/>
          <w:sz w:val="16"/>
          <w:szCs w:val="16"/>
          <w:color w:val="auto"/>
        </w:rPr>
        <w:t>. This Agreement binds and is for the benefit of the successors and permitted assigns of each party. Borrower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Arial" w:cs="Arial" w:eastAsia="Arial" w:hAnsi="Arial"/>
          <w:sz w:val="16"/>
          <w:szCs w:val="16"/>
          <w:b w:val="1"/>
          <w:bCs w:val="1"/>
          <w:color w:val="auto"/>
        </w:rPr>
        <w:t>any</w:t>
      </w:r>
      <w:r>
        <w:rPr>
          <w:rFonts w:ascii="Arial" w:cs="Arial" w:eastAsia="Arial" w:hAnsi="Arial"/>
          <w:sz w:val="16"/>
          <w:szCs w:val="16"/>
          <w:color w:val="auto"/>
        </w:rPr>
        <w:t xml:space="preserve"> such sale, transfer, assignment, negotiation,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xml:space="preserve">”) all or any part of, or any interest in, the Lenders’ obligations, rights, and benefits under this Agreement and the other Loan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Lender Transfer (other than a transfer, pledge, sale or assignment to an Eligible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60" w:name="page261"/>
    <w:bookmarkEnd w:id="26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Assignee) of its obligations, rights, and benefits under this Agreement and the other Loan Documents shall require the prior written consent of the Required Lenders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163"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color w:val="auto"/>
        </w:rPr>
        <w:t>12.2. Indemnification</w:t>
      </w:r>
      <w:r>
        <w:rPr>
          <w:rFonts w:ascii="Arial" w:cs="Arial" w:eastAsia="Arial" w:hAnsi="Arial"/>
          <w:sz w:val="17"/>
          <w:szCs w:val="17"/>
          <w:color w:val="auto"/>
        </w:rPr>
        <w:t>. 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or any other Person affiliated with or representing Collateral Agent or the Lenders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Time of Essence</w:t>
      </w:r>
      <w:r>
        <w:rPr>
          <w:rFonts w:ascii="Arial" w:cs="Arial" w:eastAsia="Arial" w:hAnsi="Arial"/>
          <w:sz w:val="18"/>
          <w:szCs w:val="18"/>
          <w:color w:val="auto"/>
        </w:rPr>
        <w:t>. Time is of the essence for the performance of all Obligations in this Agreement.</w:t>
      </w:r>
    </w:p>
    <w:p>
      <w:pPr>
        <w:spacing w:after="0" w:line="225"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12.5. Correction of Loan Documents</w:t>
      </w:r>
      <w:r>
        <w:rPr>
          <w:rFonts w:ascii="Arial" w:cs="Arial" w:eastAsia="Arial" w:hAnsi="Arial"/>
          <w:sz w:val="18"/>
          <w:szCs w:val="18"/>
          <w:color w:val="auto"/>
        </w:rPr>
        <w:t>. Collateral Agent and the Lenders may correct patent errors and fill in any blanks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consistent with the agreement of the parties.</w:t>
      </w:r>
    </w:p>
    <w:p>
      <w:pPr>
        <w:spacing w:after="0" w:line="1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b w:val="1"/>
          <w:bCs w:val="1"/>
          <w:color w:val="auto"/>
        </w:rPr>
        <w:t>12.6. Amendments in Writing; Integration</w:t>
      </w:r>
      <w:r>
        <w:rPr>
          <w:rFonts w:ascii="Arial" w:cs="Arial" w:eastAsia="Arial" w:hAnsi="Arial"/>
          <w:sz w:val="17"/>
          <w:szCs w:val="17"/>
          <w:color w:val="auto"/>
        </w:rPr>
        <w:t>. (a) No amendment, modification, termination or waiver of any provision of this Agreement or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62" w:lineRule="exact"/>
        <w:rPr>
          <w:sz w:val="20"/>
          <w:szCs w:val="20"/>
          <w:color w:val="auto"/>
        </w:rPr>
      </w:pPr>
    </w:p>
    <w:p>
      <w:pPr>
        <w:ind w:right="700" w:firstLine="1492"/>
        <w:spacing w:after="0" w:line="277" w:lineRule="auto"/>
        <w:tabs>
          <w:tab w:leader="none" w:pos="169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170" w:lineRule="exact"/>
        <w:rPr>
          <w:rFonts w:ascii="Arial" w:cs="Arial" w:eastAsia="Arial" w:hAnsi="Arial"/>
          <w:sz w:val="18"/>
          <w:szCs w:val="18"/>
          <w:color w:val="auto"/>
        </w:rPr>
      </w:pPr>
    </w:p>
    <w:p>
      <w:pPr>
        <w:ind w:right="400" w:firstLine="1492"/>
        <w:spacing w:after="0" w:line="277" w:lineRule="auto"/>
        <w:tabs>
          <w:tab w:leader="none" w:pos="174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261" w:name="page262"/>
    <w:bookmarkEnd w:id="261"/>
    <w:p>
      <w:pPr>
        <w:ind w:firstLine="1492"/>
        <w:spacing w:after="0" w:line="285" w:lineRule="auto"/>
        <w:tabs>
          <w:tab w:leader="none" w:pos="1798" w:val="left"/>
        </w:tabs>
        <w:numPr>
          <w:ilvl w:val="1"/>
          <w:numId w:val="2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Arial" w:cs="Arial" w:eastAsia="Arial" w:hAnsi="Arial"/>
          <w:sz w:val="16"/>
          <w:szCs w:val="16"/>
          <w:b w:val="1"/>
          <w:bCs w:val="1"/>
          <w:color w:val="auto"/>
        </w:rPr>
        <w:t>Required Lenders</w:t>
      </w:r>
      <w:r>
        <w:rPr>
          <w:rFonts w:ascii="Arial" w:cs="Arial" w:eastAsia="Arial" w:hAnsi="Arial"/>
          <w:sz w:val="16"/>
          <w:szCs w:val="16"/>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77" w:lineRule="exact"/>
        <w:rPr>
          <w:rFonts w:ascii="Arial" w:cs="Arial" w:eastAsia="Arial" w:hAnsi="Arial"/>
          <w:sz w:val="16"/>
          <w:szCs w:val="16"/>
          <w:color w:val="auto"/>
        </w:rPr>
      </w:pPr>
    </w:p>
    <w:p>
      <w:pPr>
        <w:jc w:val="both"/>
        <w:ind w:right="160" w:firstLine="1492"/>
        <w:spacing w:after="0" w:line="264" w:lineRule="auto"/>
        <w:tabs>
          <w:tab w:leader="none" w:pos="1788" w:val="left"/>
        </w:tabs>
        <w:numPr>
          <w:ilvl w:val="1"/>
          <w:numId w:val="233"/>
        </w:numPr>
        <w:rPr>
          <w:rFonts w:ascii="Arial" w:cs="Arial" w:eastAsia="Arial" w:hAnsi="Arial"/>
          <w:sz w:val="18"/>
          <w:szCs w:val="18"/>
          <w:color w:val="auto"/>
        </w:rPr>
      </w:pPr>
      <w:r>
        <w:rPr>
          <w:rFonts w:ascii="Arial" w:cs="Arial" w:eastAsia="Arial" w:hAnsi="Arial"/>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81"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12.6(a)(i)-(iii),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ind w:right="620" w:firstLine="921"/>
        <w:spacing w:after="0" w:line="264" w:lineRule="auto"/>
        <w:tabs>
          <w:tab w:leader="none" w:pos="1158"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7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12.7. Counterparts</w:t>
      </w:r>
      <w:r>
        <w:rPr>
          <w:rFonts w:ascii="Arial" w:cs="Arial" w:eastAsia="Arial" w:hAnsi="Arial"/>
          <w:sz w:val="18"/>
          <w:szCs w:val="18"/>
          <w:color w:val="auto"/>
        </w:rPr>
        <w:t>. This Agreement may be executed in any number of counterparts and by different parties on separate counterparts, each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when executed and delivered, is an original, and all taken together, constitute one Agreement.</w:t>
      </w:r>
    </w:p>
    <w:p>
      <w:pPr>
        <w:spacing w:after="0" w:line="162"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12.8. Survival</w:t>
      </w:r>
      <w:r>
        <w:rPr>
          <w:rFonts w:ascii="Arial" w:cs="Arial" w:eastAsia="Arial" w:hAnsi="Arial"/>
          <w:sz w:val="18"/>
          <w:szCs w:val="18"/>
          <w:color w:val="auto"/>
        </w:rPr>
        <w:t>. All covenants, representations and warranties made in this Agreement continue in full force and effect until this Agreement has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pursuant to its terms and the Lien Termination Date has occurred. Without limiting the foregoing, except as otherwise provided in Section 4.1, the grant of security interest by Borrower in Section 4.1 shall survive until the termination of all Bank Services Agreements. The obligation of Borrower in Section 12.2 to indemnify each Lender and Collateral Agent, as well as the confidentiality provisions in Section 12.9 below, shall survive until the statute of limitations with respect to such claim or cause of action shall have run.</w:t>
      </w:r>
    </w:p>
    <w:p>
      <w:pPr>
        <w:spacing w:after="0" w:line="18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12.9. Confidentiality</w:t>
      </w:r>
      <w:r>
        <w:rPr>
          <w:rFonts w:ascii="Arial" w:cs="Arial" w:eastAsia="Arial" w:hAnsi="Arial"/>
          <w:sz w:val="16"/>
          <w:szCs w:val="16"/>
          <w:color w:val="auto"/>
        </w:rPr>
        <w:t>. In handling any confidential information of Borrower, the Lenders and Collateral Agent shall exercise the same degree of care</w:t>
      </w:r>
      <w:r>
        <w:rPr>
          <w:rFonts w:ascii="Arial" w:cs="Arial" w:eastAsia="Arial" w:hAnsi="Arial"/>
          <w:sz w:val="16"/>
          <w:szCs w:val="16"/>
          <w:b w:val="1"/>
          <w:bCs w:val="1"/>
          <w:color w:val="auto"/>
        </w:rPr>
        <w:t xml:space="preserve"> </w:t>
      </w:r>
      <w:r>
        <w:rPr>
          <w:rFonts w:ascii="Arial" w:cs="Arial" w:eastAsia="Arial" w:hAnsi="Arial"/>
          <w:sz w:val="16"/>
          <w:szCs w:val="16"/>
          <w:color w:val="auto"/>
        </w:rPr>
        <w:t>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62" w:name="page263"/>
    <w:bookmarkEnd w:id="262"/>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17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color w:val="auto"/>
        </w:rPr>
        <w:t>12.10. Right of Set Off</w:t>
      </w:r>
      <w:r>
        <w:rPr>
          <w:rFonts w:ascii="Arial" w:cs="Arial" w:eastAsia="Arial" w:hAnsi="Arial"/>
          <w:sz w:val="17"/>
          <w:szCs w:val="17"/>
          <w:color w:val="auto"/>
        </w:rPr>
        <w:t>. Borrower hereby grants to Collateral Agent and to each Lender, a lien, security interest and right of set off as security for all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4"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12.11. Silicon Valley Bank as Agent. </w:t>
      </w:r>
      <w:r>
        <w:rPr>
          <w:rFonts w:ascii="Arial" w:cs="Arial" w:eastAsia="Arial" w:hAnsi="Arial"/>
          <w:sz w:val="18"/>
          <w:szCs w:val="18"/>
          <w:color w:val="auto"/>
        </w:rPr>
        <w:t>Collateral Agent hereby appoints SVB as its agent (and SVB hereby accepts such appointment) for the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of perfecting Collateral Agent’s Liens in assets which, in accordance with Article 8 or Article 9, as applicable, of the Code can be perfected by possession or control, including without limitation, all deposit accounts maintained at SVB.</w:t>
      </w:r>
    </w:p>
    <w:p>
      <w:pPr>
        <w:spacing w:after="0" w:line="17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12.12. Cooperation of Borrower</w:t>
      </w:r>
      <w:r>
        <w:rPr>
          <w:rFonts w:ascii="Arial" w:cs="Arial" w:eastAsia="Arial" w:hAnsi="Arial"/>
          <w:sz w:val="16"/>
          <w:szCs w:val="16"/>
          <w:color w:val="auto"/>
        </w:rPr>
        <w:t>. If necessary, Borrower agrees to (i) execute any documents (including new Secured Promissory Notes)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effectuate and acknowledge each assignment of a Term Loan Commitment or Loan to an assignee in accordance with Section 12.1, (ii) make Borrower’s management available to meet with Collateral Agent and prospective participants and assignees of Term Loan Commitments or Credit Extensions (which meetings shall be conducted no more often once every six months unless an Event of Default has occurred and is continuing), and (iii) assist Collateral Agent or the Lenders in the preparation of information relating to the financial affairs of Borrower as any prospective participant or assignee of a Term Loan Commitment or Term Loan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309" w:lineRule="exact"/>
        <w:rPr>
          <w:sz w:val="20"/>
          <w:szCs w:val="20"/>
          <w:color w:val="auto"/>
        </w:rPr>
      </w:pPr>
    </w:p>
    <w:p>
      <w:pPr>
        <w:ind w:left="460" w:hanging="452"/>
        <w:spacing w:after="0"/>
        <w:tabs>
          <w:tab w:leader="none" w:pos="46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this Agreement, the following terms have the following meanings:</w:t>
      </w:r>
    </w:p>
    <w:p>
      <w:pPr>
        <w:spacing w:after="0" w:line="225"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63" w:name="page264"/>
    <w:bookmarkEnd w:id="2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February 1, 2016, but if the Term B Loans are advanced, such date shall be August 1, 2016 and if the Term C Loans are advanced, such date shall be February 1, 2017.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Projections</w:t>
      </w:r>
      <w:r>
        <w:rPr>
          <w:rFonts w:ascii="Arial" w:cs="Arial" w:eastAsia="Arial" w:hAnsi="Arial"/>
          <w:sz w:val="18"/>
          <w:szCs w:val="18"/>
          <w:color w:val="auto"/>
        </w:rPr>
        <w:t>” is defined in Section 6.2(a).</w:t>
      </w:r>
    </w:p>
    <w:p>
      <w:pPr>
        <w:spacing w:after="0" w:line="225" w:lineRule="exact"/>
        <w:rPr>
          <w:sz w:val="20"/>
          <w:szCs w:val="20"/>
          <w:color w:val="auto"/>
        </w:rPr>
      </w:pPr>
    </w:p>
    <w:p>
      <w:pPr>
        <w:ind w:right="6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Anti-Terrorism Laws</w:t>
      </w:r>
      <w:r>
        <w:rPr>
          <w:rFonts w:ascii="Arial" w:cs="Arial" w:eastAsia="Arial" w:hAnsi="Arial"/>
          <w:sz w:val="17"/>
          <w:szCs w:val="17"/>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38" w:lineRule="exact"/>
        <w:rPr>
          <w:sz w:val="20"/>
          <w:szCs w:val="20"/>
          <w:color w:val="auto"/>
        </w:rPr>
      </w:pPr>
    </w:p>
    <w:p>
      <w:pPr>
        <w:ind w:right="320" w:firstLine="456"/>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 is defined in Section 12.1.</w:t>
      </w:r>
    </w:p>
    <w:p>
      <w:pPr>
        <w:spacing w:after="0" w:line="225" w:lineRule="exact"/>
        <w:rPr>
          <w:sz w:val="20"/>
          <w:szCs w:val="20"/>
          <w:color w:val="auto"/>
        </w:rPr>
      </w:pPr>
    </w:p>
    <w:p>
      <w:pPr>
        <w:ind w:right="18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Australia Subsidiary</w:t>
      </w:r>
      <w:r>
        <w:rPr>
          <w:rFonts w:ascii="Arial" w:cs="Arial" w:eastAsia="Arial" w:hAnsi="Arial"/>
          <w:sz w:val="17"/>
          <w:szCs w:val="17"/>
          <w:color w:val="auto"/>
        </w:rPr>
        <w:t>” means that certain Subsidiary of Borrower to be formed under the laws of Australia in accordance with the provisions of this Agreement and based substantially on the terms and conditions as provided to Collateral Agent and Lenders in writing as of the date hereof.</w:t>
      </w:r>
    </w:p>
    <w:p>
      <w:pPr>
        <w:spacing w:after="0" w:line="138"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Services</w:t>
      </w:r>
      <w:r>
        <w:rPr>
          <w:rFonts w:ascii="Arial" w:cs="Arial" w:eastAsia="Arial" w:hAnsi="Arial"/>
          <w:sz w:val="17"/>
          <w:szCs w:val="17"/>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“Bank Services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Basic Rate</w:t>
      </w:r>
      <w:r>
        <w:rPr>
          <w:rFonts w:ascii="Arial" w:cs="Arial" w:eastAsia="Arial" w:hAnsi="Arial"/>
          <w:sz w:val="16"/>
          <w:szCs w:val="16"/>
          <w:color w:val="auto"/>
        </w:rPr>
        <w:t>” is, with respect to a Term Loan, the per annum rate of interest (based on a year of three hundred sixty (360) days) equal to the greater of</w:t>
      </w:r>
    </w:p>
    <w:p>
      <w:pPr>
        <w:spacing w:after="0" w:line="50" w:lineRule="exact"/>
        <w:rPr>
          <w:sz w:val="20"/>
          <w:szCs w:val="20"/>
          <w:color w:val="auto"/>
        </w:rPr>
      </w:pPr>
    </w:p>
    <w:p>
      <w:pPr>
        <w:ind w:left="220" w:hanging="212"/>
        <w:spacing w:after="0"/>
        <w:tabs>
          <w:tab w:leader="none" w:pos="2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 xml:space="preserve">six and ninety five hundredths percent (6.95%) and (ii) the sum of (a) the three (3) month U.S. LIBOR rate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three</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(3) Business Days prior to the Funding Date of such Term Loan (which shall not, in any case, be less than twenty three hundredths percent (0.23%), plus</w:t>
      </w:r>
    </w:p>
    <w:p>
      <w:pPr>
        <w:spacing w:after="0" w:line="32" w:lineRule="exact"/>
        <w:rPr>
          <w:rFonts w:ascii="Arial" w:cs="Arial" w:eastAsia="Arial" w:hAnsi="Arial"/>
          <w:sz w:val="17"/>
          <w:szCs w:val="17"/>
          <w:color w:val="auto"/>
        </w:rPr>
      </w:pPr>
    </w:p>
    <w:p>
      <w:pPr>
        <w:ind w:left="260" w:hanging="252"/>
        <w:spacing w:after="0"/>
        <w:tabs>
          <w:tab w:leader="none" w:pos="2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six and seventy two hundredths percent (6.72%).</w:t>
      </w:r>
    </w:p>
    <w:p>
      <w:pPr>
        <w:spacing w:after="0" w:line="20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Blocked Person</w:t>
      </w:r>
      <w:r>
        <w:rPr>
          <w:rFonts w:ascii="Arial" w:cs="Arial" w:eastAsia="Arial" w:hAnsi="Arial"/>
          <w:sz w:val="16"/>
          <w:szCs w:val="16"/>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w:t>
      </w:r>
    </w:p>
    <w:p>
      <w:pPr>
        <w:spacing w:after="0" w:line="1" w:lineRule="exact"/>
        <w:rPr>
          <w:sz w:val="20"/>
          <w:szCs w:val="20"/>
          <w:color w:val="auto"/>
        </w:rPr>
      </w:pPr>
    </w:p>
    <w:p>
      <w:pPr>
        <w:ind w:right="600" w:firstLine="8"/>
        <w:spacing w:after="0" w:line="255" w:lineRule="auto"/>
        <w:tabs>
          <w:tab w:leader="none" w:pos="24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0" w:right="239" w:bottom="1440" w:gutter="0" w:footer="0" w:header="0"/>
        </w:sectPr>
      </w:pPr>
    </w:p>
    <w:bookmarkStart w:id="264" w:name="page265"/>
    <w:bookmarkEnd w:id="26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Arial" w:cs="Arial" w:eastAsia="Arial" w:hAnsi="Arial"/>
          <w:sz w:val="17"/>
          <w:szCs w:val="17"/>
          <w:b w:val="1"/>
          <w:bCs w:val="1"/>
          <w:color w:val="auto"/>
        </w:rPr>
        <w:t>Auction Rate Security</w:t>
      </w:r>
      <w:r>
        <w:rPr>
          <w:rFonts w:ascii="Arial" w:cs="Arial" w:eastAsia="Arial" w:hAnsi="Arial"/>
          <w:sz w:val="17"/>
          <w:szCs w:val="17"/>
          <w:color w:val="auto"/>
        </w:rPr>
        <w: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is, Oxford, not in its individual capacity, but solely in its capacity as agent on behalf of and for the benefit of the Lenders.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 Percentage</w:t>
      </w:r>
      <w:r>
        <w:rPr>
          <w:rFonts w:ascii="Arial" w:cs="Arial" w:eastAsia="Arial" w:hAnsi="Arial"/>
          <w:sz w:val="18"/>
          <w:szCs w:val="18"/>
          <w:color w:val="auto"/>
        </w:rPr>
        <w:t xml:space="preserve">” is set forth in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Account</w:t>
      </w:r>
      <w:r>
        <w:rPr>
          <w:rFonts w:ascii="Arial" w:cs="Arial" w:eastAsia="Arial" w:hAnsi="Arial"/>
          <w:sz w:val="18"/>
          <w:szCs w:val="18"/>
          <w:color w:val="auto"/>
        </w:rPr>
        <w:t>” is any “commodity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265" w:name="page266"/>
    <w:bookmarkEnd w:id="265"/>
    <w:p>
      <w:pPr>
        <w:ind w:right="6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ind w:right="100"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6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or authorship and derivative work thereof, whether published or unpublished and whether or not the same also constitutes a trade secret.</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Core IP</w:t>
      </w:r>
      <w:r>
        <w:rPr>
          <w:rFonts w:ascii="Arial" w:cs="Arial" w:eastAsia="Arial" w:hAnsi="Arial"/>
          <w:sz w:val="18"/>
          <w:szCs w:val="18"/>
          <w:color w:val="auto"/>
        </w:rPr>
        <w:t>” means Intellectual Property required to protect Borrower’s (i) existing somatic hypermutation technology platform as utilized on an on-going basis for antibody development, (ii) antibody product programs actively being pursued as part of the company’s internal or partnered pipeline, including but without limitation the anti-IL-33 and anti-IL-36R antibody programs, and (iii) future acquired or developed Intellectual Property that is material to Borrower’s then-current business.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or any other extension of credit by Collateral Agent or Lenders for Borrower’s benefit.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 XXXX046061, maintained with Bank.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and “$” each mean lawful money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of this Agreement.</w:t>
      </w:r>
    </w:p>
    <w:p>
      <w:pPr>
        <w:spacing w:after="0" w:line="225" w:lineRule="exact"/>
        <w:rPr>
          <w:sz w:val="20"/>
          <w:szCs w:val="20"/>
          <w:color w:val="auto"/>
        </w:rPr>
      </w:pPr>
    </w:p>
    <w:p>
      <w:pPr>
        <w:ind w:right="10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0" w:right="239" w:bottom="1440" w:gutter="0" w:footer="0" w:header="0"/>
        </w:sectPr>
      </w:pPr>
    </w:p>
    <w:bookmarkStart w:id="266" w:name="page267"/>
    <w:bookmarkEnd w:id="266"/>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w:t>
      </w:r>
    </w:p>
    <w:p>
      <w:pPr>
        <w:spacing w:after="0" w:line="2" w:lineRule="exact"/>
        <w:rPr>
          <w:sz w:val="20"/>
          <w:szCs w:val="20"/>
          <w:color w:val="auto"/>
        </w:rPr>
      </w:pPr>
    </w:p>
    <w:p>
      <w:pPr>
        <w:ind w:right="80" w:firstLine="8"/>
        <w:spacing w:after="0" w:line="268" w:lineRule="auto"/>
        <w:tabs>
          <w:tab w:leader="none" w:pos="215" w:val="left"/>
        </w:tabs>
        <w:numPr>
          <w:ilvl w:val="0"/>
          <w:numId w:val="239"/>
        </w:numPr>
        <w:rPr>
          <w:rFonts w:ascii="Arial" w:cs="Arial" w:eastAsia="Arial" w:hAnsi="Arial"/>
          <w:sz w:val="17"/>
          <w:szCs w:val="17"/>
          <w:color w:val="auto"/>
        </w:rPr>
      </w:pPr>
      <w:r>
        <w:rPr>
          <w:rFonts w:ascii="Arial" w:cs="Arial" w:eastAsia="Arial" w:hAnsi="Arial"/>
          <w:sz w:val="17"/>
          <w:szCs w:val="17"/>
          <w:color w:val="auto"/>
        </w:rPr>
        <w:t>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76"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due on the earliest to occur of (a) the Maturity Date, or (b) the acceleration of any Term Loan, or (c) the prepayment of a Term Loan pursuant to Section 2.2(c) or (d), equal to the original principal amount of such Term Loan multiplied by the Final Payment Percentage, payable to Lenders in accordance with their respective Pro Rata Shares.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 Percentage</w:t>
      </w:r>
      <w:r>
        <w:rPr>
          <w:rFonts w:ascii="Arial" w:cs="Arial" w:eastAsia="Arial" w:hAnsi="Arial"/>
          <w:sz w:val="18"/>
          <w:szCs w:val="18"/>
          <w:color w:val="auto"/>
        </w:rPr>
        <w:t>” is five percent (5.00%).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State or territory thereof.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ind w:right="6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are all “general intangibles” as defined in the Code in effect on the date hereof with such additions to such term as may hereafter be made, and includes without limitation, all copyright rights,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267" w:name="page268"/>
    <w:bookmarkEnd w:id="267"/>
    <w:p>
      <w:pPr>
        <w:ind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61"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w:t>
      </w:r>
    </w:p>
    <w:p>
      <w:pPr>
        <w:spacing w:after="0" w:line="225"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Subsidiary’s right, title and interest in and to the following:</w:t>
      </w:r>
    </w:p>
    <w:p>
      <w:pPr>
        <w:spacing w:after="0" w:line="229" w:lineRule="exact"/>
        <w:rPr>
          <w:sz w:val="20"/>
          <w:szCs w:val="20"/>
          <w:color w:val="auto"/>
        </w:rPr>
      </w:pPr>
    </w:p>
    <w:p>
      <w:pPr>
        <w:ind w:left="1160" w:hanging="239"/>
        <w:spacing w:after="0"/>
        <w:tabs>
          <w:tab w:leader="none" w:pos="11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 operating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211" w:lineRule="exact"/>
        <w:rPr>
          <w:sz w:val="20"/>
          <w:szCs w:val="20"/>
          <w:color w:val="auto"/>
        </w:rPr>
      </w:pPr>
    </w:p>
    <w:p>
      <w:pPr>
        <w:ind w:left="1160" w:hanging="239"/>
        <w:spacing w:after="0"/>
        <w:tabs>
          <w:tab w:leader="none" w:pos="11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right="40" w:firstLine="921"/>
        <w:spacing w:after="0" w:line="308" w:lineRule="auto"/>
        <w:tabs>
          <w:tab w:leader="none" w:pos="115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 Patents.</w:t>
      </w:r>
    </w:p>
    <w:p>
      <w:pPr>
        <w:spacing w:after="0" w:line="146" w:lineRule="exact"/>
        <w:rPr>
          <w:rFonts w:ascii="Arial" w:cs="Arial" w:eastAsia="Arial" w:hAnsi="Arial"/>
          <w:sz w:val="17"/>
          <w:szCs w:val="17"/>
          <w:color w:val="auto"/>
        </w:rPr>
      </w:pPr>
    </w:p>
    <w:p>
      <w:pPr>
        <w:ind w:left="1140" w:hanging="219"/>
        <w:spacing w:after="0"/>
        <w:tabs>
          <w:tab w:leader="none" w:pos="11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274" w:right="319" w:bottom="1440" w:gutter="0" w:footer="0" w:header="0"/>
        </w:sectPr>
      </w:pPr>
    </w:p>
    <w:bookmarkStart w:id="268" w:name="page269"/>
    <w:bookmarkEnd w:id="268"/>
    <w:p>
      <w:pPr>
        <w:ind w:right="160" w:firstLine="456"/>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payment or capital contribution to any Person.</w:t>
      </w:r>
    </w:p>
    <w:p>
      <w:pPr>
        <w:spacing w:after="0" w:line="162" w:lineRule="exact"/>
        <w:rPr>
          <w:sz w:val="20"/>
          <w:szCs w:val="20"/>
          <w:color w:val="auto"/>
        </w:rPr>
      </w:pPr>
    </w:p>
    <w:p>
      <w:pPr>
        <w:ind w:right="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Chief Executive Officer, who is Hamza Suria as of the Effective Date and (ii) Chief Development Officer, who is Marco Londei as of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8"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80" w:lineRule="exact"/>
        <w:rPr>
          <w:sz w:val="20"/>
          <w:szCs w:val="20"/>
          <w:color w:val="auto"/>
        </w:rPr>
      </w:pPr>
    </w:p>
    <w:p>
      <w:pPr>
        <w:ind w:right="7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 Termination Date</w:t>
      </w:r>
      <w:r>
        <w:rPr>
          <w:rFonts w:ascii="Arial" w:cs="Arial" w:eastAsia="Arial" w:hAnsi="Arial"/>
          <w:sz w:val="18"/>
          <w:szCs w:val="18"/>
          <w:color w:val="auto"/>
        </w:rPr>
        <w:t>” means the date upon which all Obligations (other than inchoate indemnity obligations and any other obligations which, by their terms, are to survive the termination of this Agreement) have been satisfied in full, and Collateral Agent and the Lenders are under no further obligation to make Credit Extensions hereunder, and the Collateral Agent is obligated to terminate the Liens on the Collateral granted under this Agreement pursuant to Section 4.2(b) or 4.2(c).</w:t>
      </w:r>
    </w:p>
    <w:p>
      <w:pPr>
        <w:spacing w:after="0" w:line="180"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the Warrants, the Perfection Certificates, each Compliance Certificate, each Disbursement Letter, each Loan Payment/Advance Request Form and any Bank Services Agreement, the Post Closing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Payment/Advance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Collateral Agent’s Lien in the Collateral or in the value of such Collateral; (b) a material adverse change in the business, operations or condition (financial or otherwise) or prospects of Borrower or any Subsidiary; or (c) a material impairment of the prospect of repayment of any portion of the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January 1, 2019.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Non-Core IP</w:t>
      </w:r>
      <w:r>
        <w:rPr>
          <w:rFonts w:ascii="Arial" w:cs="Arial" w:eastAsia="Arial" w:hAnsi="Arial"/>
          <w:sz w:val="18"/>
          <w:szCs w:val="18"/>
          <w:color w:val="auto"/>
        </w:rPr>
        <w:t>” means Borrower’s Intellectual Property that is not Core IP.</w:t>
      </w:r>
    </w:p>
    <w:p>
      <w:pPr>
        <w:spacing w:after="0" w:line="225" w:lineRule="exact"/>
        <w:rPr>
          <w:sz w:val="20"/>
          <w:szCs w:val="20"/>
          <w:color w:val="auto"/>
        </w:rPr>
      </w:pPr>
    </w:p>
    <w:p>
      <w:pPr>
        <w:ind w:right="4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all of Borrower’s obligations to pay when due any debts, principal, interest, Lenders’ Expenses, the Prepayment Fee, the Final Payment, and other amounts Borrower owes the Lenders now or later, in</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0" w:right="259" w:bottom="1440" w:gutter="0" w:footer="0" w:header="0"/>
        </w:sectPr>
      </w:pPr>
    </w:p>
    <w:bookmarkStart w:id="269" w:name="page270"/>
    <w:bookmarkEnd w:id="26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connection with, related to, following, or arising from, out of or under, this Agreement or, the other Loan Documents (other than the Warrants),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right="4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6" w:lineRule="exact"/>
        <w:rPr>
          <w:sz w:val="20"/>
          <w:szCs w:val="20"/>
          <w:color w:val="auto"/>
        </w:rPr>
      </w:pPr>
    </w:p>
    <w:p>
      <w:pPr>
        <w:ind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51"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calendar day of each calendar month.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 is defined in Section 5.1.</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160" w:hanging="239"/>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firstLine="921"/>
        <w:spacing w:after="0" w:line="297" w:lineRule="auto"/>
        <w:tabs>
          <w:tab w:leader="none" w:pos="1158" w:val="left"/>
        </w:tabs>
        <w:numPr>
          <w:ilvl w:val="0"/>
          <w:numId w:val="242"/>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Two Hundred Fifty Thousand Dollars ($250,000.00)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58" w:lineRule="exact"/>
        <w:rPr>
          <w:rFonts w:ascii="Arial" w:cs="Arial" w:eastAsia="Arial" w:hAnsi="Arial"/>
          <w:sz w:val="16"/>
          <w:szCs w:val="16"/>
          <w:color w:val="auto"/>
        </w:rPr>
      </w:pPr>
    </w:p>
    <w:p>
      <w:pPr>
        <w:ind w:left="1140" w:hanging="219"/>
        <w:spacing w:after="0"/>
        <w:tabs>
          <w:tab w:leader="none" w:pos="114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Borrower’s business; and</w:t>
      </w:r>
    </w:p>
    <w:p>
      <w:pPr>
        <w:spacing w:after="0" w:line="236" w:lineRule="exact"/>
        <w:rPr>
          <w:rFonts w:ascii="Arial" w:cs="Arial" w:eastAsia="Arial" w:hAnsi="Arial"/>
          <w:sz w:val="17"/>
          <w:szCs w:val="17"/>
          <w:color w:val="auto"/>
        </w:rPr>
      </w:pPr>
    </w:p>
    <w:p>
      <w:pPr>
        <w:ind w:firstLine="921"/>
        <w:spacing w:after="0" w:line="264" w:lineRule="auto"/>
        <w:tabs>
          <w:tab w:leader="none" w:pos="116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(e) above, provided that the principal amount thereof is not increased or the terms thereof are not modified to impose materially more burdensome terms upon Borrower, or its Subsidiary, as the case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270" w:name="page271"/>
    <w:bookmarkEnd w:id="27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160" w:hanging="239"/>
        <w:spacing w:after="0"/>
        <w:tabs>
          <w:tab w:leader="none" w:pos="11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ind w:right="500" w:firstLine="921"/>
        <w:spacing w:after="0" w:line="342" w:lineRule="auto"/>
        <w:tabs>
          <w:tab w:leader="none" w:pos="116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23" w:lineRule="exact"/>
        <w:rPr>
          <w:rFonts w:ascii="Arial" w:cs="Arial" w:eastAsia="Arial" w:hAnsi="Arial"/>
          <w:sz w:val="16"/>
          <w:szCs w:val="16"/>
          <w:color w:val="auto"/>
        </w:rPr>
      </w:pPr>
    </w:p>
    <w:p>
      <w:pPr>
        <w:ind w:left="1160" w:hanging="239"/>
        <w:spacing w:after="0"/>
        <w:tabs>
          <w:tab w:leader="none" w:pos="116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Borrower;</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Collateral Agent has a perfected security interest;</w:t>
      </w:r>
    </w:p>
    <w:p>
      <w:pPr>
        <w:spacing w:after="0" w:line="225" w:lineRule="exact"/>
        <w:rPr>
          <w:rFonts w:ascii="Arial" w:cs="Arial" w:eastAsia="Arial" w:hAnsi="Arial"/>
          <w:sz w:val="18"/>
          <w:szCs w:val="18"/>
          <w:color w:val="auto"/>
        </w:rPr>
      </w:pPr>
    </w:p>
    <w:p>
      <w:pPr>
        <w:ind w:left="1160" w:hanging="239"/>
        <w:spacing w:after="0"/>
        <w:tabs>
          <w:tab w:leader="none" w:pos="11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25" w:lineRule="exact"/>
        <w:rPr>
          <w:rFonts w:ascii="Arial" w:cs="Arial" w:eastAsia="Arial" w:hAnsi="Arial"/>
          <w:sz w:val="18"/>
          <w:szCs w:val="18"/>
          <w:color w:val="auto"/>
        </w:rPr>
      </w:pPr>
    </w:p>
    <w:p>
      <w:pPr>
        <w:ind w:right="80" w:firstLine="921"/>
        <w:spacing w:after="0" w:line="259" w:lineRule="auto"/>
        <w:tabs>
          <w:tab w:leader="none" w:pos="113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Twenty Five Thousand Dollars ($25,000.00) in the aggregate for (i) and (ii) in any fiscal year;</w:t>
      </w:r>
    </w:p>
    <w:p>
      <w:pPr>
        <w:spacing w:after="0" w:line="186" w:lineRule="exact"/>
        <w:rPr>
          <w:rFonts w:ascii="Arial" w:cs="Arial" w:eastAsia="Arial" w:hAnsi="Arial"/>
          <w:sz w:val="18"/>
          <w:szCs w:val="18"/>
          <w:color w:val="auto"/>
        </w:rPr>
      </w:pPr>
    </w:p>
    <w:p>
      <w:pPr>
        <w:ind w:right="520" w:firstLine="921"/>
        <w:spacing w:after="0" w:line="308" w:lineRule="auto"/>
        <w:tabs>
          <w:tab w:leader="none" w:pos="116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right="620" w:firstLine="921"/>
        <w:spacing w:after="0" w:line="342" w:lineRule="auto"/>
        <w:tabs>
          <w:tab w:leader="none" w:pos="1168"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 and</w:t>
      </w:r>
    </w:p>
    <w:p>
      <w:pPr>
        <w:spacing w:after="0" w:line="123" w:lineRule="exact"/>
        <w:rPr>
          <w:rFonts w:ascii="Arial" w:cs="Arial" w:eastAsia="Arial" w:hAnsi="Arial"/>
          <w:sz w:val="16"/>
          <w:szCs w:val="16"/>
          <w:color w:val="auto"/>
        </w:rPr>
      </w:pPr>
    </w:p>
    <w:p>
      <w:pPr>
        <w:ind w:right="340" w:firstLine="921"/>
        <w:spacing w:after="0" w:line="277" w:lineRule="auto"/>
        <w:tabs>
          <w:tab w:leader="none" w:pos="112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Borrower’s business consisting of the non-exclusive licensing of technology, the development of technology or the providing of technical support.</w:t>
      </w:r>
    </w:p>
    <w:p>
      <w:pPr>
        <w:spacing w:after="0" w:line="16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are (A) licenses of over-the-counter software that is commercially available to the public, and (B) non-exclusive and exclusive licenses for the use of the Intellectual Property of Borrower or any of its Subsidiaries entered into in the ordinary course of business or which constitute licenses approved by Borrower’s Board of Directors (whether in the ordinary course of business or otherwise), provided, that, with respect to each such license described in clause (B), (i) no Event of Default has occurred or is continuing at the time of such license and there is no breach of this Agreement as a consequence of entering into such license; (ii) the license constitutes an arms-length transaction, the terms of which, on their face, do not provide for a sale or assignment of any Core IP and do not restrict the ability of Borrower or any of its Subsidiaries, as applicable, to pledge, grant a security interest in or lien on, or assign or otherwise Transfer any Core IP; (iii) in the case of any exclusive license, (x) Borrower delivers written notice within thirty (30) days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with respect to Core IP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0" w:right="259" w:bottom="1440" w:gutter="0" w:footer="0" w:header="0"/>
        </w:sectPr>
      </w:pPr>
    </w:p>
    <w:bookmarkStart w:id="271" w:name="page272"/>
    <w:bookmarkEnd w:id="27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Liens existing on the Effective Date and disclosed on the Perfection Certificates or arising under this Agreement and the other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right="240" w:firstLine="921"/>
        <w:spacing w:after="0" w:line="264" w:lineRule="auto"/>
        <w:tabs>
          <w:tab w:leader="none" w:pos="116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77" w:lineRule="exact"/>
        <w:rPr>
          <w:rFonts w:ascii="Arial" w:cs="Arial" w:eastAsia="Arial" w:hAnsi="Arial"/>
          <w:sz w:val="18"/>
          <w:szCs w:val="18"/>
          <w:color w:val="auto"/>
        </w:rPr>
      </w:pPr>
    </w:p>
    <w:p>
      <w:pPr>
        <w:jc w:val="both"/>
        <w:ind w:right="20" w:firstLine="921"/>
        <w:spacing w:after="0" w:line="281" w:lineRule="auto"/>
        <w:tabs>
          <w:tab w:leader="none" w:pos="1158" w:val="left"/>
        </w:tabs>
        <w:numPr>
          <w:ilvl w:val="0"/>
          <w:numId w:val="244"/>
        </w:numPr>
        <w:rPr>
          <w:rFonts w:ascii="Arial" w:cs="Arial" w:eastAsia="Arial" w:hAnsi="Arial"/>
          <w:sz w:val="17"/>
          <w:szCs w:val="17"/>
          <w:color w:val="auto"/>
        </w:rPr>
      </w:pPr>
      <w:r>
        <w:rPr>
          <w:rFonts w:ascii="Arial" w:cs="Arial" w:eastAsia="Arial" w:hAnsi="Arial"/>
          <w:sz w:val="17"/>
          <w:szCs w:val="17"/>
          <w:color w:val="auto"/>
        </w:rPr>
        <w:t>liens securing Indebtedness permitted under clause (e) of the definition of “</w:t>
      </w:r>
      <w:r>
        <w:rPr>
          <w:rFonts w:ascii="Arial" w:cs="Arial" w:eastAsia="Arial" w:hAnsi="Arial"/>
          <w:sz w:val="17"/>
          <w:szCs w:val="17"/>
          <w:b w:val="1"/>
          <w:bCs w:val="1"/>
          <w:color w:val="auto"/>
        </w:rPr>
        <w:t>Permitted Indebtedness</w:t>
      </w:r>
      <w:r>
        <w:rPr>
          <w:rFonts w:ascii="Arial" w:cs="Arial" w:eastAsia="Arial" w:hAnsi="Arial"/>
          <w:sz w:val="17"/>
          <w:szCs w:val="17"/>
          <w:color w:val="auto"/>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68" w:lineRule="exact"/>
        <w:rPr>
          <w:rFonts w:ascii="Arial" w:cs="Arial" w:eastAsia="Arial" w:hAnsi="Arial"/>
          <w:sz w:val="17"/>
          <w:szCs w:val="17"/>
          <w:color w:val="auto"/>
        </w:rPr>
      </w:pPr>
    </w:p>
    <w:p>
      <w:pPr>
        <w:jc w:val="both"/>
        <w:ind w:firstLine="921"/>
        <w:spacing w:after="0" w:line="259" w:lineRule="auto"/>
        <w:tabs>
          <w:tab w:leader="none" w:pos="116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right="500" w:firstLine="921"/>
        <w:spacing w:after="0" w:line="277" w:lineRule="auto"/>
        <w:tabs>
          <w:tab w:leader="none" w:pos="115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right="40" w:firstLine="921"/>
        <w:spacing w:after="0" w:line="342" w:lineRule="auto"/>
        <w:tabs>
          <w:tab w:leader="none" w:pos="113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Liens incurred in the extension, renewal or refinancing of the indebtedness secured by Liens described in (a) through (c), </w:t>
      </w:r>
      <w:r>
        <w:rPr>
          <w:rFonts w:ascii="Arial" w:cs="Arial" w:eastAsia="Arial" w:hAnsi="Arial"/>
          <w:sz w:val="16"/>
          <w:szCs w:val="16"/>
          <w:u w:val="single" w:color="auto"/>
          <w:color w:val="auto"/>
        </w:rPr>
        <w:t>but</w:t>
      </w:r>
      <w:r>
        <w:rPr>
          <w:rFonts w:ascii="Arial" w:cs="Arial" w:eastAsia="Arial" w:hAnsi="Arial"/>
          <w:sz w:val="16"/>
          <w:szCs w:val="16"/>
          <w:color w:val="auto"/>
        </w:rPr>
        <w:t xml:space="preserve"> any extension, renewal or replacement Lien must be limited to the property encumbered by the existing Lien and the principal amount of the indebtedness may not increase;</w:t>
      </w:r>
    </w:p>
    <w:p>
      <w:pPr>
        <w:spacing w:after="0" w:line="123" w:lineRule="exact"/>
        <w:rPr>
          <w:rFonts w:ascii="Arial" w:cs="Arial" w:eastAsia="Arial" w:hAnsi="Arial"/>
          <w:sz w:val="16"/>
          <w:szCs w:val="16"/>
          <w:color w:val="auto"/>
        </w:rPr>
      </w:pPr>
    </w:p>
    <w:p>
      <w:pPr>
        <w:ind w:right="100" w:firstLine="921"/>
        <w:spacing w:after="0" w:line="279" w:lineRule="auto"/>
        <w:tabs>
          <w:tab w:leader="none" w:pos="1168" w:val="left"/>
        </w:tabs>
        <w:numPr>
          <w:ilvl w:val="0"/>
          <w:numId w:val="244"/>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71" w:lineRule="exact"/>
        <w:rPr>
          <w:rFonts w:ascii="Arial" w:cs="Arial" w:eastAsia="Arial" w:hAnsi="Arial"/>
          <w:sz w:val="17"/>
          <w:szCs w:val="17"/>
          <w:color w:val="auto"/>
        </w:rPr>
      </w:pPr>
    </w:p>
    <w:p>
      <w:pPr>
        <w:ind w:firstLine="921"/>
        <w:spacing w:after="0" w:line="264" w:lineRule="auto"/>
        <w:tabs>
          <w:tab w:leader="none" w:pos="1168" w:val="left"/>
        </w:tabs>
        <w:numPr>
          <w:ilvl w:val="0"/>
          <w:numId w:val="244"/>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spacing w:after="0" w:line="181" w:lineRule="exact"/>
        <w:rPr>
          <w:rFonts w:ascii="Arial" w:cs="Arial" w:eastAsia="Arial" w:hAnsi="Arial"/>
          <w:sz w:val="18"/>
          <w:szCs w:val="18"/>
          <w:color w:val="auto"/>
        </w:rPr>
      </w:pPr>
    </w:p>
    <w:p>
      <w:pPr>
        <w:ind w:left="1140" w:hanging="219"/>
        <w:spacing w:after="0"/>
        <w:tabs>
          <w:tab w:leader="none" w:pos="11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 and</w:t>
      </w:r>
    </w:p>
    <w:p>
      <w:pPr>
        <w:spacing w:after="0" w:line="248" w:lineRule="exact"/>
        <w:rPr>
          <w:rFonts w:ascii="Arial" w:cs="Arial" w:eastAsia="Arial" w:hAnsi="Arial"/>
          <w:sz w:val="16"/>
          <w:szCs w:val="16"/>
          <w:color w:val="auto"/>
        </w:rPr>
      </w:pPr>
    </w:p>
    <w:p>
      <w:pPr>
        <w:ind w:left="1140" w:hanging="219"/>
        <w:spacing w:after="0"/>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Liens consisting of Permitted Licenses.</w:t>
      </w:r>
    </w:p>
    <w:p>
      <w:pPr>
        <w:spacing w:after="0" w:line="221"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Closing Letter</w:t>
      </w:r>
      <w:r>
        <w:rPr>
          <w:rFonts w:ascii="Arial" w:cs="Arial" w:eastAsia="Arial" w:hAnsi="Arial"/>
          <w:sz w:val="18"/>
          <w:szCs w:val="18"/>
          <w:color w:val="auto"/>
        </w:rPr>
        <w:t>” is that certain Post Closing Letter dated as of the Effective Date by and between Collateral Agent and Borrower.</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0" w:right="279" w:bottom="1440" w:gutter="0" w:footer="0" w:header="0"/>
        </w:sectPr>
      </w:pPr>
    </w:p>
    <w:bookmarkStart w:id="272" w:name="page273"/>
    <w:bookmarkEnd w:id="272"/>
    <w:p>
      <w:pPr>
        <w:ind w:right="8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66" w:lineRule="exact"/>
        <w:rPr>
          <w:sz w:val="20"/>
          <w:szCs w:val="20"/>
          <w:color w:val="auto"/>
        </w:rPr>
      </w:pPr>
    </w:p>
    <w:p>
      <w:pPr>
        <w:ind w:right="300" w:firstLine="1492"/>
        <w:spacing w:after="0" w:line="277" w:lineRule="auto"/>
        <w:tabs>
          <w:tab w:leader="none" w:pos="169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 a prepayment made on or after the Funding Date of such Term Loan through and including the first anniversary of the Funding Date of such Term Loan, three percent (3.00%) of the principal amount of such Term Loan prepaid;</w:t>
      </w:r>
    </w:p>
    <w:p>
      <w:pPr>
        <w:spacing w:after="0" w:line="170" w:lineRule="exact"/>
        <w:rPr>
          <w:rFonts w:ascii="Arial" w:cs="Arial" w:eastAsia="Arial" w:hAnsi="Arial"/>
          <w:sz w:val="18"/>
          <w:szCs w:val="18"/>
          <w:color w:val="auto"/>
        </w:rPr>
      </w:pPr>
    </w:p>
    <w:p>
      <w:pPr>
        <w:ind w:right="520" w:firstLine="1492"/>
        <w:spacing w:after="0" w:line="342" w:lineRule="auto"/>
        <w:tabs>
          <w:tab w:leader="none" w:pos="174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for a prepayment made after the date which is after the first anniversary of the Funding Date of such Term Loan through and including the second anniversary of the Funding Date of such Term Loan, two percent (2.00%) of the principal amount of the Term Loans prepaid; and</w:t>
      </w:r>
    </w:p>
    <w:p>
      <w:pPr>
        <w:spacing w:after="0" w:line="123" w:lineRule="exact"/>
        <w:rPr>
          <w:rFonts w:ascii="Arial" w:cs="Arial" w:eastAsia="Arial" w:hAnsi="Arial"/>
          <w:sz w:val="16"/>
          <w:szCs w:val="16"/>
          <w:color w:val="auto"/>
        </w:rPr>
      </w:pPr>
    </w:p>
    <w:p>
      <w:pPr>
        <w:ind w:right="180" w:firstLine="1492"/>
        <w:spacing w:after="0" w:line="277" w:lineRule="auto"/>
        <w:tabs>
          <w:tab w:leader="none" w:pos="1798" w:val="left"/>
        </w:tabs>
        <w:numPr>
          <w:ilvl w:val="0"/>
          <w:numId w:val="245"/>
        </w:numPr>
        <w:rPr>
          <w:rFonts w:ascii="Arial" w:cs="Arial" w:eastAsia="Arial" w:hAnsi="Arial"/>
          <w:sz w:val="18"/>
          <w:szCs w:val="18"/>
          <w:color w:val="auto"/>
        </w:rPr>
      </w:pPr>
      <w:r>
        <w:rPr>
          <w:rFonts w:ascii="Arial" w:cs="Arial" w:eastAsia="Arial" w:hAnsi="Arial"/>
          <w:sz w:val="18"/>
          <w:szCs w:val="18"/>
          <w:color w:val="auto"/>
        </w:rPr>
        <w:t>for a prepayment made after the date which is after the second anniversary of the Funding Date and prior to the Maturity Date, one percent (1.00%) of the principal amount of the Term Loans prepaid.</w:t>
      </w:r>
    </w:p>
    <w:p>
      <w:pPr>
        <w:spacing w:after="0" w:line="166"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Lenders</w:t>
      </w:r>
      <w:r>
        <w:rPr>
          <w:rFonts w:ascii="Arial" w:cs="Arial" w:eastAsia="Arial" w:hAnsi="Arial"/>
          <w:sz w:val="17"/>
          <w:szCs w:val="17"/>
          <w:color w:val="auto"/>
        </w:rPr>
        <w:t>” means (i) for so long as all of the Persons that are Lenders on the Effective Date (each an “</w:t>
      </w:r>
      <w:r>
        <w:rPr>
          <w:rFonts w:ascii="Arial" w:cs="Arial" w:eastAsia="Arial" w:hAnsi="Arial"/>
          <w:sz w:val="17"/>
          <w:szCs w:val="17"/>
          <w:b w:val="1"/>
          <w:bCs w:val="1"/>
          <w:color w:val="auto"/>
        </w:rPr>
        <w:t>Original Lender</w:t>
      </w:r>
      <w:r>
        <w:rPr>
          <w:rFonts w:ascii="Arial" w:cs="Arial" w:eastAsia="Arial" w:hAnsi="Arial"/>
          <w:sz w:val="17"/>
          <w:szCs w:val="17"/>
          <w:color w:val="auto"/>
        </w:rPr>
        <w:t>”) have not assigned or transferred any of their interests in their Term Loan, Lenders holding one hundred percent (100%) of the aggregate outstanding principal balance of the Term Loan, or (ii) at any time from and after any Original Lender has assigned or transferred any interest in its Term Loan, Lenders holding at least sixty six percent (66%)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72"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is the period commencing on the date of the occurrence of the Term B Draw Event and ending on the earlier of</w:t>
      </w:r>
    </w:p>
    <w:p>
      <w:pPr>
        <w:spacing w:after="0" w:line="27" w:lineRule="exact"/>
        <w:rPr>
          <w:sz w:val="20"/>
          <w:szCs w:val="20"/>
          <w:color w:val="auto"/>
        </w:rPr>
      </w:pPr>
    </w:p>
    <w:p>
      <w:pPr>
        <w:ind w:right="180" w:firstLine="8"/>
        <w:spacing w:after="0" w:line="261" w:lineRule="auto"/>
        <w:tabs>
          <w:tab w:leader="none" w:pos="21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December 31, 2015 and (ii) the occurrence of an Event of Default; provided, however, that the Second Draw Period shall not commence if on the date of the occurrence of the Term B Draw Event an Event of Default has occurred and is continuing.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2.4.</w:t>
      </w:r>
    </w:p>
    <w:p>
      <w:pPr>
        <w:spacing w:after="0" w:line="225"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0" w:right="259" w:bottom="1440" w:gutter="0" w:footer="0" w:header="0"/>
        </w:sectPr>
      </w:pPr>
    </w:p>
    <w:bookmarkStart w:id="273" w:name="page274"/>
    <w:bookmarkEnd w:id="273"/>
    <w:p>
      <w:pPr>
        <w:ind w:right="26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6"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ind w:right="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2.2(a)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 is defined in Section 2.2(a)(i)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w:t>
      </w:r>
      <w:r>
        <w:rPr>
          <w:rFonts w:ascii="Arial" w:cs="Arial" w:eastAsia="Arial" w:hAnsi="Arial"/>
          <w:sz w:val="18"/>
          <w:szCs w:val="18"/>
          <w:color w:val="auto"/>
        </w:rPr>
        <w:t>” is defined in Section 2.2(a)(iii) hereof.</w:t>
      </w:r>
    </w:p>
    <w:p>
      <w:pPr>
        <w:spacing w:after="0" w:line="225"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Draw Event</w:t>
      </w:r>
      <w:r>
        <w:rPr>
          <w:rFonts w:ascii="Arial" w:cs="Arial" w:eastAsia="Arial" w:hAnsi="Arial"/>
          <w:sz w:val="18"/>
          <w:szCs w:val="18"/>
          <w:color w:val="auto"/>
        </w:rPr>
        <w:t>” means the receipt by Collateral Agent and Lenders of evidence, in form and substance satisfactory to Collateral Agent and Lenders, of Borrower completing the first multi-dose PK/toxicology study relating to at least two (2) development programs, which may be either two (2) internal development programs or one (1) internal and one (1) partnered development program.</w:t>
      </w:r>
    </w:p>
    <w:p>
      <w:pPr>
        <w:spacing w:after="0" w:line="176"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Draw Event</w:t>
      </w:r>
      <w:r>
        <w:rPr>
          <w:rFonts w:ascii="Arial" w:cs="Arial" w:eastAsia="Arial" w:hAnsi="Arial"/>
          <w:sz w:val="18"/>
          <w:szCs w:val="18"/>
          <w:color w:val="auto"/>
        </w:rPr>
        <w:t>” means the receipt by Collateral Agent and Lenders of evidence, in form and substance satisfactory to Collateral Agent and Lenders, of Borrower receiving FDA approval on IND submission on at least two (2) development programs, which may be either two (2) internal development programs or one (1) internal and one (1) partnered development program.</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Loan Commitment</w:t>
      </w:r>
      <w:r>
        <w:rPr>
          <w:rFonts w:ascii="Arial" w:cs="Arial" w:eastAsia="Arial" w:hAnsi="Arial"/>
          <w:sz w:val="16"/>
          <w:szCs w:val="16"/>
          <w:color w:val="auto"/>
        </w:rPr>
        <w:t xml:space="preserve">” is, for any Lender, the obligation of such Lender to make a Term Loan, up to the principal amount shown on </w:t>
      </w:r>
      <w:r>
        <w:rPr>
          <w:rFonts w:ascii="Arial" w:cs="Arial" w:eastAsia="Arial" w:hAnsi="Arial"/>
          <w:sz w:val="16"/>
          <w:szCs w:val="16"/>
          <w:u w:val="single" w:color="auto"/>
          <w:color w:val="auto"/>
        </w:rPr>
        <w:t>Schedule 1.1</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207" w:lineRule="exact"/>
        <w:rPr>
          <w:sz w:val="20"/>
          <w:szCs w:val="20"/>
          <w:color w:val="auto"/>
        </w:rPr>
      </w:pPr>
    </w:p>
    <w:p>
      <w:pPr>
        <w:jc w:val="both"/>
        <w:ind w:right="2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Draw Period</w:t>
      </w:r>
      <w:r>
        <w:rPr>
          <w:rFonts w:ascii="Arial" w:cs="Arial" w:eastAsia="Arial" w:hAnsi="Arial"/>
          <w:sz w:val="18"/>
          <w:szCs w:val="18"/>
          <w:color w:val="auto"/>
        </w:rPr>
        <w:t>” is the period commencing on the date of the occurrence of the later of (i) the making of Term B Loans in accordance with the terms of this Agreement and (ii) the Term C Draw Event and ending on the earlier of (i) December 31, 2016 and (ii) the occurrence of an Event of Default; provided, however, that the Third Draw Period shall not commence if on the date of the occurrence of the later of (i) the advance of the Term B Loans and (ii) the Term C Draw Event, an Event of Default has occurred and is continuing.</w:t>
      </w:r>
    </w:p>
    <w:p>
      <w:pPr>
        <w:spacing w:after="0" w:line="180"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are those certain Warrants to Purchase Stock dated as of the Effective Date, or any date thereafter, issued by Borrower in favor of each Lender or such Lender’s Affiliates.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70" w:right="259" w:bottom="1440" w:gutter="0" w:footer="0" w:header="0"/>
        </w:sectPr>
      </w:pPr>
    </w:p>
    <w:bookmarkStart w:id="274" w:name="page275"/>
    <w:bookmarkEnd w:id="274"/>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 OXFORD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 – Finance, Secretary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Anthony Flores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14605</wp:posOffset>
            </wp:positionV>
            <wp:extent cx="255587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32"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color w:val="auto"/>
        </w:rPr>
        <w:t>]</w:t>
      </w:r>
    </w:p>
    <w:p>
      <w:pPr>
        <w:sectPr>
          <w:pgSz w:w="11900" w:h="16838" w:orient="portrait"/>
          <w:cols w:equalWidth="0" w:num="1">
            <w:col w:w="10219"/>
          </w:cols>
          <w:pgMar w:left="240" w:top="270" w:right="1440" w:bottom="1440" w:gutter="0" w:footer="0" w:header="0"/>
        </w:sectPr>
      </w:pPr>
    </w:p>
    <w:bookmarkStart w:id="275" w:name="page276"/>
    <w:bookmarkEnd w:id="2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 Loans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14"/>
                <w:szCs w:val="1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Term B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Term C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2,500,000.00</w:t>
            </w: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60"/>
              <w:spacing w:after="0"/>
              <w:rPr>
                <w:sz w:val="20"/>
                <w:szCs w:val="20"/>
                <w:color w:val="auto"/>
              </w:rPr>
            </w:pPr>
            <w:r>
              <w:rPr>
                <w:rFonts w:ascii="Arial" w:cs="Arial" w:eastAsia="Arial" w:hAnsi="Arial"/>
                <w:sz w:val="18"/>
                <w:szCs w:val="18"/>
                <w:color w:val="auto"/>
              </w:rPr>
              <w:t>$</w:t>
            </w:r>
          </w:p>
        </w:tc>
        <w:tc>
          <w:tcPr>
            <w:tcW w:w="2280" w:type="dxa"/>
            <w:vAlign w:val="bottom"/>
            <w:gridSpan w:val="3"/>
          </w:tcPr>
          <w:p>
            <w:pPr>
              <w:jc w:val="right"/>
              <w:ind w:right="1020"/>
              <w:spacing w:after="0"/>
              <w:rPr>
                <w:sz w:val="20"/>
                <w:szCs w:val="20"/>
                <w:color w:val="auto"/>
              </w:rPr>
            </w:pPr>
            <w:r>
              <w:rPr>
                <w:rFonts w:ascii="Arial" w:cs="Arial" w:eastAsia="Arial" w:hAnsi="Arial"/>
                <w:sz w:val="18"/>
                <w:szCs w:val="18"/>
                <w:color w:val="auto"/>
              </w:rPr>
              <w:t>2,500,000.00</w:t>
            </w: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040" w:type="dxa"/>
            <w:vAlign w:val="bottom"/>
            <w:gridSpan w:val="2"/>
            <w:shd w:val="clear" w:color="auto" w:fill="CCEEFF"/>
          </w:tcPr>
          <w:p>
            <w:pPr>
              <w:ind w:left="3760"/>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b w:val="1"/>
                <w:bCs w:val="1"/>
                <w:color w:val="auto"/>
              </w:rPr>
              <w:t>5,000,000.00</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79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760" w:type="dxa"/>
            <w:vAlign w:val="bottom"/>
          </w:tcPr>
          <w:p>
            <w:pPr>
              <w:jc w:val="center"/>
              <w:ind w:left="910"/>
              <w:spacing w:after="0"/>
              <w:rPr>
                <w:sz w:val="20"/>
                <w:szCs w:val="20"/>
                <w:color w:val="auto"/>
              </w:rPr>
            </w:pPr>
            <w:r>
              <w:rPr>
                <w:rFonts w:ascii="Arial" w:cs="Arial" w:eastAsia="Arial" w:hAnsi="Arial"/>
                <w:sz w:val="18"/>
                <w:szCs w:val="18"/>
                <w:b w:val="1"/>
                <w:bCs w:val="1"/>
                <w:color w:val="auto"/>
                <w:w w:val="90"/>
              </w:rPr>
              <w:t>Aggregate (all Term Loans)</w:t>
            </w:r>
          </w:p>
        </w:tc>
        <w:tc>
          <w:tcPr>
            <w:tcW w:w="2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Lender</w:t>
            </w:r>
          </w:p>
        </w:tc>
        <w:tc>
          <w:tcPr>
            <w:tcW w:w="376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Term Loan Commitment</w:t>
            </w:r>
          </w:p>
        </w:tc>
        <w:tc>
          <w:tcPr>
            <w:tcW w:w="1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Commitment 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376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7,500,000.00</w:t>
            </w:r>
          </w:p>
        </w:tc>
        <w:tc>
          <w:tcPr>
            <w:tcW w:w="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4040" w:type="dxa"/>
            <w:vAlign w:val="bottom"/>
            <w:gridSpan w:val="2"/>
          </w:tcPr>
          <w:p>
            <w:pPr>
              <w:ind w:left="37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7,500,000.00</w:t>
            </w:r>
          </w:p>
        </w:tc>
        <w:tc>
          <w:tcPr>
            <w:tcW w:w="1020" w:type="dxa"/>
            <w:vAlign w:val="bottom"/>
          </w:tcPr>
          <w:p>
            <w:pPr>
              <w:spacing w:after="0"/>
              <w:rPr>
                <w:sz w:val="18"/>
                <w:szCs w:val="18"/>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40" w:type="dxa"/>
            <w:vAlign w:val="bottom"/>
          </w:tcPr>
          <w:p>
            <w:pPr>
              <w:spacing w:after="0"/>
              <w:rPr>
                <w:sz w:val="6"/>
                <w:szCs w:val="6"/>
                <w:color w:val="auto"/>
              </w:rPr>
            </w:pPr>
          </w:p>
        </w:tc>
        <w:tc>
          <w:tcPr>
            <w:tcW w:w="2880" w:type="dxa"/>
            <w:vAlign w:val="bottom"/>
          </w:tcPr>
          <w:p>
            <w:pPr>
              <w:spacing w:after="0"/>
              <w:rPr>
                <w:sz w:val="6"/>
                <w:szCs w:val="6"/>
                <w:color w:val="auto"/>
              </w:rPr>
            </w:pPr>
          </w:p>
        </w:tc>
        <w:tc>
          <w:tcPr>
            <w:tcW w:w="376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7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15,000,000.00</w:t>
            </w:r>
          </w:p>
        </w:tc>
        <w:tc>
          <w:tcPr>
            <w:tcW w:w="10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76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276" w:name="page277"/>
    <w:bookmarkEnd w:id="2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provided that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(ii) more than sixty five percent (65%) of the total combined voting power of all classes of stock entitled to vote the shares of capital stock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(iii) more than sixty five percent (65%) of the total combined voting power of all classes of stock entitled to vote the shares of capital stock of the Australia Subsidiary; and (iv) any (x) inbound licenses of Intellectual Property in which Borrower is the licensee; or (y) real estate leasehold interests in which Borrower is the lessee; in each case of (x) and (y), to the extent the grant of a security interest with respect to such property would be prohibited by the agreement with the non-Borrower party or would otherwise constitute a default thereunder, provided that such property will automatically be deemed to be “Collateral” hereunder if such prohibition is unenforceable or ineffective and/or upon the termination, lapsing or expiration of any such prohibition.</w:t>
      </w:r>
    </w:p>
    <w:p>
      <w:pPr>
        <w:spacing w:after="0" w:line="17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w:t>
      </w:r>
    </w:p>
    <w:p>
      <w:pPr>
        <w:sectPr>
          <w:pgSz w:w="11900" w:h="16838" w:orient="portrait"/>
          <w:cols w:equalWidth="0" w:num="1">
            <w:col w:w="11420"/>
          </w:cols>
          <w:pgMar w:left="240" w:top="270" w:right="2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278" w:name="page279"/>
    <w:bookmarkEnd w:id="278"/>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DISBURSEMENT LETTER</w:t>
      </w:r>
    </w:p>
    <w:p>
      <w:pPr>
        <w:spacing w:after="0" w:line="22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 20</w:t>
      </w:r>
    </w:p>
    <w:p>
      <w:pPr>
        <w:spacing w:after="0" w:line="225"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The undersigned, being the duly elected and acting</w:t>
      </w:r>
      <w:r>
        <w:rPr>
          <w:sz w:val="20"/>
          <w:szCs w:val="20"/>
          <w:color w:val="auto"/>
        </w:rPr>
        <w:tab/>
      </w:r>
      <w:r>
        <w:rPr>
          <w:rFonts w:ascii="Arial" w:cs="Arial" w:eastAsia="Arial" w:hAnsi="Arial"/>
          <w:sz w:val="16"/>
          <w:szCs w:val="16"/>
          <w:color w:val="auto"/>
        </w:rPr>
        <w:t>of ANAPTYSBIO, INC., a Delaware corporation with offices located at 10421 Pacific</w:t>
      </w:r>
    </w:p>
    <w:p>
      <w:pPr>
        <w:spacing w:after="0" w:line="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Center Court, Suite 200, San Diego, CA 92121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does hereby certify to </w:t>
      </w:r>
      <w:r>
        <w:rPr>
          <w:rFonts w:ascii="Arial" w:cs="Arial" w:eastAsia="Arial" w:hAnsi="Arial"/>
          <w:sz w:val="18"/>
          <w:szCs w:val="18"/>
          <w:b w:val="1"/>
          <w:bCs w:val="1"/>
          <w:color w:val="auto"/>
        </w:rPr>
        <w:t>OXFORD FINANCE LLC</w:t>
      </w:r>
      <w:r>
        <w:rPr>
          <w:rFonts w:ascii="Arial" w:cs="Arial" w:eastAsia="Arial" w:hAnsi="Arial"/>
          <w:sz w:val="18"/>
          <w:szCs w:val="18"/>
          <w:color w:val="auto"/>
        </w:rPr>
        <w:t xml:space="preserve"> (“</w:t>
      </w:r>
      <w:r>
        <w:rPr>
          <w:rFonts w:ascii="Arial" w:cs="Arial" w:eastAsia="Arial" w:hAnsi="Arial"/>
          <w:sz w:val="18"/>
          <w:szCs w:val="18"/>
          <w:b w:val="1"/>
          <w:bCs w:val="1"/>
          <w:color w:val="auto"/>
        </w:rPr>
        <w:t>Oxford</w:t>
      </w:r>
      <w:r>
        <w:rPr>
          <w:rFonts w:ascii="Arial" w:cs="Arial" w:eastAsia="Arial" w:hAnsi="Arial"/>
          <w:sz w:val="18"/>
          <w:szCs w:val="18"/>
          <w:color w:val="auto"/>
        </w:rPr>
        <w:t>” and “</w:t>
      </w:r>
      <w:r>
        <w:rPr>
          <w:rFonts w:ascii="Arial" w:cs="Arial" w:eastAsia="Arial" w:hAnsi="Arial"/>
          <w:sz w:val="18"/>
          <w:szCs w:val="18"/>
          <w:b w:val="1"/>
          <w:bCs w:val="1"/>
          <w:color w:val="auto"/>
        </w:rPr>
        <w:t>Lender</w:t>
      </w:r>
      <w:r>
        <w:rPr>
          <w:rFonts w:ascii="Arial" w:cs="Arial" w:eastAsia="Arial" w:hAnsi="Arial"/>
          <w:sz w:val="18"/>
          <w:szCs w:val="18"/>
          <w:color w:val="auto"/>
        </w:rPr>
        <w:t>”), as collateral agent (the “</w:t>
      </w:r>
      <w:r>
        <w:rPr>
          <w:rFonts w:ascii="Arial" w:cs="Arial" w:eastAsia="Arial" w:hAnsi="Arial"/>
          <w:sz w:val="18"/>
          <w:szCs w:val="18"/>
          <w:b w:val="1"/>
          <w:bCs w:val="1"/>
          <w:color w:val="auto"/>
        </w:rPr>
        <w:t>Collateral Agent</w:t>
      </w:r>
      <w:r>
        <w:rPr>
          <w:rFonts w:ascii="Arial" w:cs="Arial" w:eastAsia="Arial" w:hAnsi="Arial"/>
          <w:sz w:val="18"/>
          <w:szCs w:val="18"/>
          <w:color w:val="auto"/>
        </w:rPr>
        <w:t>”) in connection with that certain Loan and Security Agreement dated as of November , 2014,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190" w:lineRule="exact"/>
        <w:rPr>
          <w:sz w:val="20"/>
          <w:szCs w:val="20"/>
          <w:color w:val="auto"/>
        </w:rPr>
      </w:pPr>
    </w:p>
    <w:p>
      <w:pPr>
        <w:ind w:firstLine="464"/>
        <w:spacing w:after="0" w:line="277" w:lineRule="auto"/>
        <w:tabs>
          <w:tab w:leader="none" w:pos="63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640" w:hanging="176"/>
        <w:spacing w:after="0"/>
        <w:tabs>
          <w:tab w:leader="none" w:pos="6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right="20" w:firstLine="464"/>
        <w:spacing w:after="0" w:line="277" w:lineRule="auto"/>
        <w:tabs>
          <w:tab w:leader="none" w:pos="63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the Loan to be made on or about the date hereof have been satisfied or waived by Collateral Agent.</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undersigned is a Responsible Officer.</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260"/>
          </w:cols>
          <w:pgMar w:left="240" w:top="270" w:right="399" w:bottom="1440" w:gutter="0" w:footer="0" w:header="0"/>
        </w:sectPr>
      </w:pPr>
    </w:p>
    <w:bookmarkStart w:id="279" w:name="page280"/>
    <w:bookmarkEnd w:id="279"/>
    <w:tbl>
      <w:tblPr>
        <w:tblLayout w:type="fixed"/>
        <w:tblInd w:w="452" w:type="dxa"/>
        <w:tblCellMar>
          <w:top w:w="0" w:type="dxa"/>
          <w:left w:w="0" w:type="dxa"/>
          <w:bottom w:w="0" w:type="dxa"/>
          <w:right w:w="0" w:type="dxa"/>
        </w:tblCellMar>
      </w:tblP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7. The proceeds of the Term [A][B][C] Loan shall be disbursed as follows:</w:t>
            </w:r>
          </w:p>
        </w:tc>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Disbursement from Oxford:</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Loan Amount</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Plus: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--Deposit Received</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38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Less:</w:t>
            </w:r>
          </w:p>
        </w:tc>
        <w:tc>
          <w:tcPr>
            <w:tcW w:w="1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--Facility Fee</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[--Interim Interest</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--Lender’s Legal Fees</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8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Oxford:</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Disbursement from SVB:</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Amount</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Plus:</w:t>
            </w:r>
          </w:p>
        </w:tc>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--Deposit Received</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Less:</w:t>
            </w: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--Facility Fee</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160" w:type="dxa"/>
            <w:vAlign w:val="bottom"/>
          </w:tcPr>
          <w:p>
            <w:pPr>
              <w:ind w:left="720"/>
              <w:spacing w:after="0"/>
              <w:rPr>
                <w:sz w:val="20"/>
                <w:szCs w:val="20"/>
                <w:color w:val="auto"/>
              </w:rPr>
            </w:pPr>
            <w:r>
              <w:rPr>
                <w:rFonts w:ascii="Arial" w:cs="Arial" w:eastAsia="Arial" w:hAnsi="Arial"/>
                <w:sz w:val="18"/>
                <w:szCs w:val="18"/>
                <w:color w:val="auto"/>
              </w:rPr>
              <w:t>[--Interim Interest</w:t>
            </w:r>
          </w:p>
        </w:tc>
        <w:tc>
          <w:tcPr>
            <w:tcW w:w="1120" w:type="dxa"/>
            <w:vAlign w:val="bottom"/>
          </w:tcPr>
          <w:p>
            <w:pPr>
              <w:ind w:left="6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38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Proceeds due from SVB:</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540" w:type="dxa"/>
            <w:vAlign w:val="bottom"/>
            <w:gridSpan w:val="2"/>
          </w:tcPr>
          <w:p>
            <w:pPr>
              <w:ind w:left="1380"/>
              <w:spacing w:after="0"/>
              <w:rPr>
                <w:sz w:val="20"/>
                <w:szCs w:val="20"/>
                <w:color w:val="auto"/>
              </w:rPr>
            </w:pPr>
            <w:r>
              <w:rPr>
                <w:rFonts w:ascii="Arial" w:cs="Arial" w:eastAsia="Arial" w:hAnsi="Arial"/>
                <w:sz w:val="18"/>
                <w:szCs w:val="18"/>
                <w:b w:val="1"/>
                <w:bCs w:val="1"/>
                <w:color w:val="auto"/>
              </w:rPr>
              <w:t>TOTAL TERM [A][B][C] LOAN NET PROCEEDS FROM LENDERS</w:t>
            </w:r>
          </w:p>
        </w:tc>
        <w:tc>
          <w:tcPr>
            <w:tcW w:w="1120" w:type="dxa"/>
            <w:vAlign w:val="bottom"/>
          </w:tcPr>
          <w:p>
            <w:pPr>
              <w:ind w:left="6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32" w:hanging="176"/>
        <w:spacing w:after="0"/>
        <w:tabs>
          <w:tab w:leader="none" w:pos="63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Term [A][B][C] Loan shall amortize in accordance with the Amortization Table attached hereto.</w:t>
      </w:r>
    </w:p>
    <w:p>
      <w:pPr>
        <w:spacing w:after="0" w:line="225" w:lineRule="exact"/>
        <w:rPr>
          <w:rFonts w:ascii="Arial" w:cs="Arial" w:eastAsia="Arial" w:hAnsi="Arial"/>
          <w:sz w:val="18"/>
          <w:szCs w:val="18"/>
          <w:color w:val="auto"/>
        </w:rPr>
      </w:pPr>
    </w:p>
    <w:p>
      <w:pPr>
        <w:ind w:left="632" w:hanging="176"/>
        <w:spacing w:after="0"/>
        <w:tabs>
          <w:tab w:leader="none" w:pos="632" w:val="left"/>
        </w:tabs>
        <w:numPr>
          <w:ilvl w:val="0"/>
          <w:numId w:val="248"/>
        </w:numPr>
        <w:rPr>
          <w:rFonts w:ascii="Arial" w:cs="Arial" w:eastAsia="Arial" w:hAnsi="Arial"/>
          <w:sz w:val="17"/>
          <w:szCs w:val="17"/>
          <w:color w:val="auto"/>
        </w:rPr>
      </w:pPr>
      <w:r>
        <w:rPr>
          <w:rFonts w:ascii="Arial" w:cs="Arial" w:eastAsia="Arial" w:hAnsi="Arial"/>
          <w:sz w:val="17"/>
          <w:szCs w:val="17"/>
          <w:color w:val="auto"/>
        </w:rPr>
        <w:t>The aggregate net proceeds of the Term Loans shall be transferred to the Designated Deposit Account as follows:</w:t>
      </w:r>
    </w:p>
    <w:p>
      <w:pPr>
        <w:sectPr>
          <w:pgSz w:w="11900" w:h="16838" w:orient="portrait"/>
          <w:cols w:equalWidth="0" w:num="1">
            <w:col w:w="10452"/>
          </w:cols>
          <w:pgMar w:left="248" w:top="274" w:right="1199" w:bottom="1440" w:gutter="0" w:footer="0" w:header="0"/>
        </w:sectPr>
      </w:pPr>
    </w:p>
    <w:p>
      <w:pPr>
        <w:spacing w:after="0" w:line="264"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Account Name:</w:t>
      </w:r>
    </w:p>
    <w:p>
      <w:pPr>
        <w:spacing w:after="0" w:line="14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Bank Name:</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7"/>
          <w:szCs w:val="17"/>
          <w:color w:val="auto"/>
        </w:rPr>
        <w:t>Bank Address: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3003 Tasman Drive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Santa Clara, California 95054</w:t>
      </w:r>
    </w:p>
    <w:p>
      <w:pPr>
        <w:spacing w:after="0" w:line="139" w:lineRule="exact"/>
        <w:rPr>
          <w:sz w:val="20"/>
          <w:szCs w:val="20"/>
          <w:color w:val="auto"/>
        </w:rPr>
      </w:pPr>
    </w:p>
    <w:p>
      <w:pPr>
        <w:sectPr>
          <w:pgSz w:w="11900" w:h="16838" w:orient="portrait"/>
          <w:cols w:equalWidth="0" w:num="2">
            <w:col w:w="2972" w:space="720"/>
            <w:col w:w="6760"/>
          </w:cols>
          <w:pgMar w:left="248" w:top="274" w:right="1199" w:bottom="1440" w:gutter="0" w:footer="0" w:header="0"/>
          <w:type w:val="continuous"/>
        </w:sectPr>
      </w:pPr>
    </w:p>
    <w:p>
      <w:pPr>
        <w:ind w:left="912"/>
        <w:spacing w:after="0"/>
        <w:rPr>
          <w:sz w:val="20"/>
          <w:szCs w:val="20"/>
          <w:color w:val="auto"/>
        </w:rPr>
      </w:pPr>
      <w:r>
        <w:rPr>
          <w:rFonts w:ascii="Arial" w:cs="Arial" w:eastAsia="Arial" w:hAnsi="Arial"/>
          <w:sz w:val="18"/>
          <w:szCs w:val="18"/>
          <w:color w:val="auto"/>
        </w:rPr>
        <w:t>Account Number:</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ABA Number:</w:t>
      </w:r>
    </w:p>
    <w:p>
      <w:pPr>
        <w:spacing w:after="0" w:line="225" w:lineRule="exact"/>
        <w:rPr>
          <w:sz w:val="20"/>
          <w:szCs w:val="20"/>
          <w:color w:val="auto"/>
        </w:rPr>
      </w:pPr>
    </w:p>
    <w:p>
      <w:pPr>
        <w:ind w:left="4112"/>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2898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212" w:hanging="212"/>
        <w:spacing w:after="0" w:line="277" w:lineRule="auto"/>
        <w:tabs>
          <w:tab w:leader="none" w:pos="212" w:val="left"/>
        </w:tabs>
        <w:numPr>
          <w:ilvl w:val="0"/>
          <w:numId w:val="249"/>
        </w:numPr>
        <w:rPr>
          <w:rFonts w:ascii="Arial" w:cs="Arial" w:eastAsia="Arial" w:hAnsi="Arial"/>
          <w:sz w:val="18"/>
          <w:szCs w:val="18"/>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0452"/>
          </w:cols>
          <w:pgMar w:left="248" w:top="274" w:right="1199" w:bottom="1440" w:gutter="0" w:footer="0" w:header="0"/>
          <w:type w:val="continuous"/>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Dated as of the date first set forth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jc w:val="right"/>
        <w:ind w:right="3019"/>
        <w:spacing w:after="0"/>
        <w:rPr>
          <w:sz w:val="20"/>
          <w:szCs w:val="20"/>
          <w:color w:val="auto"/>
        </w:rPr>
      </w:pPr>
      <w:r>
        <w:rPr>
          <w:rFonts w:ascii="Arial" w:cs="Arial" w:eastAsia="Arial" w:hAnsi="Arial"/>
          <w:sz w:val="18"/>
          <w:szCs w:val="18"/>
          <w:i w:val="1"/>
          <w:iCs w:val="1"/>
          <w:color w:val="auto"/>
        </w:rPr>
        <w:t>[Signature Page to Disbursement Letter]</w:t>
      </w:r>
    </w:p>
    <w:p>
      <w:pPr>
        <w:sectPr>
          <w:pgSz w:w="11900" w:h="16838" w:orient="portrait"/>
          <w:cols w:equalWidth="0" w:num="1">
            <w:col w:w="10219"/>
          </w:cols>
          <w:pgMar w:left="240" w:top="274" w:right="1440" w:bottom="1440" w:gutter="0" w:footer="0" w:header="0"/>
        </w:sectPr>
      </w:pPr>
    </w:p>
    <w:bookmarkStart w:id="281" w:name="page282"/>
    <w:bookmarkEnd w:id="2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AMORTIZATION TABLE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[A][B][C] Loan)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282" w:name="page283"/>
    <w:bookmarkEnd w:id="282"/>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Payment/Advance Request Form</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EADLINE FOR SAME DAY PROCESSING IS</w:t>
      </w:r>
      <w:r>
        <w:rPr>
          <w:rFonts w:ascii="Arial" w:cs="Arial" w:eastAsia="Arial" w:hAnsi="Arial"/>
          <w:sz w:val="18"/>
          <w:szCs w:val="18"/>
          <w:b w:val="1"/>
          <w:bCs w:val="1"/>
          <w:color w:val="auto"/>
        </w:rPr>
        <w:t xml:space="preserve"> N</w:t>
      </w:r>
      <w:r>
        <w:rPr>
          <w:rFonts w:ascii="Arial" w:cs="Arial" w:eastAsia="Arial" w:hAnsi="Arial"/>
          <w:sz w:val="15"/>
          <w:szCs w:val="15"/>
          <w:b w:val="1"/>
          <w:bCs w:val="1"/>
          <w:color w:val="auto"/>
        </w:rPr>
        <w:t>OON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ACIFIC</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IME</w:t>
      </w:r>
      <w:r>
        <w:rPr>
          <w:rFonts w:ascii="Arial" w:cs="Arial" w:eastAsia="Arial" w:hAnsi="Arial"/>
          <w:sz w:val="18"/>
          <w:szCs w:val="18"/>
          <w:b w:val="1"/>
          <w:bCs w:val="1"/>
          <w:color w:val="auto"/>
        </w:rPr>
        <w:t>*</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Fax To:</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80" w:type="dxa"/>
            <w:vAlign w:val="bottom"/>
            <w:gridSpan w:val="4"/>
          </w:tcPr>
          <w:p>
            <w:pPr>
              <w:ind w:left="440"/>
              <w:spacing w:after="0"/>
              <w:rPr>
                <w:sz w:val="20"/>
                <w:szCs w:val="20"/>
                <w:color w:val="auto"/>
              </w:rPr>
            </w:pPr>
            <w:r>
              <w:rPr>
                <w:rFonts w:ascii="Arial" w:cs="Arial" w:eastAsia="Arial" w:hAnsi="Arial"/>
                <w:sz w:val="18"/>
                <w:szCs w:val="18"/>
                <w:color w:val="auto"/>
              </w:rPr>
              <w:t>Date:</w:t>
            </w:r>
          </w:p>
        </w:tc>
        <w:tc>
          <w:tcPr>
            <w:tcW w:w="720" w:type="dxa"/>
            <w:vAlign w:val="bottom"/>
          </w:tcPr>
          <w:p>
            <w:pPr>
              <w:spacing w:after="0"/>
              <w:rPr>
                <w:sz w:val="20"/>
                <w:szCs w:val="20"/>
                <w:color w:val="auto"/>
              </w:rPr>
            </w:pPr>
          </w:p>
        </w:tc>
      </w:tr>
      <w:tr>
        <w:trPr>
          <w:trHeight w:val="247"/>
        </w:trPr>
        <w:tc>
          <w:tcPr>
            <w:tcW w:w="11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6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253"/>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r>
              <w:rPr>
                <w:rFonts w:ascii="Arial" w:cs="Arial" w:eastAsia="Arial" w:hAnsi="Arial"/>
                <w:sz w:val="18"/>
                <w:szCs w:val="18"/>
                <w:b w:val="1"/>
                <w:bCs w:val="1"/>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Borders>
              <w:right w:val="single" w:sz="8" w:color="auto"/>
            </w:tcBorders>
          </w:tcPr>
          <w:p>
            <w:pPr>
              <w:spacing w:after="0"/>
              <w:rPr>
                <w:sz w:val="22"/>
                <w:szCs w:val="22"/>
                <w:color w:val="auto"/>
              </w:rPr>
            </w:pPr>
          </w:p>
        </w:tc>
      </w:tr>
      <w:tr>
        <w:trPr>
          <w:trHeight w:val="432"/>
        </w:trPr>
        <w:tc>
          <w:tcPr>
            <w:tcW w:w="1180" w:type="dxa"/>
            <w:vAlign w:val="bottom"/>
            <w:tcBorders>
              <w:lef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900" w:type="dxa"/>
            <w:vAlign w:val="bottom"/>
            <w:gridSpan w:val="10"/>
          </w:tcPr>
          <w:p>
            <w:pPr>
              <w:ind w:left="100"/>
              <w:spacing w:after="0"/>
              <w:rPr>
                <w:sz w:val="20"/>
                <w:szCs w:val="20"/>
                <w:color w:val="auto"/>
              </w:rPr>
            </w:pPr>
            <w:r>
              <w:rPr>
                <w:rFonts w:ascii="Arial" w:cs="Arial" w:eastAsia="Arial" w:hAnsi="Arial"/>
                <w:sz w:val="18"/>
                <w:szCs w:val="18"/>
                <w:color w:val="auto"/>
              </w:rPr>
              <w:t>ANAPTYSBIO, INC.</w:t>
            </w:r>
          </w:p>
        </w:tc>
        <w:tc>
          <w:tcPr>
            <w:tcW w:w="720" w:type="dxa"/>
            <w:vAlign w:val="bottom"/>
            <w:tcBorders>
              <w:right w:val="single" w:sz="8" w:color="auto"/>
            </w:tcBorders>
          </w:tcPr>
          <w:p>
            <w:pPr>
              <w:spacing w:after="0"/>
              <w:rPr>
                <w:sz w:val="24"/>
                <w:szCs w:val="24"/>
                <w:color w:val="auto"/>
              </w:rPr>
            </w:pPr>
          </w:p>
        </w:tc>
      </w:tr>
      <w:tr>
        <w:trPr>
          <w:trHeight w:val="459"/>
        </w:trPr>
        <w:tc>
          <w:tcPr>
            <w:tcW w:w="4840" w:type="dxa"/>
            <w:vAlign w:val="bottom"/>
            <w:tcBorders>
              <w:left w:val="single" w:sz="8" w:color="auto"/>
            </w:tcBorders>
            <w:gridSpan w:val="4"/>
          </w:tcPr>
          <w:p>
            <w:pPr>
              <w:ind w:left="120"/>
              <w:spacing w:after="0"/>
              <w:rPr>
                <w:sz w:val="20"/>
                <w:szCs w:val="20"/>
                <w:color w:val="auto"/>
              </w:rPr>
            </w:pPr>
            <w:r>
              <w:rPr>
                <w:rFonts w:ascii="Arial" w:cs="Arial" w:eastAsia="Arial" w:hAnsi="Arial"/>
                <w:sz w:val="18"/>
                <w:szCs w:val="18"/>
                <w:color w:val="auto"/>
              </w:rPr>
              <w:t>From Account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ind w:left="240"/>
              <w:spacing w:after="0"/>
              <w:rPr>
                <w:sz w:val="20"/>
                <w:szCs w:val="20"/>
                <w:color w:val="auto"/>
              </w:rPr>
            </w:pPr>
            <w:r>
              <w:rPr>
                <w:rFonts w:ascii="Arial" w:cs="Arial" w:eastAsia="Arial" w:hAnsi="Arial"/>
                <w:sz w:val="18"/>
                <w:szCs w:val="18"/>
                <w:color w:val="auto"/>
              </w:rPr>
              <w:t>To Account #</w:t>
            </w:r>
          </w:p>
        </w:tc>
        <w:tc>
          <w:tcPr>
            <w:tcW w:w="720" w:type="dxa"/>
            <w:vAlign w:val="bottom"/>
            <w:tcBorders>
              <w:right w:val="single" w:sz="8" w:color="auto"/>
            </w:tcBorders>
          </w:tcPr>
          <w:p>
            <w:pPr>
              <w:spacing w:after="0"/>
              <w:rPr>
                <w:sz w:val="24"/>
                <w:szCs w:val="24"/>
                <w:color w:val="auto"/>
              </w:rPr>
            </w:pPr>
          </w:p>
        </w:tc>
      </w:tr>
      <w:tr>
        <w:trPr>
          <w:trHeight w:val="209"/>
        </w:trPr>
        <w:tc>
          <w:tcPr>
            <w:tcW w:w="1180" w:type="dxa"/>
            <w:vAlign w:val="bottom"/>
            <w:tcBorders>
              <w:lef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(Deposit Account #)</w:t>
            </w:r>
          </w:p>
        </w:tc>
        <w:tc>
          <w:tcPr>
            <w:tcW w:w="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60" w:type="dxa"/>
            <w:vAlign w:val="bottom"/>
            <w:tcBorders>
              <w:top w:val="single" w:sz="8" w:color="auto"/>
            </w:tcBorders>
            <w:gridSpan w:val="2"/>
          </w:tcPr>
          <w:p>
            <w:pPr>
              <w:ind w:left="800"/>
              <w:spacing w:after="0"/>
              <w:rPr>
                <w:sz w:val="20"/>
                <w:szCs w:val="20"/>
                <w:color w:val="auto"/>
              </w:rPr>
            </w:pPr>
            <w:r>
              <w:rPr>
                <w:rFonts w:ascii="Arial" w:cs="Arial" w:eastAsia="Arial" w:hAnsi="Arial"/>
                <w:sz w:val="18"/>
                <w:szCs w:val="18"/>
                <w:color w:val="auto"/>
              </w:rPr>
              <w:t>(Loan Account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r>
      <w:tr>
        <w:trPr>
          <w:trHeight w:val="230"/>
        </w:trPr>
        <w:tc>
          <w:tcPr>
            <w:tcW w:w="118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Principal $</w:t>
            </w:r>
          </w:p>
        </w:tc>
        <w:tc>
          <w:tcPr>
            <w:tcW w:w="3660" w:type="dxa"/>
            <w:vAlign w:val="bottom"/>
            <w:tcBorders>
              <w:bottom w:val="single" w:sz="8" w:color="auto"/>
            </w:tcBorders>
            <w:gridSpan w:val="3"/>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40" w:type="dxa"/>
            <w:vAlign w:val="bottom"/>
            <w:gridSpan w:val="2"/>
          </w:tcPr>
          <w:p>
            <w:pPr>
              <w:ind w:left="480"/>
              <w:spacing w:after="0"/>
              <w:rPr>
                <w:sz w:val="20"/>
                <w:szCs w:val="20"/>
                <w:color w:val="auto"/>
              </w:rPr>
            </w:pPr>
            <w:r>
              <w:rPr>
                <w:rFonts w:ascii="Arial" w:cs="Arial" w:eastAsia="Arial" w:hAnsi="Arial"/>
                <w:sz w:val="18"/>
                <w:szCs w:val="18"/>
                <w:color w:val="auto"/>
              </w:rPr>
              <w:t>and/or Interest $</w:t>
            </w:r>
          </w:p>
        </w:tc>
        <w:tc>
          <w:tcPr>
            <w:tcW w:w="3540" w:type="dxa"/>
            <w:vAlign w:val="bottom"/>
            <w:tcBorders>
              <w:bottom w:val="single" w:sz="8" w:color="auto"/>
            </w:tcBorders>
            <w:gridSpan w:val="4"/>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r>
      <w:tr>
        <w:trPr>
          <w:trHeight w:val="439"/>
        </w:trPr>
        <w:tc>
          <w:tcPr>
            <w:tcW w:w="4840" w:type="dxa"/>
            <w:vAlign w:val="bottom"/>
            <w:tcBorders>
              <w:left w:val="single" w:sz="8" w:color="auto"/>
            </w:tcBorders>
            <w:gridSpan w:val="4"/>
          </w:tcPr>
          <w:p>
            <w:pPr>
              <w:ind w:left="100"/>
              <w:spacing w:after="0"/>
              <w:rPr>
                <w:sz w:val="20"/>
                <w:szCs w:val="20"/>
                <w:color w:val="auto"/>
              </w:rPr>
            </w:pPr>
            <w:r>
              <w:rPr>
                <w:rFonts w:ascii="Arial" w:cs="Arial" w:eastAsia="Arial" w:hAnsi="Arial"/>
                <w:sz w:val="18"/>
                <w:szCs w:val="18"/>
                <w:color w:val="auto"/>
              </w:rPr>
              <w:t>Authorized Signature:</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gridSpan w:val="7"/>
          </w:tcPr>
          <w:p>
            <w:pPr>
              <w:ind w:left="940"/>
              <w:spacing w:after="0"/>
              <w:rPr>
                <w:sz w:val="20"/>
                <w:szCs w:val="20"/>
                <w:color w:val="auto"/>
              </w:rPr>
            </w:pPr>
            <w:r>
              <w:rPr>
                <w:rFonts w:ascii="Arial" w:cs="Arial" w:eastAsia="Arial" w:hAnsi="Arial"/>
                <w:sz w:val="18"/>
                <w:szCs w:val="18"/>
                <w:color w:val="auto"/>
              </w:rPr>
              <w:t>Phone Number:</w:t>
            </w:r>
          </w:p>
        </w:tc>
        <w:tc>
          <w:tcPr>
            <w:tcW w:w="720" w:type="dxa"/>
            <w:vAlign w:val="bottom"/>
            <w:tcBorders>
              <w:right w:val="single" w:sz="8" w:color="auto"/>
            </w:tcBorders>
          </w:tcPr>
          <w:p>
            <w:pPr>
              <w:spacing w:after="0"/>
              <w:rPr>
                <w:sz w:val="24"/>
                <w:szCs w:val="24"/>
                <w:color w:val="auto"/>
              </w:rPr>
            </w:pPr>
          </w:p>
        </w:tc>
      </w:tr>
      <w:tr>
        <w:trPr>
          <w:trHeight w:val="223"/>
        </w:trPr>
        <w:tc>
          <w:tcPr>
            <w:tcW w:w="2080" w:type="dxa"/>
            <w:vAlign w:val="bottom"/>
            <w:tcBorders>
              <w:left w:val="single" w:sz="8" w:color="auto"/>
            </w:tcBorders>
            <w:gridSpan w:val="3"/>
          </w:tcPr>
          <w:p>
            <w:pPr>
              <w:ind w:left="120"/>
              <w:spacing w:after="0"/>
              <w:rPr>
                <w:sz w:val="20"/>
                <w:szCs w:val="20"/>
                <w:color w:val="auto"/>
              </w:rPr>
            </w:pPr>
            <w:r>
              <w:rPr>
                <w:rFonts w:ascii="Arial" w:cs="Arial" w:eastAsia="Arial" w:hAnsi="Arial"/>
                <w:sz w:val="18"/>
                <w:szCs w:val="18"/>
                <w:color w:val="auto"/>
              </w:rPr>
              <w:t>Print Name/Title:</w:t>
            </w:r>
          </w:p>
        </w:tc>
        <w:tc>
          <w:tcPr>
            <w:tcW w:w="2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r>
      <w:tr>
        <w:trPr>
          <w:trHeight w:val="301"/>
        </w:trPr>
        <w:tc>
          <w:tcPr>
            <w:tcW w:w="1180" w:type="dxa"/>
            <w:vAlign w:val="bottom"/>
            <w:tcBorders>
              <w:left w:val="single" w:sz="8" w:color="auto"/>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Borders>
              <w:top w:val="single" w:sz="8" w:color="auto"/>
              <w:bottom w:val="single" w:sz="8" w:color="auto"/>
            </w:tcBorders>
          </w:tcPr>
          <w:p>
            <w:pPr>
              <w:spacing w:after="0"/>
              <w:rPr>
                <w:sz w:val="24"/>
                <w:szCs w:val="24"/>
                <w:color w:val="auto"/>
              </w:rPr>
            </w:pPr>
          </w:p>
        </w:tc>
        <w:tc>
          <w:tcPr>
            <w:tcW w:w="27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76465" cy="25425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6465" cy="2542540"/>
                    </a:xfrm>
                    <a:prstGeom prst="rect">
                      <a:avLst/>
                    </a:prstGeom>
                    <a:noFill/>
                  </pic:spPr>
                </pic:pic>
              </a:graphicData>
            </a:graphic>
          </wp:anchor>
        </w:drawing>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DVANCE</w:t>
      </w:r>
      <w:r>
        <w:rPr>
          <w:rFonts w:ascii="Arial" w:cs="Arial" w:eastAsia="Arial" w:hAnsi="Arial"/>
          <w:sz w:val="18"/>
          <w:szCs w:val="18"/>
          <w:b w:val="1"/>
          <w:bCs w:val="1"/>
          <w:color w:val="auto"/>
        </w:rPr>
        <w:t>:</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860" w:type="dxa"/>
            <w:vAlign w:val="bottom"/>
            <w:gridSpan w:val="4"/>
          </w:tcPr>
          <w:p>
            <w:pPr>
              <w:ind w:left="20"/>
              <w:spacing w:after="0"/>
              <w:rPr>
                <w:sz w:val="20"/>
                <w:szCs w:val="20"/>
                <w:color w:val="auto"/>
              </w:rPr>
            </w:pPr>
            <w:r>
              <w:rPr>
                <w:rFonts w:ascii="Arial" w:cs="Arial" w:eastAsia="Arial" w:hAnsi="Arial"/>
                <w:sz w:val="18"/>
                <w:szCs w:val="18"/>
                <w:color w:val="auto"/>
              </w:rPr>
              <w:t>From Account #</w:t>
            </w:r>
          </w:p>
        </w:tc>
        <w:tc>
          <w:tcPr>
            <w:tcW w:w="5560" w:type="dxa"/>
            <w:vAlign w:val="bottom"/>
            <w:gridSpan w:val="2"/>
          </w:tcPr>
          <w:p>
            <w:pPr>
              <w:ind w:left="460"/>
              <w:spacing w:after="0"/>
              <w:rPr>
                <w:sz w:val="20"/>
                <w:szCs w:val="20"/>
                <w:color w:val="auto"/>
              </w:rPr>
            </w:pPr>
            <w:r>
              <w:rPr>
                <w:rFonts w:ascii="Arial" w:cs="Arial" w:eastAsia="Arial" w:hAnsi="Arial"/>
                <w:sz w:val="18"/>
                <w:szCs w:val="18"/>
                <w:color w:val="auto"/>
              </w:rPr>
              <w:t>To Account #</w:t>
            </w:r>
          </w:p>
        </w:tc>
      </w:tr>
      <w:tr>
        <w:trPr>
          <w:trHeight w:val="224"/>
        </w:trPr>
        <w:tc>
          <w:tcPr>
            <w:tcW w:w="1520" w:type="dxa"/>
            <w:vAlign w:val="bottom"/>
          </w:tcPr>
          <w:p>
            <w:pPr>
              <w:spacing w:after="0"/>
              <w:rPr>
                <w:sz w:val="19"/>
                <w:szCs w:val="19"/>
                <w:color w:val="auto"/>
              </w:rPr>
            </w:pPr>
          </w:p>
        </w:tc>
        <w:tc>
          <w:tcPr>
            <w:tcW w:w="334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color w:val="auto"/>
              </w:rPr>
              <w:t>(Loan Account #)</w:t>
            </w:r>
          </w:p>
        </w:tc>
        <w:tc>
          <w:tcPr>
            <w:tcW w:w="1700" w:type="dxa"/>
            <w:vAlign w:val="bottom"/>
          </w:tcPr>
          <w:p>
            <w:pPr>
              <w:spacing w:after="0"/>
              <w:rPr>
                <w:sz w:val="19"/>
                <w:szCs w:val="19"/>
                <w:color w:val="auto"/>
              </w:rPr>
            </w:pPr>
          </w:p>
        </w:tc>
        <w:tc>
          <w:tcPr>
            <w:tcW w:w="386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(Deposit Account #)</w:t>
            </w:r>
          </w:p>
        </w:tc>
      </w:tr>
      <w:tr>
        <w:trPr>
          <w:trHeight w:val="458"/>
        </w:trPr>
        <w:tc>
          <w:tcPr>
            <w:tcW w:w="1980" w:type="dxa"/>
            <w:vAlign w:val="bottom"/>
            <w:gridSpan w:val="2"/>
          </w:tcPr>
          <w:p>
            <w:pPr>
              <w:spacing w:after="0"/>
              <w:rPr>
                <w:sz w:val="20"/>
                <w:szCs w:val="20"/>
                <w:color w:val="auto"/>
              </w:rPr>
            </w:pPr>
            <w:r>
              <w:rPr>
                <w:rFonts w:ascii="Arial" w:cs="Arial" w:eastAsia="Arial" w:hAnsi="Arial"/>
                <w:sz w:val="18"/>
                <w:szCs w:val="18"/>
                <w:color w:val="auto"/>
              </w:rPr>
              <w:t>Amount of Advance $</w:t>
            </w:r>
          </w:p>
        </w:tc>
        <w:tc>
          <w:tcPr>
            <w:tcW w:w="2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line="215" w:lineRule="exact"/>
        <w:rPr>
          <w:sz w:val="20"/>
          <w:szCs w:val="20"/>
          <w:color w:val="auto"/>
        </w:rPr>
      </w:pPr>
    </w:p>
    <w:p>
      <w:pPr>
        <w:ind w:left="140" w:right="160"/>
        <w:spacing w:after="0" w:line="259"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30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60" w:type="dxa"/>
            <w:vAlign w:val="bottom"/>
          </w:tcPr>
          <w:p>
            <w:pPr>
              <w:ind w:left="920"/>
              <w:spacing w:after="0"/>
              <w:rPr>
                <w:sz w:val="20"/>
                <w:szCs w:val="20"/>
                <w:color w:val="auto"/>
              </w:rPr>
            </w:pPr>
            <w:r>
              <w:rPr>
                <w:rFonts w:ascii="Arial" w:cs="Arial" w:eastAsia="Arial" w:hAnsi="Arial"/>
                <w:sz w:val="18"/>
                <w:szCs w:val="18"/>
                <w:color w:val="auto"/>
                <w:w w:val="88"/>
              </w:rPr>
              <w:t>Phone Number:</w:t>
            </w:r>
          </w:p>
        </w:tc>
      </w:tr>
      <w:tr>
        <w:trPr>
          <w:trHeight w:val="223"/>
        </w:trPr>
        <w:tc>
          <w:tcPr>
            <w:tcW w:w="1520" w:type="dxa"/>
            <w:vAlign w:val="bottom"/>
          </w:tcPr>
          <w:p>
            <w:pPr>
              <w:ind w:left="20"/>
              <w:spacing w:after="0"/>
              <w:rPr>
                <w:sz w:val="20"/>
                <w:szCs w:val="20"/>
                <w:color w:val="auto"/>
              </w:rPr>
            </w:pPr>
            <w:r>
              <w:rPr>
                <w:rFonts w:ascii="Arial" w:cs="Arial" w:eastAsia="Arial" w:hAnsi="Arial"/>
                <w:sz w:val="18"/>
                <w:szCs w:val="18"/>
                <w:color w:val="auto"/>
              </w:rPr>
              <w:t>Print Name/Title:</w:t>
            </w:r>
          </w:p>
        </w:tc>
        <w:tc>
          <w:tcPr>
            <w:tcW w:w="4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76465" cy="3202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6465" cy="320294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EQUEST</w:t>
      </w:r>
      <w:r>
        <w:rPr>
          <w:rFonts w:ascii="Arial" w:cs="Arial" w:eastAsia="Arial" w:hAnsi="Arial"/>
          <w:sz w:val="18"/>
          <w:szCs w:val="18"/>
          <w:b w:val="1"/>
          <w:bCs w:val="1"/>
          <w:color w:val="auto"/>
        </w:rPr>
        <w:t>:</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Deadline for same day processing is noon, Pacific Time</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720" w:type="dxa"/>
            <w:vAlign w:val="bottom"/>
            <w:gridSpan w:val="6"/>
          </w:tcPr>
          <w:p>
            <w:pPr>
              <w:spacing w:after="0"/>
              <w:rPr>
                <w:sz w:val="20"/>
                <w:szCs w:val="20"/>
                <w:color w:val="auto"/>
              </w:rPr>
            </w:pPr>
            <w:r>
              <w:rPr>
                <w:rFonts w:ascii="Arial" w:cs="Arial" w:eastAsia="Arial" w:hAnsi="Arial"/>
                <w:sz w:val="18"/>
                <w:szCs w:val="18"/>
                <w:color w:val="auto"/>
              </w:rPr>
              <w:t>Beneficiary Name: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4"/>
          </w:tcPr>
          <w:p>
            <w:pPr>
              <w:ind w:left="660"/>
              <w:spacing w:after="0"/>
              <w:rPr>
                <w:sz w:val="20"/>
                <w:szCs w:val="20"/>
                <w:color w:val="auto"/>
              </w:rPr>
            </w:pPr>
            <w:r>
              <w:rPr>
                <w:rFonts w:ascii="Arial" w:cs="Arial" w:eastAsia="Arial" w:hAnsi="Arial"/>
                <w:sz w:val="18"/>
                <w:szCs w:val="18"/>
                <w:color w:val="auto"/>
              </w:rPr>
              <w:t>Amount of Wire: $</w:t>
            </w:r>
          </w:p>
        </w:tc>
        <w:tc>
          <w:tcPr>
            <w:tcW w:w="140" w:type="dxa"/>
            <w:vAlign w:val="bottom"/>
          </w:tcPr>
          <w:p>
            <w:pPr>
              <w:spacing w:after="0"/>
              <w:rPr>
                <w:sz w:val="20"/>
                <w:szCs w:val="20"/>
                <w:color w:val="auto"/>
              </w:rPr>
            </w:pPr>
          </w:p>
        </w:tc>
      </w:tr>
      <w:tr>
        <w:trPr>
          <w:trHeight w:val="223"/>
        </w:trPr>
        <w:tc>
          <w:tcPr>
            <w:tcW w:w="1640" w:type="dxa"/>
            <w:vAlign w:val="bottom"/>
            <w:gridSpan w:val="2"/>
          </w:tcPr>
          <w:p>
            <w:pPr>
              <w:spacing w:after="0"/>
              <w:rPr>
                <w:sz w:val="20"/>
                <w:szCs w:val="20"/>
                <w:color w:val="auto"/>
              </w:rPr>
            </w:pPr>
            <w:r>
              <w:rPr>
                <w:rFonts w:ascii="Arial" w:cs="Arial" w:eastAsia="Arial" w:hAnsi="Arial"/>
                <w:sz w:val="18"/>
                <w:szCs w:val="18"/>
                <w:color w:val="auto"/>
              </w:rPr>
              <w:t>Beneficiary Bank:</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2"/>
          </w:tcPr>
          <w:p>
            <w:pPr>
              <w:ind w:left="660"/>
              <w:spacing w:after="0"/>
              <w:rPr>
                <w:sz w:val="20"/>
                <w:szCs w:val="20"/>
                <w:color w:val="auto"/>
              </w:rPr>
            </w:pPr>
            <w:r>
              <w:rPr>
                <w:rFonts w:ascii="Arial" w:cs="Arial" w:eastAsia="Arial" w:hAnsi="Arial"/>
                <w:sz w:val="18"/>
                <w:szCs w:val="18"/>
                <w:color w:val="auto"/>
              </w:rPr>
              <w:t>Account Number:</w:t>
            </w:r>
          </w:p>
        </w:tc>
        <w:tc>
          <w:tcPr>
            <w:tcW w:w="2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23"/>
        </w:trPr>
        <w:tc>
          <w:tcPr>
            <w:tcW w:w="1260" w:type="dxa"/>
            <w:vAlign w:val="bottom"/>
          </w:tcPr>
          <w:p>
            <w:pPr>
              <w:spacing w:after="0"/>
              <w:rPr>
                <w:sz w:val="20"/>
                <w:szCs w:val="20"/>
                <w:color w:val="auto"/>
              </w:rPr>
            </w:pPr>
            <w:r>
              <w:rPr>
                <w:rFonts w:ascii="Arial" w:cs="Arial" w:eastAsia="Arial" w:hAnsi="Arial"/>
                <w:sz w:val="18"/>
                <w:szCs w:val="18"/>
                <w:color w:val="auto"/>
              </w:rPr>
              <w:t>City and State:</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39"/>
        </w:trPr>
        <w:tc>
          <w:tcPr>
            <w:tcW w:w="4720" w:type="dxa"/>
            <w:vAlign w:val="bottom"/>
            <w:gridSpan w:val="6"/>
          </w:tcPr>
          <w:p>
            <w:pPr>
              <w:spacing w:after="0"/>
              <w:rPr>
                <w:sz w:val="20"/>
                <w:szCs w:val="20"/>
                <w:color w:val="auto"/>
              </w:rPr>
            </w:pPr>
            <w:r>
              <w:rPr>
                <w:rFonts w:ascii="Arial" w:cs="Arial" w:eastAsia="Arial" w:hAnsi="Arial"/>
                <w:sz w:val="18"/>
                <w:szCs w:val="18"/>
                <w:color w:val="auto"/>
              </w:rPr>
              <w:t>Beneficiary Bank Transit (ABA) #:</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40" w:type="dxa"/>
            <w:vAlign w:val="bottom"/>
            <w:gridSpan w:val="4"/>
          </w:tcPr>
          <w:p>
            <w:pPr>
              <w:ind w:left="560"/>
              <w:spacing w:after="0"/>
              <w:rPr>
                <w:sz w:val="20"/>
                <w:szCs w:val="20"/>
                <w:color w:val="auto"/>
              </w:rPr>
            </w:pPr>
            <w:r>
              <w:rPr>
                <w:rFonts w:ascii="Arial" w:cs="Arial" w:eastAsia="Arial" w:hAnsi="Arial"/>
                <w:sz w:val="18"/>
                <w:szCs w:val="18"/>
                <w:color w:val="auto"/>
              </w:rPr>
              <w:t>Beneficiary Bank Code (Swift, Sort, Chip, etc.):</w:t>
            </w:r>
          </w:p>
        </w:tc>
        <w:tc>
          <w:tcPr>
            <w:tcW w:w="140" w:type="dxa"/>
            <w:vAlign w:val="bottom"/>
          </w:tcPr>
          <w:p>
            <w:pPr>
              <w:spacing w:after="0"/>
              <w:rPr>
                <w:sz w:val="24"/>
                <w:szCs w:val="24"/>
                <w:color w:val="auto"/>
              </w:rPr>
            </w:pPr>
          </w:p>
        </w:tc>
      </w:tr>
      <w:tr>
        <w:trPr>
          <w:trHeight w:val="209"/>
        </w:trPr>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60" w:type="dxa"/>
            <w:vAlign w:val="bottom"/>
            <w:gridSpan w:val="3"/>
          </w:tcPr>
          <w:p>
            <w:pPr>
              <w:ind w:left="1040"/>
              <w:spacing w:after="0"/>
              <w:rPr>
                <w:sz w:val="20"/>
                <w:szCs w:val="20"/>
                <w:color w:val="auto"/>
              </w:rPr>
            </w:pPr>
            <w:r>
              <w:rPr>
                <w:rFonts w:ascii="Arial" w:cs="Arial" w:eastAsia="Arial" w:hAnsi="Arial"/>
                <w:sz w:val="18"/>
                <w:szCs w:val="18"/>
                <w:b w:val="1"/>
                <w:bCs w:val="1"/>
                <w:color w:val="auto"/>
              </w:rPr>
              <w:t>(For International Wire Only)</w:t>
            </w: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720" w:type="dxa"/>
            <w:vAlign w:val="bottom"/>
            <w:gridSpan w:val="6"/>
          </w:tcPr>
          <w:p>
            <w:pPr>
              <w:spacing w:after="0"/>
              <w:rPr>
                <w:sz w:val="20"/>
                <w:szCs w:val="20"/>
                <w:color w:val="auto"/>
              </w:rPr>
            </w:pPr>
            <w:r>
              <w:rPr>
                <w:rFonts w:ascii="Arial" w:cs="Arial" w:eastAsia="Arial" w:hAnsi="Arial"/>
                <w:sz w:val="18"/>
                <w:szCs w:val="18"/>
                <w:color w:val="auto"/>
              </w:rPr>
              <w:t>Intermediary Bank:</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4"/>
          </w:tcPr>
          <w:p>
            <w:pPr>
              <w:ind w:left="520"/>
              <w:spacing w:after="0"/>
              <w:rPr>
                <w:sz w:val="20"/>
                <w:szCs w:val="20"/>
                <w:color w:val="auto"/>
              </w:rPr>
            </w:pPr>
            <w:r>
              <w:rPr>
                <w:rFonts w:ascii="Arial" w:cs="Arial" w:eastAsia="Arial" w:hAnsi="Arial"/>
                <w:sz w:val="18"/>
                <w:szCs w:val="18"/>
                <w:color w:val="auto"/>
              </w:rPr>
              <w:t>Transit (ABA) #:</w:t>
            </w:r>
          </w:p>
        </w:tc>
        <w:tc>
          <w:tcPr>
            <w:tcW w:w="140" w:type="dxa"/>
            <w:vAlign w:val="bottom"/>
          </w:tcPr>
          <w:p>
            <w:pPr>
              <w:spacing w:after="0"/>
              <w:rPr>
                <w:sz w:val="20"/>
                <w:szCs w:val="20"/>
                <w:color w:val="auto"/>
              </w:rPr>
            </w:pPr>
          </w:p>
        </w:tc>
      </w:tr>
      <w:tr>
        <w:trPr>
          <w:trHeight w:val="223"/>
        </w:trPr>
        <w:tc>
          <w:tcPr>
            <w:tcW w:w="1740" w:type="dxa"/>
            <w:vAlign w:val="bottom"/>
            <w:gridSpan w:val="3"/>
          </w:tcPr>
          <w:p>
            <w:pPr>
              <w:spacing w:after="0"/>
              <w:rPr>
                <w:sz w:val="20"/>
                <w:szCs w:val="20"/>
                <w:color w:val="auto"/>
              </w:rPr>
            </w:pPr>
            <w:r>
              <w:rPr>
                <w:rFonts w:ascii="Arial" w:cs="Arial" w:eastAsia="Arial" w:hAnsi="Arial"/>
                <w:sz w:val="18"/>
                <w:szCs w:val="18"/>
                <w:color w:val="auto"/>
              </w:rPr>
              <w:t>For Further Credit to:</w:t>
            </w:r>
          </w:p>
        </w:tc>
        <w:tc>
          <w:tcPr>
            <w:tcW w:w="120" w:type="dxa"/>
            <w:vAlign w:val="bottom"/>
            <w:tcBorders>
              <w:top w:val="single" w:sz="8" w:color="auto"/>
            </w:tcBorders>
          </w:tcPr>
          <w:p>
            <w:pPr>
              <w:spacing w:after="0"/>
              <w:rPr>
                <w:sz w:val="19"/>
                <w:szCs w:val="19"/>
                <w:color w:val="auto"/>
              </w:rPr>
            </w:pPr>
          </w:p>
        </w:tc>
        <w:tc>
          <w:tcPr>
            <w:tcW w:w="2860" w:type="dxa"/>
            <w:vAlign w:val="bottom"/>
            <w:tcBorders>
              <w:top w:val="single" w:sz="8" w:color="auto"/>
              <w:bottom w:val="single" w:sz="8" w:color="auto"/>
            </w:tcBorders>
            <w:gridSpan w:val="2"/>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r>
    </w:tbl>
    <w:p>
      <w:pPr>
        <w:spacing w:after="0" w:line="2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Special Instruction:</w:t>
      </w:r>
    </w:p>
    <w:p>
      <w:pPr>
        <w:spacing w:after="0" w:line="36" w:lineRule="exact"/>
        <w:rPr>
          <w:sz w:val="20"/>
          <w:szCs w:val="20"/>
          <w:color w:val="auto"/>
        </w:rPr>
      </w:pPr>
    </w:p>
    <w:p>
      <w:pPr>
        <w:ind w:left="140" w:right="36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1980" w:type="dxa"/>
            <w:vAlign w:val="bottom"/>
            <w:gridSpan w:val="3"/>
          </w:tcPr>
          <w:p>
            <w:pPr>
              <w:spacing w:after="0"/>
              <w:rPr>
                <w:sz w:val="20"/>
                <w:szCs w:val="20"/>
                <w:color w:val="auto"/>
              </w:rPr>
            </w:pPr>
            <w:r>
              <w:rPr>
                <w:rFonts w:ascii="Arial" w:cs="Arial" w:eastAsia="Arial" w:hAnsi="Arial"/>
                <w:sz w:val="18"/>
                <w:szCs w:val="18"/>
                <w:color w:val="auto"/>
              </w:rPr>
              <w:t>Authorized Signature:</w:t>
            </w:r>
          </w:p>
        </w:tc>
        <w:tc>
          <w:tcPr>
            <w:tcW w:w="1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80" w:type="dxa"/>
            <w:vAlign w:val="bottom"/>
            <w:gridSpan w:val="5"/>
          </w:tcPr>
          <w:p>
            <w:pPr>
              <w:ind w:left="58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120" w:type="dxa"/>
            <w:vAlign w:val="bottom"/>
          </w:tcPr>
          <w:p>
            <w:pPr>
              <w:spacing w:after="0"/>
              <w:rPr>
                <w:sz w:val="20"/>
                <w:szCs w:val="20"/>
                <w:color w:val="auto"/>
              </w:rPr>
            </w:pPr>
          </w:p>
        </w:tc>
      </w:tr>
      <w:tr>
        <w:trPr>
          <w:trHeight w:val="223"/>
        </w:trPr>
        <w:tc>
          <w:tcPr>
            <w:tcW w:w="1980" w:type="dxa"/>
            <w:vAlign w:val="bottom"/>
            <w:gridSpan w:val="3"/>
          </w:tcPr>
          <w:p>
            <w:pPr>
              <w:ind w:left="20"/>
              <w:spacing w:after="0"/>
              <w:rPr>
                <w:sz w:val="20"/>
                <w:szCs w:val="20"/>
                <w:color w:val="auto"/>
              </w:rPr>
            </w:pPr>
            <w:r>
              <w:rPr>
                <w:rFonts w:ascii="Arial" w:cs="Arial" w:eastAsia="Arial" w:hAnsi="Arial"/>
                <w:sz w:val="18"/>
                <w:szCs w:val="18"/>
                <w:color w:val="auto"/>
              </w:rPr>
              <w:t>Print Name/Title:</w:t>
            </w:r>
          </w:p>
        </w:tc>
        <w:tc>
          <w:tcPr>
            <w:tcW w:w="12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40" w:type="dxa"/>
            <w:vAlign w:val="bottom"/>
            <w:gridSpan w:val="3"/>
          </w:tcPr>
          <w:p>
            <w:pPr>
              <w:ind w:left="560"/>
              <w:spacing w:after="0"/>
              <w:rPr>
                <w:sz w:val="20"/>
                <w:szCs w:val="20"/>
                <w:color w:val="auto"/>
              </w:rPr>
            </w:pPr>
            <w:r>
              <w:rPr>
                <w:rFonts w:ascii="Arial" w:cs="Arial" w:eastAsia="Arial" w:hAnsi="Arial"/>
                <w:sz w:val="18"/>
                <w:szCs w:val="18"/>
                <w:color w:val="auto"/>
              </w:rPr>
              <w:t>Print Name/Title:</w:t>
            </w:r>
          </w:p>
        </w:tc>
        <w:tc>
          <w:tcPr>
            <w:tcW w:w="2740" w:type="dxa"/>
            <w:vAlign w:val="bottom"/>
            <w:tcBorders>
              <w:top w:val="single" w:sz="8" w:color="auto"/>
            </w:tcBorders>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r>
      <w:tr>
        <w:trPr>
          <w:trHeight w:val="223"/>
        </w:trPr>
        <w:tc>
          <w:tcPr>
            <w:tcW w:w="1200" w:type="dxa"/>
            <w:vAlign w:val="bottom"/>
          </w:tcPr>
          <w:p>
            <w:pPr>
              <w:ind w:left="20"/>
              <w:spacing w:after="0"/>
              <w:rPr>
                <w:sz w:val="20"/>
                <w:szCs w:val="20"/>
                <w:color w:val="auto"/>
              </w:rPr>
            </w:pPr>
            <w:r>
              <w:rPr>
                <w:rFonts w:ascii="Arial" w:cs="Arial" w:eastAsia="Arial" w:hAnsi="Arial"/>
                <w:sz w:val="18"/>
                <w:szCs w:val="18"/>
                <w:color w:val="auto"/>
              </w:rPr>
              <w:t>Telephone #:</w:t>
            </w:r>
          </w:p>
        </w:tc>
        <w:tc>
          <w:tcPr>
            <w:tcW w:w="28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ind w:left="560"/>
              <w:spacing w:after="0"/>
              <w:rPr>
                <w:sz w:val="20"/>
                <w:szCs w:val="20"/>
                <w:color w:val="auto"/>
              </w:rPr>
            </w:pPr>
            <w:r>
              <w:rPr>
                <w:rFonts w:ascii="Arial" w:cs="Arial" w:eastAsia="Arial" w:hAnsi="Arial"/>
                <w:sz w:val="18"/>
                <w:szCs w:val="18"/>
                <w:color w:val="auto"/>
              </w:rPr>
              <w:t>Telephone #:</w:t>
            </w:r>
          </w:p>
        </w:tc>
        <w:tc>
          <w:tcPr>
            <w:tcW w:w="24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bl>
    <w:p>
      <w:pPr>
        <w:sectPr>
          <w:pgSz w:w="11900" w:h="16838" w:orient="portrait"/>
          <w:cols w:equalWidth="0" w:num="1">
            <w:col w:w="11460"/>
          </w:cols>
          <w:pgMar w:left="240" w:top="270" w:right="199" w:bottom="1440" w:gutter="0" w:footer="0" w:header="0"/>
        </w:sectPr>
      </w:pPr>
    </w:p>
    <w:bookmarkStart w:id="283" w:name="page284"/>
    <w:bookmarkEnd w:id="28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EXHIBIT C</w:t>
            </w:r>
          </w:p>
        </w:tc>
      </w:tr>
      <w:tr>
        <w:trPr>
          <w:trHeight w:val="392"/>
        </w:trPr>
        <w:tc>
          <w:tcPr>
            <w:tcW w:w="9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Compliance Certificate</w:t>
            </w:r>
          </w:p>
        </w:tc>
      </w:tr>
      <w:tr>
        <w:trPr>
          <w:trHeight w:val="465"/>
        </w:trPr>
        <w:tc>
          <w:tcPr>
            <w:tcW w:w="920" w:type="dxa"/>
            <w:vAlign w:val="bottom"/>
          </w:tcPr>
          <w:p>
            <w:pPr>
              <w:spacing w:after="0"/>
              <w:rPr>
                <w:sz w:val="20"/>
                <w:szCs w:val="20"/>
                <w:color w:val="auto"/>
              </w:rPr>
            </w:pPr>
            <w:r>
              <w:rPr>
                <w:rFonts w:ascii="Arial" w:cs="Arial" w:eastAsia="Arial" w:hAnsi="Arial"/>
                <w:sz w:val="18"/>
                <w:szCs w:val="18"/>
                <w:color w:val="auto"/>
              </w:rPr>
              <w:t>TO:</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OXFORD FINANCE LLC, as Collateral Agent and Lender</w:t>
            </w:r>
          </w:p>
        </w:tc>
      </w:tr>
      <w:tr>
        <w:trPr>
          <w:trHeight w:val="230"/>
        </w:trPr>
        <w:tc>
          <w:tcPr>
            <w:tcW w:w="920" w:type="dxa"/>
            <w:vAlign w:val="bottom"/>
          </w:tcPr>
          <w:p>
            <w:pPr>
              <w:spacing w:after="0"/>
              <w:rPr>
                <w:sz w:val="20"/>
                <w:szCs w:val="20"/>
                <w:color w:val="auto"/>
              </w:rPr>
            </w:pP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SILICON VALLEY BANK, as Lender</w:t>
            </w:r>
          </w:p>
        </w:tc>
      </w:tr>
      <w:tr>
        <w:trPr>
          <w:trHeight w:val="338"/>
        </w:trPr>
        <w:tc>
          <w:tcPr>
            <w:tcW w:w="920" w:type="dxa"/>
            <w:vAlign w:val="bottom"/>
          </w:tcPr>
          <w:p>
            <w:pPr>
              <w:spacing w:after="0"/>
              <w:rPr>
                <w:sz w:val="20"/>
                <w:szCs w:val="20"/>
                <w:color w:val="auto"/>
              </w:rPr>
            </w:pPr>
            <w:r>
              <w:rPr>
                <w:rFonts w:ascii="Arial" w:cs="Arial" w:eastAsia="Arial" w:hAnsi="Arial"/>
                <w:sz w:val="18"/>
                <w:szCs w:val="18"/>
                <w:color w:val="auto"/>
              </w:rPr>
              <w:t>FROM:</w:t>
            </w:r>
          </w:p>
        </w:tc>
        <w:tc>
          <w:tcPr>
            <w:tcW w:w="5680" w:type="dxa"/>
            <w:vAlign w:val="bottom"/>
            <w:gridSpan w:val="2"/>
          </w:tcPr>
          <w:p>
            <w:pPr>
              <w:ind w:left="340"/>
              <w:spacing w:after="0"/>
              <w:rPr>
                <w:sz w:val="20"/>
                <w:szCs w:val="20"/>
                <w:color w:val="auto"/>
              </w:rPr>
            </w:pPr>
            <w:r>
              <w:rPr>
                <w:rFonts w:ascii="Arial" w:cs="Arial" w:eastAsia="Arial" w:hAnsi="Arial"/>
                <w:sz w:val="18"/>
                <w:szCs w:val="18"/>
                <w:color w:val="auto"/>
              </w:rPr>
              <w:t>ANAPTYSBIO, INC.</w:t>
            </w:r>
          </w:p>
        </w:tc>
      </w:tr>
    </w:tbl>
    <w:p>
      <w:pPr>
        <w:spacing w:after="0" w:line="198" w:lineRule="exact"/>
        <w:rPr>
          <w:sz w:val="20"/>
          <w:szCs w:val="20"/>
          <w:color w:val="auto"/>
        </w:rPr>
      </w:pPr>
    </w:p>
    <w:p>
      <w:pPr>
        <w:ind w:right="140"/>
        <w:spacing w:after="0" w:line="289" w:lineRule="auto"/>
        <w:rPr>
          <w:sz w:val="20"/>
          <w:szCs w:val="20"/>
          <w:color w:val="auto"/>
        </w:rPr>
      </w:pPr>
      <w:r>
        <w:rPr>
          <w:rFonts w:ascii="Arial" w:cs="Arial" w:eastAsia="Arial" w:hAnsi="Arial"/>
          <w:sz w:val="17"/>
          <w:szCs w:val="17"/>
          <w:color w:val="auto"/>
        </w:rPr>
        <w:t>The undersigned authorized officer (“</w:t>
      </w:r>
      <w:r>
        <w:rPr>
          <w:rFonts w:ascii="Arial" w:cs="Arial" w:eastAsia="Arial" w:hAnsi="Arial"/>
          <w:sz w:val="17"/>
          <w:szCs w:val="17"/>
          <w:b w:val="1"/>
          <w:bCs w:val="1"/>
          <w:color w:val="auto"/>
        </w:rPr>
        <w:t>Officer</w:t>
      </w:r>
      <w:r>
        <w:rPr>
          <w:rFonts w:ascii="Arial" w:cs="Arial" w:eastAsia="Arial" w:hAnsi="Arial"/>
          <w:sz w:val="17"/>
          <w:szCs w:val="17"/>
          <w:color w:val="auto"/>
        </w:rPr>
        <w:t>”) of ANAPTYSBIO, INC. (“</w:t>
      </w:r>
      <w:r>
        <w:rPr>
          <w:rFonts w:ascii="Arial" w:cs="Arial" w:eastAsia="Arial" w:hAnsi="Arial"/>
          <w:sz w:val="17"/>
          <w:szCs w:val="17"/>
          <w:b w:val="1"/>
          <w:bCs w:val="1"/>
          <w:color w:val="auto"/>
        </w:rPr>
        <w:t>Borrower</w:t>
      </w:r>
      <w:r>
        <w:rPr>
          <w:rFonts w:ascii="Arial" w:cs="Arial" w:eastAsia="Arial" w:hAnsi="Arial"/>
          <w:sz w:val="17"/>
          <w:szCs w:val="17"/>
          <w:color w:val="auto"/>
        </w:rPr>
        <w:t>”), hereby certifies that in accordance with the terms and conditions of the Loan and Security Agreement by and among Borrower, Collateral Agent, and the Lenders from time to time party thereto (the “</w:t>
      </w:r>
      <w:r>
        <w:rPr>
          <w:rFonts w:ascii="Arial" w:cs="Arial" w:eastAsia="Arial" w:hAnsi="Arial"/>
          <w:sz w:val="17"/>
          <w:szCs w:val="17"/>
          <w:b w:val="1"/>
          <w:bCs w:val="1"/>
          <w:color w:val="auto"/>
        </w:rPr>
        <w:t>Loan Agreement</w:t>
      </w:r>
      <w:r>
        <w:rPr>
          <w:rFonts w:ascii="Arial" w:cs="Arial" w:eastAsia="Arial" w:hAnsi="Arial"/>
          <w:sz w:val="17"/>
          <w:szCs w:val="17"/>
          <w:color w:val="auto"/>
        </w:rPr>
        <w:t>;” capitalized terms used but not otherwise defined herein shall have the meanings given them in the Loan Agreement),</w:t>
      </w:r>
    </w:p>
    <w:p>
      <w:pPr>
        <w:spacing w:after="0" w:line="162" w:lineRule="exact"/>
        <w:rPr>
          <w:sz w:val="20"/>
          <w:szCs w:val="20"/>
          <w:color w:val="auto"/>
        </w:rPr>
      </w:pPr>
    </w:p>
    <w:p>
      <w:pPr>
        <w:ind w:left="460"/>
        <w:spacing w:after="0"/>
        <w:tabs>
          <w:tab w:leader="none" w:pos="5860" w:val="left"/>
        </w:tabs>
        <w:rPr>
          <w:sz w:val="20"/>
          <w:szCs w:val="20"/>
          <w:color w:val="auto"/>
        </w:rPr>
      </w:pPr>
      <w:r>
        <w:rPr>
          <w:rFonts w:ascii="Arial" w:cs="Arial" w:eastAsia="Arial" w:hAnsi="Arial"/>
          <w:sz w:val="18"/>
          <w:szCs w:val="18"/>
          <w:color w:val="auto"/>
        </w:rPr>
        <w:t>(a) Borrower is in complete compliance for the period ending</w:t>
      </w:r>
      <w:r>
        <w:rPr>
          <w:sz w:val="20"/>
          <w:szCs w:val="20"/>
          <w:color w:val="auto"/>
        </w:rPr>
        <w:tab/>
      </w:r>
      <w:r>
        <w:rPr>
          <w:rFonts w:ascii="Arial" w:cs="Arial" w:eastAsia="Arial" w:hAnsi="Arial"/>
          <w:sz w:val="16"/>
          <w:szCs w:val="16"/>
          <w:color w:val="auto"/>
        </w:rPr>
        <w:t>with all required covenants except as noted below;</w:t>
      </w:r>
    </w:p>
    <w:p>
      <w:pPr>
        <w:spacing w:after="0" w:line="225" w:lineRule="exact"/>
        <w:rPr>
          <w:sz w:val="20"/>
          <w:szCs w:val="20"/>
          <w:color w:val="auto"/>
        </w:rPr>
      </w:pPr>
    </w:p>
    <w:p>
      <w:pPr>
        <w:ind w:left="720" w:hanging="256"/>
        <w:spacing w:after="0"/>
        <w:tabs>
          <w:tab w:leader="none" w:pos="7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225" w:lineRule="exact"/>
        <w:rPr>
          <w:rFonts w:ascii="Arial" w:cs="Arial" w:eastAsia="Arial" w:hAnsi="Arial"/>
          <w:sz w:val="18"/>
          <w:szCs w:val="18"/>
          <w:color w:val="auto"/>
        </w:rPr>
      </w:pPr>
    </w:p>
    <w:p>
      <w:pPr>
        <w:ind w:right="100" w:firstLine="464"/>
        <w:spacing w:after="0" w:line="279" w:lineRule="auto"/>
        <w:tabs>
          <w:tab w:leader="none" w:pos="701" w:val="left"/>
        </w:tabs>
        <w:numPr>
          <w:ilvl w:val="0"/>
          <w:numId w:val="250"/>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ind w:firstLine="464"/>
        <w:spacing w:after="0" w:line="264" w:lineRule="auto"/>
        <w:tabs>
          <w:tab w:leader="none" w:pos="71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1" w:lineRule="exact"/>
        <w:rPr>
          <w:rFonts w:ascii="Arial" w:cs="Arial" w:eastAsia="Arial" w:hAnsi="Arial"/>
          <w:sz w:val="18"/>
          <w:szCs w:val="18"/>
          <w:color w:val="auto"/>
        </w:rPr>
      </w:pPr>
    </w:p>
    <w:p>
      <w:pPr>
        <w:ind w:right="380" w:firstLine="464"/>
        <w:spacing w:after="0" w:line="277" w:lineRule="auto"/>
        <w:tabs>
          <w:tab w:leader="none" w:pos="70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spacing w:after="0"/>
              <w:rPr>
                <w:sz w:val="16"/>
                <w:szCs w:val="16"/>
                <w:color w:val="auto"/>
              </w:rPr>
            </w:pPr>
          </w:p>
        </w:tc>
        <w:tc>
          <w:tcPr>
            <w:tcW w:w="4040" w:type="dxa"/>
            <w:vAlign w:val="bottom"/>
          </w:tcPr>
          <w:p>
            <w:pPr>
              <w:ind w:left="1480"/>
              <w:spacing w:after="0"/>
              <w:rPr>
                <w:sz w:val="20"/>
                <w:szCs w:val="20"/>
                <w:color w:val="auto"/>
              </w:rPr>
            </w:pPr>
            <w:r>
              <w:rPr>
                <w:rFonts w:ascii="Arial" w:cs="Arial" w:eastAsia="Arial" w:hAnsi="Arial"/>
                <w:sz w:val="14"/>
                <w:szCs w:val="14"/>
                <w:b w:val="1"/>
                <w:bCs w:val="1"/>
                <w:color w:val="auto"/>
              </w:rPr>
              <w:t>Reporting Covenant</w:t>
            </w:r>
          </w:p>
        </w:tc>
        <w:tc>
          <w:tcPr>
            <w:tcW w:w="3780" w:type="dxa"/>
            <w:vAlign w:val="bottom"/>
          </w:tcPr>
          <w:p>
            <w:pPr>
              <w:ind w:left="1620"/>
              <w:spacing w:after="0"/>
              <w:rPr>
                <w:sz w:val="20"/>
                <w:szCs w:val="20"/>
                <w:color w:val="auto"/>
              </w:rPr>
            </w:pPr>
            <w:r>
              <w:rPr>
                <w:rFonts w:ascii="Arial" w:cs="Arial" w:eastAsia="Arial" w:hAnsi="Arial"/>
                <w:sz w:val="14"/>
                <w:szCs w:val="14"/>
                <w:b w:val="1"/>
                <w:bCs w:val="1"/>
                <w:color w:val="auto"/>
              </w:rPr>
              <w:t>Requirement</w:t>
            </w:r>
          </w:p>
        </w:tc>
        <w:tc>
          <w:tcPr>
            <w:tcW w:w="1680" w:type="dxa"/>
            <w:vAlign w:val="bottom"/>
          </w:tcPr>
          <w:p>
            <w:pPr>
              <w:ind w:left="380"/>
              <w:spacing w:after="0"/>
              <w:rPr>
                <w:sz w:val="20"/>
                <w:szCs w:val="20"/>
                <w:color w:val="auto"/>
              </w:rPr>
            </w:pPr>
            <w:r>
              <w:rPr>
                <w:rFonts w:ascii="Arial" w:cs="Arial" w:eastAsia="Arial" w:hAnsi="Arial"/>
                <w:sz w:val="14"/>
                <w:szCs w:val="14"/>
                <w:b w:val="1"/>
                <w:bCs w:val="1"/>
                <w:color w:val="auto"/>
              </w:rPr>
              <w:t>Actual</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Complies</w:t>
            </w:r>
          </w:p>
        </w:tc>
        <w:tc>
          <w:tcPr>
            <w:tcW w:w="480" w:type="dxa"/>
            <w:vAlign w:val="bottom"/>
          </w:tcPr>
          <w:p>
            <w:pPr>
              <w:spacing w:after="0"/>
              <w:rPr>
                <w:sz w:val="16"/>
                <w:szCs w:val="16"/>
                <w:color w:val="auto"/>
              </w:rPr>
            </w:pPr>
          </w:p>
        </w:tc>
      </w:tr>
      <w:tr>
        <w:trPr>
          <w:trHeight w:val="309"/>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1)</w:t>
            </w:r>
          </w:p>
        </w:tc>
        <w:tc>
          <w:tcPr>
            <w:tcW w:w="4040" w:type="dxa"/>
            <w:vAlign w:val="bottom"/>
          </w:tcPr>
          <w:p>
            <w:pPr>
              <w:ind w:left="160"/>
              <w:spacing w:after="0"/>
              <w:rPr>
                <w:sz w:val="20"/>
                <w:szCs w:val="20"/>
                <w:color w:val="auto"/>
              </w:rPr>
            </w:pPr>
            <w:r>
              <w:rPr>
                <w:rFonts w:ascii="Arial" w:cs="Arial" w:eastAsia="Arial" w:hAnsi="Arial"/>
                <w:sz w:val="18"/>
                <w:szCs w:val="18"/>
                <w:color w:val="auto"/>
              </w:rPr>
              <w:t>Financial statements</w:t>
            </w:r>
          </w:p>
        </w:tc>
        <w:tc>
          <w:tcPr>
            <w:tcW w:w="3780" w:type="dxa"/>
            <w:vAlign w:val="bottom"/>
          </w:tcPr>
          <w:p>
            <w:pPr>
              <w:ind w:left="140"/>
              <w:spacing w:after="0"/>
              <w:rPr>
                <w:sz w:val="20"/>
                <w:szCs w:val="20"/>
                <w:color w:val="auto"/>
              </w:rPr>
            </w:pPr>
            <w:r>
              <w:rPr>
                <w:rFonts w:ascii="Arial" w:cs="Arial" w:eastAsia="Arial" w:hAnsi="Arial"/>
                <w:sz w:val="18"/>
                <w:szCs w:val="18"/>
                <w:color w:val="auto"/>
              </w:rPr>
              <w:t>Monthly within 30 days</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2)</w:t>
            </w:r>
          </w:p>
        </w:tc>
        <w:tc>
          <w:tcPr>
            <w:tcW w:w="4040" w:type="dxa"/>
            <w:vAlign w:val="bottom"/>
          </w:tcPr>
          <w:p>
            <w:pPr>
              <w:ind w:left="160"/>
              <w:spacing w:after="0"/>
              <w:rPr>
                <w:sz w:val="20"/>
                <w:szCs w:val="20"/>
                <w:color w:val="auto"/>
              </w:rPr>
            </w:pPr>
            <w:r>
              <w:rPr>
                <w:rFonts w:ascii="Arial" w:cs="Arial" w:eastAsia="Arial" w:hAnsi="Arial"/>
                <w:sz w:val="18"/>
                <w:szCs w:val="18"/>
                <w:color w:val="auto"/>
              </w:rPr>
              <w:t>Annual (CPA Audited) statements</w:t>
            </w:r>
          </w:p>
        </w:tc>
        <w:tc>
          <w:tcPr>
            <w:tcW w:w="3780" w:type="dxa"/>
            <w:vAlign w:val="bottom"/>
          </w:tcPr>
          <w:p>
            <w:pPr>
              <w:ind w:left="140"/>
              <w:spacing w:after="0"/>
              <w:rPr>
                <w:sz w:val="20"/>
                <w:szCs w:val="20"/>
                <w:color w:val="auto"/>
              </w:rPr>
            </w:pPr>
            <w:r>
              <w:rPr>
                <w:rFonts w:ascii="Arial" w:cs="Arial" w:eastAsia="Arial" w:hAnsi="Arial"/>
                <w:sz w:val="18"/>
                <w:szCs w:val="18"/>
                <w:color w:val="auto"/>
              </w:rPr>
              <w:t>Within 180 days after FYE</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r>
        <w:trPr>
          <w:trHeight w:val="310"/>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w:t>
            </w:r>
          </w:p>
        </w:tc>
        <w:tc>
          <w:tcPr>
            <w:tcW w:w="4040" w:type="dxa"/>
            <w:vAlign w:val="bottom"/>
          </w:tcPr>
          <w:p>
            <w:pPr>
              <w:ind w:left="160"/>
              <w:spacing w:after="0"/>
              <w:rPr>
                <w:sz w:val="20"/>
                <w:szCs w:val="20"/>
                <w:color w:val="auto"/>
              </w:rPr>
            </w:pPr>
            <w:r>
              <w:rPr>
                <w:rFonts w:ascii="Arial" w:cs="Arial" w:eastAsia="Arial" w:hAnsi="Arial"/>
                <w:sz w:val="18"/>
                <w:szCs w:val="18"/>
                <w:color w:val="auto"/>
                <w:w w:val="93"/>
              </w:rPr>
              <w:t>Annual Financial Projections/Budget (prepared on a</w:t>
            </w:r>
          </w:p>
        </w:tc>
        <w:tc>
          <w:tcPr>
            <w:tcW w:w="3780" w:type="dxa"/>
            <w:vAlign w:val="bottom"/>
          </w:tcPr>
          <w:p>
            <w:pPr>
              <w:ind w:left="140"/>
              <w:spacing w:after="0"/>
              <w:rPr>
                <w:sz w:val="20"/>
                <w:szCs w:val="20"/>
                <w:color w:val="auto"/>
              </w:rPr>
            </w:pPr>
            <w:r>
              <w:rPr>
                <w:rFonts w:ascii="Arial" w:cs="Arial" w:eastAsia="Arial" w:hAnsi="Arial"/>
                <w:sz w:val="18"/>
                <w:szCs w:val="18"/>
                <w:color w:val="auto"/>
              </w:rPr>
              <w:t>Annually (within 10 days of FYE), and when</w:t>
            </w:r>
          </w:p>
        </w:tc>
        <w:tc>
          <w:tcPr>
            <w:tcW w:w="1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4040" w:type="dxa"/>
            <w:vAlign w:val="bottom"/>
          </w:tcPr>
          <w:p>
            <w:pPr>
              <w:ind w:left="160"/>
              <w:spacing w:after="0"/>
              <w:rPr>
                <w:sz w:val="20"/>
                <w:szCs w:val="20"/>
                <w:color w:val="auto"/>
              </w:rPr>
            </w:pPr>
            <w:r>
              <w:rPr>
                <w:rFonts w:ascii="Arial" w:cs="Arial" w:eastAsia="Arial" w:hAnsi="Arial"/>
                <w:sz w:val="18"/>
                <w:szCs w:val="18"/>
                <w:color w:val="auto"/>
              </w:rPr>
              <w:t>monthly basis)</w:t>
            </w:r>
          </w:p>
        </w:tc>
        <w:tc>
          <w:tcPr>
            <w:tcW w:w="3780" w:type="dxa"/>
            <w:vAlign w:val="bottom"/>
          </w:tcPr>
          <w:p>
            <w:pPr>
              <w:ind w:left="140"/>
              <w:spacing w:after="0"/>
              <w:rPr>
                <w:sz w:val="20"/>
                <w:szCs w:val="20"/>
                <w:color w:val="auto"/>
              </w:rPr>
            </w:pPr>
            <w:r>
              <w:rPr>
                <w:rFonts w:ascii="Arial" w:cs="Arial" w:eastAsia="Arial" w:hAnsi="Arial"/>
                <w:sz w:val="18"/>
                <w:szCs w:val="18"/>
                <w:color w:val="auto"/>
              </w:rPr>
              <w:t>revised</w:t>
            </w:r>
          </w:p>
        </w:tc>
        <w:tc>
          <w:tcPr>
            <w:tcW w:w="1680" w:type="dxa"/>
            <w:vAlign w:val="bottom"/>
          </w:tcPr>
          <w:p>
            <w:pPr>
              <w:ind w:left="1240"/>
              <w:spacing w:after="0"/>
              <w:rPr>
                <w:sz w:val="20"/>
                <w:szCs w:val="20"/>
                <w:color w:val="auto"/>
              </w:rPr>
            </w:pPr>
            <w:r>
              <w:rPr>
                <w:rFonts w:ascii="Arial" w:cs="Arial" w:eastAsia="Arial" w:hAnsi="Arial"/>
                <w:sz w:val="18"/>
                <w:szCs w:val="18"/>
                <w:color w:val="auto"/>
              </w:rPr>
              <w:t>Yes</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80" w:type="dxa"/>
            <w:vAlign w:val="bottom"/>
          </w:tcPr>
          <w:p>
            <w:pPr>
              <w:ind w:left="160"/>
              <w:spacing w:after="0"/>
              <w:rPr>
                <w:sz w:val="20"/>
                <w:szCs w:val="20"/>
                <w:color w:val="auto"/>
              </w:rPr>
            </w:pPr>
            <w:r>
              <w:rPr>
                <w:rFonts w:ascii="Arial" w:cs="Arial" w:eastAsia="Arial" w:hAnsi="Arial"/>
                <w:sz w:val="18"/>
                <w:szCs w:val="18"/>
                <w:color w:val="auto"/>
                <w:w w:val="99"/>
              </w:rPr>
              <w:t>N/A</w:t>
            </w:r>
          </w:p>
        </w:tc>
      </w:tr>
    </w:tbl>
    <w:p>
      <w:pPr>
        <w:sectPr>
          <w:pgSz w:w="11900" w:h="16838" w:orient="portrait"/>
          <w:cols w:equalWidth="0" w:num="1">
            <w:col w:w="11380"/>
          </w:cols>
          <w:pgMar w:left="240" w:top="270" w:right="279" w:bottom="1440" w:gutter="0" w:footer="0" w:header="0"/>
        </w:sectPr>
      </w:pPr>
    </w:p>
    <w:bookmarkStart w:id="284" w:name="page285"/>
    <w:bookmarkEnd w:id="2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4)</w:t>
            </w:r>
          </w:p>
        </w:tc>
        <w:tc>
          <w:tcPr>
            <w:tcW w:w="4080" w:type="dxa"/>
            <w:vAlign w:val="bottom"/>
          </w:tcPr>
          <w:p>
            <w:pPr>
              <w:ind w:left="160"/>
              <w:spacing w:after="0"/>
              <w:rPr>
                <w:sz w:val="20"/>
                <w:szCs w:val="20"/>
                <w:color w:val="auto"/>
              </w:rPr>
            </w:pPr>
            <w:r>
              <w:rPr>
                <w:rFonts w:ascii="Arial" w:cs="Arial" w:eastAsia="Arial" w:hAnsi="Arial"/>
                <w:sz w:val="18"/>
                <w:szCs w:val="18"/>
                <w:color w:val="auto"/>
              </w:rPr>
              <w:t>A/R &amp; A/P agings</w:t>
            </w:r>
          </w:p>
        </w:tc>
        <w:tc>
          <w:tcPr>
            <w:tcW w:w="3360" w:type="dxa"/>
            <w:vAlign w:val="bottom"/>
          </w:tcPr>
          <w:p>
            <w:pPr>
              <w:ind w:left="100"/>
              <w:spacing w:after="0"/>
              <w:rPr>
                <w:sz w:val="20"/>
                <w:szCs w:val="20"/>
                <w:color w:val="auto"/>
              </w:rPr>
            </w:pPr>
            <w:r>
              <w:rPr>
                <w:rFonts w:ascii="Arial" w:cs="Arial" w:eastAsia="Arial" w:hAnsi="Arial"/>
                <w:sz w:val="18"/>
                <w:szCs w:val="18"/>
                <w:color w:val="auto"/>
              </w:rPr>
              <w:t>If applicable</w:t>
            </w:r>
          </w:p>
        </w:tc>
        <w:tc>
          <w:tcPr>
            <w:tcW w:w="1200" w:type="dxa"/>
            <w:vAlign w:val="bottom"/>
          </w:tcPr>
          <w:p>
            <w:pPr>
              <w:spacing w:after="0"/>
              <w:rPr>
                <w:sz w:val="20"/>
                <w:szCs w:val="20"/>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5)</w:t>
            </w:r>
          </w:p>
        </w:tc>
        <w:tc>
          <w:tcPr>
            <w:tcW w:w="4080" w:type="dxa"/>
            <w:vAlign w:val="bottom"/>
          </w:tcPr>
          <w:p>
            <w:pPr>
              <w:ind w:left="160"/>
              <w:spacing w:after="0"/>
              <w:rPr>
                <w:sz w:val="20"/>
                <w:szCs w:val="20"/>
                <w:color w:val="auto"/>
              </w:rPr>
            </w:pPr>
            <w:r>
              <w:rPr>
                <w:rFonts w:ascii="Arial" w:cs="Arial" w:eastAsia="Arial" w:hAnsi="Arial"/>
                <w:sz w:val="18"/>
                <w:szCs w:val="18"/>
                <w:color w:val="auto"/>
              </w:rPr>
              <w:t>8-K, 10-K and 10-Q Filings</w:t>
            </w:r>
          </w:p>
        </w:tc>
        <w:tc>
          <w:tcPr>
            <w:tcW w:w="3360" w:type="dxa"/>
            <w:vAlign w:val="bottom"/>
          </w:tcPr>
          <w:p>
            <w:pPr>
              <w:ind w:left="100"/>
              <w:spacing w:after="0"/>
              <w:rPr>
                <w:sz w:val="20"/>
                <w:szCs w:val="20"/>
                <w:color w:val="auto"/>
              </w:rPr>
            </w:pPr>
            <w:r>
              <w:rPr>
                <w:rFonts w:ascii="Arial" w:cs="Arial" w:eastAsia="Arial" w:hAnsi="Arial"/>
                <w:sz w:val="18"/>
                <w:szCs w:val="18"/>
                <w:color w:val="auto"/>
              </w:rPr>
              <w:t>If applicable, within 5 days of filing</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6)</w:t>
            </w:r>
          </w:p>
        </w:tc>
        <w:tc>
          <w:tcPr>
            <w:tcW w:w="4080" w:type="dxa"/>
            <w:vAlign w:val="bottom"/>
          </w:tcPr>
          <w:p>
            <w:pPr>
              <w:ind w:left="160"/>
              <w:spacing w:after="0"/>
              <w:rPr>
                <w:sz w:val="20"/>
                <w:szCs w:val="20"/>
                <w:color w:val="auto"/>
              </w:rPr>
            </w:pPr>
            <w:r>
              <w:rPr>
                <w:rFonts w:ascii="Arial" w:cs="Arial" w:eastAsia="Arial" w:hAnsi="Arial"/>
                <w:sz w:val="18"/>
                <w:szCs w:val="18"/>
                <w:color w:val="auto"/>
              </w:rPr>
              <w:t>Compliance Certificate</w:t>
            </w:r>
          </w:p>
        </w:tc>
        <w:tc>
          <w:tcPr>
            <w:tcW w:w="3360" w:type="dxa"/>
            <w:vAlign w:val="bottom"/>
          </w:tcPr>
          <w:p>
            <w:pPr>
              <w:ind w:left="100"/>
              <w:spacing w:after="0"/>
              <w:rPr>
                <w:sz w:val="20"/>
                <w:szCs w:val="20"/>
                <w:color w:val="auto"/>
              </w:rPr>
            </w:pPr>
            <w:r>
              <w:rPr>
                <w:rFonts w:ascii="Arial" w:cs="Arial" w:eastAsia="Arial" w:hAnsi="Arial"/>
                <w:sz w:val="18"/>
                <w:szCs w:val="18"/>
                <w:color w:val="auto"/>
              </w:rPr>
              <w:t>Monthly within 30 days</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7)</w:t>
            </w:r>
          </w:p>
        </w:tc>
        <w:tc>
          <w:tcPr>
            <w:tcW w:w="4080" w:type="dxa"/>
            <w:vAlign w:val="bottom"/>
          </w:tcPr>
          <w:p>
            <w:pPr>
              <w:ind w:left="160"/>
              <w:spacing w:after="0"/>
              <w:rPr>
                <w:sz w:val="20"/>
                <w:szCs w:val="20"/>
                <w:color w:val="auto"/>
              </w:rPr>
            </w:pPr>
            <w:r>
              <w:rPr>
                <w:rFonts w:ascii="Arial" w:cs="Arial" w:eastAsia="Arial" w:hAnsi="Arial"/>
                <w:sz w:val="18"/>
                <w:szCs w:val="18"/>
                <w:color w:val="auto"/>
              </w:rPr>
              <w:t>IP Report</w:t>
            </w:r>
          </w:p>
        </w:tc>
        <w:tc>
          <w:tcPr>
            <w:tcW w:w="3360" w:type="dxa"/>
            <w:vAlign w:val="bottom"/>
          </w:tcPr>
          <w:p>
            <w:pPr>
              <w:ind w:left="100"/>
              <w:spacing w:after="0"/>
              <w:rPr>
                <w:sz w:val="20"/>
                <w:szCs w:val="20"/>
                <w:color w:val="auto"/>
              </w:rPr>
            </w:pPr>
            <w:r>
              <w:rPr>
                <w:rFonts w:ascii="Arial" w:cs="Arial" w:eastAsia="Arial" w:hAnsi="Arial"/>
                <w:sz w:val="18"/>
                <w:szCs w:val="18"/>
                <w:color w:val="auto"/>
              </w:rPr>
              <w:t>When required</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24"/>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8)</w:t>
            </w:r>
          </w:p>
        </w:tc>
        <w:tc>
          <w:tcPr>
            <w:tcW w:w="4080" w:type="dxa"/>
            <w:vAlign w:val="bottom"/>
          </w:tcPr>
          <w:p>
            <w:pPr>
              <w:ind w:left="160"/>
              <w:spacing w:after="0"/>
              <w:rPr>
                <w:sz w:val="20"/>
                <w:szCs w:val="20"/>
                <w:color w:val="auto"/>
              </w:rPr>
            </w:pPr>
            <w:r>
              <w:rPr>
                <w:rFonts w:ascii="Arial" w:cs="Arial" w:eastAsia="Arial" w:hAnsi="Arial"/>
                <w:sz w:val="18"/>
                <w:szCs w:val="18"/>
                <w:color w:val="auto"/>
              </w:rPr>
              <w:t>Non-Core IP Report</w:t>
            </w:r>
          </w:p>
        </w:tc>
        <w:tc>
          <w:tcPr>
            <w:tcW w:w="3360" w:type="dxa"/>
            <w:vAlign w:val="bottom"/>
          </w:tcPr>
          <w:p>
            <w:pPr>
              <w:ind w:left="100"/>
              <w:spacing w:after="0"/>
              <w:rPr>
                <w:sz w:val="20"/>
                <w:szCs w:val="20"/>
                <w:color w:val="auto"/>
              </w:rPr>
            </w:pPr>
            <w:r>
              <w:rPr>
                <w:rFonts w:ascii="Arial" w:cs="Arial" w:eastAsia="Arial" w:hAnsi="Arial"/>
                <w:sz w:val="18"/>
                <w:szCs w:val="18"/>
                <w:color w:val="auto"/>
              </w:rPr>
              <w:t>Quarterly</w:t>
            </w:r>
          </w:p>
        </w:tc>
        <w:tc>
          <w:tcPr>
            <w:tcW w:w="1200" w:type="dxa"/>
            <w:vAlign w:val="bottom"/>
          </w:tcPr>
          <w:p>
            <w:pPr>
              <w:spacing w:after="0"/>
              <w:rPr>
                <w:sz w:val="24"/>
                <w:szCs w:val="24"/>
                <w:color w:val="auto"/>
              </w:rPr>
            </w:pP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r>
        <w:trPr>
          <w:trHeight w:val="310"/>
        </w:trPr>
        <w:tc>
          <w:tcPr>
            <w:tcW w:w="32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9)</w:t>
            </w:r>
          </w:p>
        </w:tc>
        <w:tc>
          <w:tcPr>
            <w:tcW w:w="4080" w:type="dxa"/>
            <w:vAlign w:val="bottom"/>
          </w:tcPr>
          <w:p>
            <w:pPr>
              <w:ind w:left="160"/>
              <w:spacing w:after="0"/>
              <w:rPr>
                <w:sz w:val="20"/>
                <w:szCs w:val="20"/>
                <w:color w:val="auto"/>
              </w:rPr>
            </w:pPr>
            <w:r>
              <w:rPr>
                <w:rFonts w:ascii="Arial" w:cs="Arial" w:eastAsia="Arial" w:hAnsi="Arial"/>
                <w:sz w:val="18"/>
                <w:szCs w:val="18"/>
                <w:color w:val="auto"/>
              </w:rPr>
              <w:t>Total amount of Borrower’s cash and cash</w:t>
            </w:r>
          </w:p>
        </w:tc>
        <w:tc>
          <w:tcPr>
            <w:tcW w:w="3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3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w w:val="91"/>
              </w:rPr>
              <w:t>equivalents at the last day of the measurement period</w:t>
            </w:r>
          </w:p>
        </w:tc>
        <w:tc>
          <w:tcPr>
            <w:tcW w:w="336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60" w:type="dxa"/>
            <w:vAlign w:val="bottom"/>
          </w:tcPr>
          <w:p>
            <w:pPr>
              <w:ind w:left="420"/>
              <w:spacing w:after="0"/>
              <w:rPr>
                <w:sz w:val="20"/>
                <w:szCs w:val="20"/>
                <w:color w:val="auto"/>
              </w:rPr>
            </w:pPr>
            <w:r>
              <w:rPr>
                <w:rFonts w:ascii="Arial" w:cs="Arial" w:eastAsia="Arial" w:hAnsi="Arial"/>
                <w:sz w:val="18"/>
                <w:szCs w:val="18"/>
                <w:color w:val="auto"/>
              </w:rPr>
              <w:t>Yes</w:t>
            </w:r>
          </w:p>
        </w:tc>
        <w:tc>
          <w:tcPr>
            <w:tcW w:w="740" w:type="dxa"/>
            <w:vAlign w:val="bottom"/>
          </w:tcPr>
          <w:p>
            <w:pPr>
              <w:ind w:left="260"/>
              <w:spacing w:after="0"/>
              <w:rPr>
                <w:sz w:val="20"/>
                <w:szCs w:val="20"/>
                <w:color w:val="auto"/>
              </w:rPr>
            </w:pPr>
            <w:r>
              <w:rPr>
                <w:rFonts w:ascii="Arial" w:cs="Arial" w:eastAsia="Arial" w:hAnsi="Arial"/>
                <w:sz w:val="18"/>
                <w:szCs w:val="18"/>
                <w:color w:val="auto"/>
              </w:rPr>
              <w:t>No</w:t>
            </w:r>
          </w:p>
        </w:tc>
        <w:tc>
          <w:tcPr>
            <w:tcW w:w="580" w:type="dxa"/>
            <w:vAlign w:val="bottom"/>
          </w:tcPr>
          <w:p>
            <w:pPr>
              <w:ind w:left="260"/>
              <w:spacing w:after="0"/>
              <w:rPr>
                <w:sz w:val="20"/>
                <w:szCs w:val="20"/>
                <w:color w:val="auto"/>
              </w:rPr>
            </w:pPr>
            <w:r>
              <w:rPr>
                <w:rFonts w:ascii="Arial" w:cs="Arial" w:eastAsia="Arial" w:hAnsi="Arial"/>
                <w:sz w:val="18"/>
                <w:szCs w:val="18"/>
                <w:color w:val="auto"/>
                <w:w w:val="99"/>
              </w:rPr>
              <w:t>N/A</w:t>
            </w:r>
          </w:p>
        </w:tc>
      </w:tr>
    </w:tbl>
    <w:p>
      <w:pPr>
        <w:spacing w:after="0" w:line="94" w:lineRule="exact"/>
        <w:rPr>
          <w:sz w:val="20"/>
          <w:szCs w:val="20"/>
          <w:color w:val="auto"/>
        </w:rPr>
      </w:pPr>
    </w:p>
    <w:p>
      <w:pPr>
        <w:ind w:left="480" w:hanging="472"/>
        <w:spacing w:after="0"/>
        <w:tabs>
          <w:tab w:leader="none" w:pos="480" w:val="left"/>
        </w:tabs>
        <w:numPr>
          <w:ilvl w:val="0"/>
          <w:numId w:val="251"/>
        </w:numPr>
        <w:rPr>
          <w:rFonts w:ascii="Arial" w:cs="Arial" w:eastAsia="Arial" w:hAnsi="Arial"/>
          <w:sz w:val="18"/>
          <w:szCs w:val="18"/>
          <w:b w:val="1"/>
          <w:bCs w:val="1"/>
          <w:color w:val="auto"/>
        </w:rPr>
      </w:pPr>
      <w:r>
        <w:rPr>
          <w:rFonts w:ascii="Arial" w:cs="Arial" w:eastAsia="Arial" w:hAnsi="Arial"/>
          <w:sz w:val="18"/>
          <w:szCs w:val="18"/>
          <w:color w:val="auto"/>
        </w:rPr>
        <w:t>Total amount of Borrower’s Subsidiaries’ cash and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cash equivalents at the last day of the measurement</w:t>
            </w:r>
          </w:p>
        </w:tc>
        <w:tc>
          <w:tcPr>
            <w:tcW w:w="2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period</w:t>
            </w:r>
          </w:p>
        </w:tc>
        <w:tc>
          <w:tcPr>
            <w:tcW w:w="28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160" w:type="dxa"/>
            <w:vAlign w:val="bottom"/>
            <w:gridSpan w:val="2"/>
          </w:tcPr>
          <w:p>
            <w:pPr>
              <w:ind w:left="400"/>
              <w:spacing w:after="0"/>
              <w:rPr>
                <w:sz w:val="20"/>
                <w:szCs w:val="20"/>
                <w:color w:val="auto"/>
              </w:rPr>
            </w:pPr>
            <w:r>
              <w:rPr>
                <w:rFonts w:ascii="Arial" w:cs="Arial" w:eastAsia="Arial" w:hAnsi="Arial"/>
                <w:sz w:val="18"/>
                <w:szCs w:val="18"/>
                <w:color w:val="auto"/>
              </w:rPr>
              <w:t>Yes</w:t>
            </w:r>
          </w:p>
        </w:tc>
        <w:tc>
          <w:tcPr>
            <w:tcW w:w="500" w:type="dxa"/>
            <w:vAlign w:val="bottom"/>
          </w:tcPr>
          <w:p>
            <w:pPr>
              <w:ind w:left="40"/>
              <w:spacing w:after="0"/>
              <w:rPr>
                <w:sz w:val="20"/>
                <w:szCs w:val="20"/>
                <w:color w:val="auto"/>
              </w:rPr>
            </w:pPr>
            <w:r>
              <w:rPr>
                <w:rFonts w:ascii="Arial" w:cs="Arial" w:eastAsia="Arial" w:hAnsi="Arial"/>
                <w:sz w:val="18"/>
                <w:szCs w:val="18"/>
                <w:color w:val="auto"/>
              </w:rPr>
              <w:t>No</w:t>
            </w:r>
          </w:p>
        </w:tc>
        <w:tc>
          <w:tcPr>
            <w:tcW w:w="760" w:type="dxa"/>
            <w:vAlign w:val="bottom"/>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500"/>
        </w:trPr>
        <w:tc>
          <w:tcPr>
            <w:tcW w:w="2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7"/>
              </w:rPr>
              <w:t>Deposit and Securities Accounts</w:t>
            </w: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700" w:type="dxa"/>
            <w:vAlign w:val="bottom"/>
            <w:gridSpan w:val="4"/>
          </w:tcPr>
          <w:p>
            <w:pPr>
              <w:spacing w:after="0"/>
              <w:rPr>
                <w:sz w:val="20"/>
                <w:szCs w:val="20"/>
                <w:color w:val="auto"/>
              </w:rPr>
            </w:pPr>
            <w:r>
              <w:rPr>
                <w:rFonts w:ascii="Arial" w:cs="Arial" w:eastAsia="Arial" w:hAnsi="Arial"/>
                <w:sz w:val="18"/>
                <w:szCs w:val="18"/>
                <w:b w:val="1"/>
                <w:bCs w:val="1"/>
                <w:i w:val="1"/>
                <w:iCs w:val="1"/>
                <w:color w:val="auto"/>
                <w:w w:val="89"/>
              </w:rPr>
              <w:t>(Please list all accounts; attach separate sheet if additional space needed)</w:t>
            </w: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58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Institution Name</w:t>
            </w:r>
          </w:p>
        </w:tc>
        <w:tc>
          <w:tcPr>
            <w:tcW w:w="2840" w:type="dxa"/>
            <w:vAlign w:val="bottom"/>
            <w:vMerge w:val="restart"/>
          </w:tcPr>
          <w:p>
            <w:pPr>
              <w:jc w:val="right"/>
              <w:ind w:right="1419"/>
              <w:spacing w:after="0"/>
              <w:rPr>
                <w:sz w:val="20"/>
                <w:szCs w:val="20"/>
                <w:color w:val="auto"/>
              </w:rPr>
            </w:pPr>
            <w:r>
              <w:rPr>
                <w:rFonts w:ascii="Arial" w:cs="Arial" w:eastAsia="Arial" w:hAnsi="Arial"/>
                <w:sz w:val="14"/>
                <w:szCs w:val="14"/>
                <w:b w:val="1"/>
                <w:bCs w:val="1"/>
                <w:color w:val="auto"/>
              </w:rPr>
              <w:t>Account Number</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New Account?</w:t>
            </w:r>
          </w:p>
        </w:tc>
        <w:tc>
          <w:tcPr>
            <w:tcW w:w="1940" w:type="dxa"/>
            <w:vAlign w:val="bottom"/>
            <w:gridSpan w:val="3"/>
          </w:tcPr>
          <w:p>
            <w:pPr>
              <w:ind w:left="60"/>
              <w:spacing w:after="0"/>
              <w:rPr>
                <w:sz w:val="20"/>
                <w:szCs w:val="20"/>
                <w:color w:val="auto"/>
              </w:rPr>
            </w:pPr>
            <w:r>
              <w:rPr>
                <w:rFonts w:ascii="Arial" w:cs="Arial" w:eastAsia="Arial" w:hAnsi="Arial"/>
                <w:sz w:val="14"/>
                <w:szCs w:val="14"/>
                <w:b w:val="1"/>
                <w:bCs w:val="1"/>
                <w:color w:val="auto"/>
                <w:w w:val="91"/>
              </w:rPr>
              <w:t>Account Control Agreement in</w:t>
            </w: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580" w:type="dxa"/>
            <w:vAlign w:val="bottom"/>
            <w:gridSpan w:val="2"/>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place?</w:t>
            </w: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3)</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4)</w:t>
            </w: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ind w:left="40"/>
              <w:spacing w:after="0"/>
              <w:rPr>
                <w:sz w:val="20"/>
                <w:szCs w:val="20"/>
                <w:color w:val="auto"/>
              </w:rPr>
            </w:pPr>
            <w:r>
              <w:rPr>
                <w:rFonts w:ascii="Arial" w:cs="Arial" w:eastAsia="Arial" w:hAnsi="Arial"/>
                <w:sz w:val="18"/>
                <w:szCs w:val="18"/>
                <w:color w:val="auto"/>
              </w:rPr>
              <w:t>Yes</w:t>
            </w:r>
          </w:p>
        </w:tc>
        <w:tc>
          <w:tcPr>
            <w:tcW w:w="480" w:type="dxa"/>
            <w:vAlign w:val="bottom"/>
          </w:tcPr>
          <w:p>
            <w:pPr>
              <w:ind w:left="140"/>
              <w:spacing w:after="0"/>
              <w:rPr>
                <w:sz w:val="20"/>
                <w:szCs w:val="20"/>
                <w:color w:val="auto"/>
              </w:rPr>
            </w:pPr>
            <w:r>
              <w:rPr>
                <w:rFonts w:ascii="Arial" w:cs="Arial" w:eastAsia="Arial" w:hAnsi="Arial"/>
                <w:sz w:val="18"/>
                <w:szCs w:val="18"/>
                <w:color w:val="auto"/>
              </w:rPr>
              <w:t>No</w:t>
            </w:r>
          </w:p>
        </w:tc>
        <w:tc>
          <w:tcPr>
            <w:tcW w:w="680" w:type="dxa"/>
            <w:vAlign w:val="bottom"/>
          </w:tcPr>
          <w:p>
            <w:pPr>
              <w:ind w:left="360"/>
              <w:spacing w:after="0"/>
              <w:rPr>
                <w:sz w:val="20"/>
                <w:szCs w:val="20"/>
                <w:color w:val="auto"/>
              </w:rPr>
            </w:pPr>
            <w:r>
              <w:rPr>
                <w:rFonts w:ascii="Arial" w:cs="Arial" w:eastAsia="Arial" w:hAnsi="Arial"/>
                <w:sz w:val="18"/>
                <w:szCs w:val="18"/>
                <w:color w:val="auto"/>
                <w:w w:val="96"/>
              </w:rPr>
              <w:t>Yes</w:t>
            </w:r>
          </w:p>
        </w:tc>
        <w:tc>
          <w:tcPr>
            <w:tcW w:w="500" w:type="dxa"/>
            <w:vAlign w:val="bottom"/>
          </w:tcPr>
          <w:p>
            <w:pPr>
              <w:spacing w:after="0"/>
              <w:rPr>
                <w:sz w:val="24"/>
                <w:szCs w:val="24"/>
                <w:color w:val="auto"/>
              </w:rPr>
            </w:pPr>
          </w:p>
        </w:tc>
        <w:tc>
          <w:tcPr>
            <w:tcW w:w="760" w:type="dxa"/>
            <w:vAlign w:val="bottom"/>
          </w:tcPr>
          <w:p>
            <w:pPr>
              <w:ind w:left="2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500"/>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Other Matters</w:t>
            </w: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20" w:type="dxa"/>
            <w:vAlign w:val="bottom"/>
          </w:tcPr>
          <w:p>
            <w:pPr>
              <w:spacing w:after="0"/>
              <w:rPr>
                <w:sz w:val="20"/>
                <w:szCs w:val="20"/>
                <w:color w:val="auto"/>
              </w:rPr>
            </w:pPr>
            <w:r>
              <w:rPr>
                <w:rFonts w:ascii="Arial" w:cs="Arial" w:eastAsia="Arial" w:hAnsi="Arial"/>
                <w:sz w:val="18"/>
                <w:szCs w:val="18"/>
                <w:b w:val="1"/>
                <w:bCs w:val="1"/>
                <w:color w:val="auto"/>
              </w:rPr>
              <w:t>1)</w:t>
            </w: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rPr>
              <w:t>Have there been any changes in management since the last Compliance Certificate?</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Yes</w:t>
            </w:r>
          </w:p>
        </w:tc>
        <w:tc>
          <w:tcPr>
            <w:tcW w:w="50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324"/>
        </w:trPr>
        <w:tc>
          <w:tcPr>
            <w:tcW w:w="3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220" w:type="dxa"/>
            <w:vAlign w:val="bottom"/>
            <w:gridSpan w:val="4"/>
          </w:tcPr>
          <w:p>
            <w:pPr>
              <w:ind w:left="160"/>
              <w:spacing w:after="0"/>
              <w:rPr>
                <w:sz w:val="20"/>
                <w:szCs w:val="20"/>
                <w:color w:val="auto"/>
              </w:rPr>
            </w:pPr>
            <w:r>
              <w:rPr>
                <w:rFonts w:ascii="Arial" w:cs="Arial" w:eastAsia="Arial" w:hAnsi="Arial"/>
                <w:sz w:val="18"/>
                <w:szCs w:val="18"/>
                <w:color w:val="auto"/>
                <w:w w:val="90"/>
              </w:rPr>
              <w:t>Have there been any transfers/sales/disposals/retirement of Collateral or IP prohibited by the Loan Agreement?</w:t>
            </w: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rPr>
              <w:t>Yes</w:t>
            </w:r>
          </w:p>
        </w:tc>
        <w:tc>
          <w:tcPr>
            <w:tcW w:w="500" w:type="dxa"/>
            <w:vAlign w:val="bottom"/>
          </w:tcPr>
          <w:p>
            <w:pPr>
              <w:spacing w:after="0"/>
              <w:rPr>
                <w:sz w:val="24"/>
                <w:szCs w:val="24"/>
                <w:color w:val="auto"/>
              </w:rPr>
            </w:pPr>
          </w:p>
        </w:tc>
        <w:tc>
          <w:tcPr>
            <w:tcW w:w="760" w:type="dxa"/>
            <w:vAlign w:val="bottom"/>
          </w:tcPr>
          <w:p>
            <w:pPr>
              <w:ind w:left="2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80" w:hanging="472"/>
        <w:spacing w:after="0"/>
        <w:tabs>
          <w:tab w:leader="none" w:pos="480" w:val="left"/>
        </w:tabs>
        <w:numPr>
          <w:ilvl w:val="0"/>
          <w:numId w:val="252"/>
        </w:numPr>
        <w:rPr>
          <w:rFonts w:ascii="Arial" w:cs="Arial" w:eastAsia="Arial" w:hAnsi="Arial"/>
          <w:sz w:val="18"/>
          <w:szCs w:val="18"/>
          <w:b w:val="1"/>
          <w:bCs w:val="1"/>
          <w:color w:val="auto"/>
        </w:rPr>
      </w:pPr>
      <w:r>
        <w:rPr>
          <w:rFonts w:ascii="Arial" w:cs="Arial" w:eastAsia="Arial" w:hAnsi="Arial"/>
          <w:sz w:val="18"/>
          <w:szCs w:val="18"/>
          <w:color w:val="auto"/>
        </w:rPr>
        <w:t>Have there been any new or pending claims or causes of action against Borrower that involve more than One Hundred</w:t>
      </w:r>
    </w:p>
    <w:p>
      <w:pPr>
        <w:spacing w:after="0" w:line="23" w:lineRule="exact"/>
        <w:rPr>
          <w:sz w:val="20"/>
          <w:szCs w:val="20"/>
          <w:color w:val="auto"/>
        </w:rPr>
      </w:pPr>
    </w:p>
    <w:p>
      <w:pPr>
        <w:ind w:left="480"/>
        <w:spacing w:after="0"/>
        <w:tabs>
          <w:tab w:leader="none" w:pos="9740" w:val="left"/>
          <w:tab w:leader="none" w:pos="10900" w:val="left"/>
        </w:tabs>
        <w:rPr>
          <w:sz w:val="20"/>
          <w:szCs w:val="20"/>
          <w:color w:val="auto"/>
        </w:rPr>
      </w:pPr>
      <w:r>
        <w:rPr>
          <w:rFonts w:ascii="Arial" w:cs="Arial" w:eastAsia="Arial" w:hAnsi="Arial"/>
          <w:sz w:val="18"/>
          <w:szCs w:val="18"/>
          <w:color w:val="auto"/>
        </w:rPr>
        <w:t>Thousand Dollars ($100,000.00)?</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103" w:lineRule="exact"/>
        <w:rPr>
          <w:sz w:val="20"/>
          <w:szCs w:val="20"/>
          <w:color w:val="auto"/>
        </w:rPr>
      </w:pPr>
    </w:p>
    <w:p>
      <w:pPr>
        <w:ind w:left="480" w:right="2120" w:hanging="472"/>
        <w:spacing w:after="0" w:line="286" w:lineRule="auto"/>
        <w:tabs>
          <w:tab w:leader="none" w:pos="480" w:val="left"/>
        </w:tabs>
        <w:numPr>
          <w:ilvl w:val="0"/>
          <w:numId w:val="253"/>
        </w:numPr>
        <w:rPr>
          <w:rFonts w:ascii="Arial" w:cs="Arial" w:eastAsia="Arial" w:hAnsi="Arial"/>
          <w:sz w:val="16"/>
          <w:szCs w:val="16"/>
          <w:b w:val="1"/>
          <w:bCs w:val="1"/>
          <w:color w:val="auto"/>
        </w:rPr>
      </w:pPr>
      <w:r>
        <w:rPr>
          <w:rFonts w:ascii="Arial" w:cs="Arial" w:eastAsia="Arial" w:hAnsi="Arial"/>
          <w:sz w:val="16"/>
          <w:szCs w:val="16"/>
          <w:color w:val="auto"/>
        </w:rPr>
        <w:t>Have there been any (A) amendments of or other changes to the Operating Documents or (B) material changes to the capitalization table of Borrower and to the Operating Documents of Borrower or any of its Subsidiaries (other than with respect to the grant, exercise, cancellation or modification of options to purchase Borrower’s Common Stock outstanding or hereafter issued by Borrower from the option pool set forth on the capitalization table of Borrower delivered to Bank in</w:t>
      </w:r>
    </w:p>
    <w:p>
      <w:pPr>
        <w:spacing w:after="0" w:line="2" w:lineRule="exact"/>
        <w:rPr>
          <w:sz w:val="20"/>
          <w:szCs w:val="20"/>
          <w:color w:val="auto"/>
        </w:rPr>
      </w:pPr>
    </w:p>
    <w:p>
      <w:pPr>
        <w:ind w:left="480" w:right="2120"/>
        <w:spacing w:after="0" w:line="281" w:lineRule="auto"/>
        <w:rPr>
          <w:sz w:val="20"/>
          <w:szCs w:val="20"/>
          <w:color w:val="auto"/>
        </w:rPr>
      </w:pPr>
      <w:r>
        <w:rPr>
          <w:rFonts w:ascii="Arial" w:cs="Arial" w:eastAsia="Arial" w:hAnsi="Arial"/>
          <w:sz w:val="16"/>
          <w:szCs w:val="16"/>
          <w:color w:val="auto"/>
        </w:rPr>
        <w:t>connection with the Perfection Certificate or upon exercise of warrants to purchase capital stock of the Borrower reflected upon such capitalization table)? If yes, provide copies of any such amendments or changes with this Compliance</w:t>
      </w:r>
    </w:p>
    <w:p>
      <w:pPr>
        <w:sectPr>
          <w:pgSz w:w="11900" w:h="16838" w:orient="portrait"/>
          <w:cols w:equalWidth="0" w:num="1">
            <w:col w:w="11400"/>
          </w:cols>
          <w:pgMar w:left="240" w:top="378" w:right="259" w:bottom="1440" w:gutter="0" w:footer="0" w:header="0"/>
        </w:sectPr>
      </w:pP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w:t>
      </w:r>
    </w:p>
    <w:p>
      <w:pPr>
        <w:sectPr>
          <w:pgSz w:w="11900" w:h="16838" w:orient="portrait"/>
          <w:cols w:equalWidth="0" w:num="3">
            <w:col w:w="9040" w:space="720"/>
            <w:col w:w="440" w:space="720"/>
            <w:col w:w="480"/>
          </w:cols>
          <w:pgMar w:left="240" w:top="378" w:right="259" w:bottom="1440" w:gutter="0" w:footer="0" w:header="0"/>
          <w:type w:val="continuous"/>
        </w:sectPr>
      </w:pPr>
    </w:p>
    <w:bookmarkStart w:id="285" w:name="page286"/>
    <w:bookmarkEnd w:id="28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Exceptions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8"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1820" w:type="dxa"/>
            <w:vAlign w:val="bottom"/>
            <w:gridSpan w:val="2"/>
          </w:tcPr>
          <w:p>
            <w:pPr>
              <w:spacing w:after="0"/>
              <w:rPr>
                <w:sz w:val="20"/>
                <w:szCs w:val="20"/>
                <w:color w:val="auto"/>
              </w:rPr>
            </w:pPr>
            <w:r>
              <w:rPr>
                <w:rFonts w:ascii="Arial" w:cs="Arial" w:eastAsia="Arial" w:hAnsi="Arial"/>
                <w:sz w:val="18"/>
                <w:szCs w:val="18"/>
                <w:b w:val="1"/>
                <w:bCs w:val="1"/>
                <w:color w:val="auto"/>
              </w:rPr>
              <w:t>LENDER USE ONLY</w:t>
            </w: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1220" w:type="dxa"/>
            <w:vAlign w:val="bottom"/>
          </w:tcPr>
          <w:p>
            <w:pPr>
              <w:spacing w:after="0"/>
              <w:rPr>
                <w:sz w:val="20"/>
                <w:szCs w:val="20"/>
                <w:color w:val="auto"/>
              </w:rPr>
            </w:pPr>
            <w:r>
              <w:rPr>
                <w:rFonts w:ascii="Arial" w:cs="Arial" w:eastAsia="Arial" w:hAnsi="Arial"/>
                <w:sz w:val="18"/>
                <w:szCs w:val="18"/>
                <w:color w:val="auto"/>
              </w:rPr>
              <w:t>Received by:</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8"/>
              </w:rPr>
              <w:t>Date:</w:t>
            </w:r>
          </w:p>
        </w:tc>
      </w:tr>
      <w:tr>
        <w:trPr>
          <w:trHeight w:val="331"/>
        </w:trPr>
        <w:tc>
          <w:tcPr>
            <w:tcW w:w="1220" w:type="dxa"/>
            <w:vAlign w:val="bottom"/>
          </w:tcPr>
          <w:p>
            <w:pPr>
              <w:spacing w:after="0"/>
              <w:rPr>
                <w:sz w:val="20"/>
                <w:szCs w:val="20"/>
                <w:color w:val="auto"/>
              </w:rPr>
            </w:pPr>
            <w:r>
              <w:rPr>
                <w:rFonts w:ascii="Arial" w:cs="Arial" w:eastAsia="Arial" w:hAnsi="Arial"/>
                <w:sz w:val="18"/>
                <w:szCs w:val="18"/>
                <w:color w:val="auto"/>
              </w:rPr>
              <w:t>Verified by:</w:t>
            </w: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00" w:type="dxa"/>
            <w:vAlign w:val="bottom"/>
          </w:tcPr>
          <w:p>
            <w:pPr>
              <w:ind w:left="100"/>
              <w:spacing w:after="0"/>
              <w:rPr>
                <w:sz w:val="20"/>
                <w:szCs w:val="20"/>
                <w:color w:val="auto"/>
              </w:rPr>
            </w:pPr>
            <w:r>
              <w:rPr>
                <w:rFonts w:ascii="Arial" w:cs="Arial" w:eastAsia="Arial" w:hAnsi="Arial"/>
                <w:sz w:val="18"/>
                <w:szCs w:val="18"/>
                <w:color w:val="auto"/>
                <w:w w:val="88"/>
              </w:rPr>
              <w:t>Date:</w:t>
            </w:r>
          </w:p>
        </w:tc>
      </w:tr>
      <w:tr>
        <w:trPr>
          <w:trHeight w:val="331"/>
        </w:trPr>
        <w:tc>
          <w:tcPr>
            <w:tcW w:w="1820" w:type="dxa"/>
            <w:vAlign w:val="bottom"/>
            <w:gridSpan w:val="2"/>
          </w:tcPr>
          <w:p>
            <w:pPr>
              <w:spacing w:after="0"/>
              <w:rPr>
                <w:sz w:val="20"/>
                <w:szCs w:val="20"/>
                <w:color w:val="auto"/>
              </w:rPr>
            </w:pPr>
            <w:r>
              <w:rPr>
                <w:rFonts w:ascii="Arial" w:cs="Arial" w:eastAsia="Arial" w:hAnsi="Arial"/>
                <w:sz w:val="18"/>
                <w:szCs w:val="18"/>
                <w:color w:val="auto"/>
              </w:rPr>
              <w:t>Compliance Status:</w:t>
            </w:r>
          </w:p>
        </w:tc>
        <w:tc>
          <w:tcPr>
            <w:tcW w:w="660" w:type="dxa"/>
            <w:vAlign w:val="bottom"/>
          </w:tcPr>
          <w:p>
            <w:pPr>
              <w:ind w:left="120"/>
              <w:spacing w:after="0"/>
              <w:rPr>
                <w:sz w:val="20"/>
                <w:szCs w:val="20"/>
                <w:color w:val="auto"/>
              </w:rPr>
            </w:pPr>
            <w:r>
              <w:rPr>
                <w:rFonts w:ascii="Arial" w:cs="Arial" w:eastAsia="Arial" w:hAnsi="Arial"/>
                <w:sz w:val="18"/>
                <w:szCs w:val="18"/>
                <w:color w:val="auto"/>
              </w:rPr>
              <w:t>Yes</w:t>
            </w: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-445135</wp:posOffset>
            </wp:positionV>
            <wp:extent cx="119189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91895" cy="8890"/>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-222250</wp:posOffset>
            </wp:positionV>
            <wp:extent cx="11918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ectPr>
          <w:pgSz w:w="11900" w:h="16838" w:orient="portrait"/>
          <w:cols w:equalWidth="0" w:num="1">
            <w:col w:w="11260"/>
          </w:cols>
          <w:pgMar w:left="240" w:top="270" w:right="399" w:bottom="1440" w:gutter="0" w:footer="0" w:header="0"/>
        </w:sectPr>
      </w:pPr>
    </w:p>
    <w:bookmarkStart w:id="286" w:name="page287"/>
    <w:bookmarkEnd w:id="2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Secured Promissory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287" w:name="page288"/>
    <w:bookmarkEnd w:id="28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SECURED PROMISSORY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[A][B][C] Loan)</w:t>
      </w:r>
    </w:p>
    <w:p>
      <w:pPr>
        <w:spacing w:after="0" w:line="238" w:lineRule="exact"/>
        <w:rPr>
          <w:sz w:val="20"/>
          <w:szCs w:val="20"/>
          <w:color w:val="auto"/>
        </w:rPr>
      </w:pPr>
    </w:p>
    <w:p>
      <w:pPr>
        <w:spacing w:after="0"/>
        <w:tabs>
          <w:tab w:leader="none" w:pos="103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Dated: [DATE]</w:t>
      </w:r>
    </w:p>
    <w:p>
      <w:pPr>
        <w:spacing w:after="0" w:line="237" w:lineRule="exact"/>
        <w:rPr>
          <w:sz w:val="20"/>
          <w:szCs w:val="20"/>
          <w:color w:val="auto"/>
        </w:rPr>
      </w:pPr>
    </w:p>
    <w:p>
      <w:pPr>
        <w:ind w:right="240" w:firstLine="456"/>
        <w:spacing w:after="0" w:line="274" w:lineRule="auto"/>
        <w:rPr>
          <w:sz w:val="20"/>
          <w:szCs w:val="20"/>
          <w:color w:val="auto"/>
        </w:rPr>
      </w:pPr>
      <w:r>
        <w:rPr>
          <w:rFonts w:ascii="Arial" w:cs="Arial" w:eastAsia="Arial" w:hAnsi="Arial"/>
          <w:sz w:val="17"/>
          <w:szCs w:val="17"/>
          <w:color w:val="auto"/>
        </w:rPr>
        <w:t>FOR VALUE RECEIVED, the undersigned, ANAPTYSBIO, INC., a Delaware corporation with offices located at 10421 Pacific Center Court, Suite 200, San Diego, CA 92121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[OXFORD FINANCE LLC][SILICON VALLEY BANK]</w:t>
      </w:r>
    </w:p>
    <w:p>
      <w:pPr>
        <w:ind w:right="18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the principal amount of [ ] MILLION DOLLARS ($ ) or such lesser amount as shall equal the outstanding principal balance of the Term [A][B][C] Loan made to Borrower by Lender, plus interest on the aggregate unpaid principal amount of such Term [A][B][C] Loan, at the rates and in accordance with the terms of the Loan and Security Agreement dated December , 2014 by and among Borrower, Lender, Oxford Finance LLC, as Collateral Agent, and the other Lenders from time to time party thereto (as amended, restated, supplemented or otherwise modified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Principal, interest and all other amounts due with respect to the Term [A][B][C]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Loan Agreement, among other things, (a) provides for the making of a secured Term [A][B][C] Loan by Lender to Borrower, and (b) contains provisions for acceleration of the maturity hereof upon the happening of certain stated events.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2.2(c) and Section 2.2(d) of the Loan Agreement.</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This Note and the obligation of Borrower to repay the unpaid principal amount of the Term [A][B][C] Loan, interest on the Term [A][B][C] Loan and all other amounts due Lender under the Loan Agreement is secured under the Loan Agreement.</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Note shall be governed by, and construed and interpreted in accordance with, the internal laws of the State of California.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288" w:name="page289"/>
    <w:bookmarkEnd w:id="28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ectPr>
          <w:pgSz w:w="11900" w:h="16838" w:orient="portrait"/>
          <w:cols w:equalWidth="0" w:num="1">
            <w:col w:w="10480"/>
          </w:cols>
          <w:pgMar w:left="700" w:top="274" w:right="71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Date</w:t>
            </w: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228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Interest Rate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Scheduled</w:t>
            </w:r>
          </w:p>
        </w:tc>
        <w:tc>
          <w:tcPr>
            <w:tcW w:w="206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Notation By</w:t>
            </w:r>
          </w:p>
        </w:tc>
        <w:tc>
          <w:tcPr>
            <w:tcW w:w="0" w:type="dxa"/>
            <w:vAlign w:val="bottom"/>
          </w:tcPr>
          <w:p>
            <w:pPr>
              <w:spacing w:after="0"/>
              <w:rPr>
                <w:sz w:val="1"/>
                <w:szCs w:val="1"/>
                <w:color w:val="auto"/>
              </w:rPr>
            </w:pPr>
          </w:p>
        </w:tc>
      </w:tr>
      <w:tr>
        <w:trPr>
          <w:trHeight w:val="185"/>
        </w:trPr>
        <w:tc>
          <w:tcPr>
            <w:tcW w:w="2540" w:type="dxa"/>
            <w:vAlign w:val="bottom"/>
            <w:gridSpan w:val="2"/>
            <w:vMerge w:val="continue"/>
          </w:tcPr>
          <w:p>
            <w:pPr>
              <w:spacing w:after="0"/>
              <w:rPr>
                <w:sz w:val="16"/>
                <w:szCs w:val="16"/>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Amount</w:t>
            </w:r>
          </w:p>
        </w:tc>
        <w:tc>
          <w:tcPr>
            <w:tcW w:w="2280" w:type="dxa"/>
            <w:vAlign w:val="bottom"/>
            <w:gridSpan w:val="2"/>
            <w:vMerge w:val="continue"/>
          </w:tcPr>
          <w:p>
            <w:pPr>
              <w:spacing w:after="0"/>
              <w:rPr>
                <w:sz w:val="16"/>
                <w:szCs w:val="16"/>
                <w:color w:val="auto"/>
              </w:rPr>
            </w:pP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Payment Amount</w:t>
            </w: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Form of Warrant</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291" w:name="page292"/>
    <w:bookmarkEnd w:id="291"/>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WARRANT AND THE SHARES ISSUABLE HEREUNDER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 EXCEPT AS SET FORTH IN SECTIONS 5.3 AND 5.4 BELOW, MAY NOT BE OFFERED, SOLD, PLEDGED OR OTHERWISE TRANSFERRED UNLESS AND UNTIL REGISTERED UNDER SAID ACT AND LAWS OR, IN THE OPINION OF LEGAL COUNSEL IN FORM AND SUBSTANCE SATISFACTORY TO THE COMPANY, SUCH OFFER, SALE, PLEDGE OR OTHER TRANSFER IS EXEMPT FROM SUCH REGISTRATION.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STOCK</w:t>
      </w:r>
    </w:p>
    <w:p>
      <w:pPr>
        <w:sectPr>
          <w:pgSz w:w="11900" w:h="16838" w:orient="portrait"/>
          <w:cols w:equalWidth="0" w:num="1">
            <w:col w:w="11420"/>
          </w:cols>
          <w:pgMar w:left="240" w:top="274"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ANAPTYSBIO, INC., a Delaware corporation</w:t>
      </w:r>
    </w:p>
    <w:p>
      <w:pPr>
        <w:spacing w:after="0" w:line="140"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[3.75% of the funded Term Loan/Warrant Price] (Subject to Section 1.7)</w:t>
      </w:r>
    </w:p>
    <w:p>
      <w:pPr>
        <w:spacing w:after="0" w:line="140"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Type/Series of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Series C Preferred (Subject to Section 1.7)</w:t>
      </w:r>
    </w:p>
    <w:p>
      <w:pPr>
        <w:spacing w:after="0" w:line="140" w:lineRule="exact"/>
        <w:rPr>
          <w:sz w:val="20"/>
          <w:szCs w:val="20"/>
          <w:color w:val="auto"/>
        </w:rPr>
      </w:pPr>
    </w:p>
    <w:p>
      <w:pPr>
        <w:sectPr>
          <w:pgSz w:w="11900" w:h="16838" w:orient="portrait"/>
          <w:cols w:equalWidth="0" w:num="2">
            <w:col w:w="1560" w:space="520"/>
            <w:col w:w="93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Warrant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$0.65 per share (Subject to Section 1.7)</w:t>
      </w:r>
    </w:p>
    <w:p>
      <w:pPr>
        <w:spacing w:after="0" w:line="140"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Issue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[DATE]</w:t>
      </w:r>
    </w:p>
    <w:p>
      <w:pPr>
        <w:spacing w:after="0" w:line="129"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Expiration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10 years after the Issue Date] See also Section 5.1(b).</w:t>
      </w:r>
    </w:p>
    <w:p>
      <w:pPr>
        <w:spacing w:after="0" w:line="136"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w:t>
      </w:r>
    </w:p>
    <w:p>
      <w:pPr>
        <w:spacing w:after="0" w:line="20" w:lineRule="exact"/>
        <w:rPr>
          <w:sz w:val="20"/>
          <w:szCs w:val="20"/>
          <w:color w:val="auto"/>
        </w:rPr>
      </w:pPr>
      <w:r>
        <w:rPr>
          <w:sz w:val="20"/>
          <w:szCs w:val="20"/>
          <w:color w:val="auto"/>
        </w:rPr>
        <w:br w:type="column"/>
      </w:r>
    </w:p>
    <w:p>
      <w:pPr>
        <w:ind w:right="140"/>
        <w:spacing w:after="0" w:line="261" w:lineRule="auto"/>
        <w:rPr>
          <w:sz w:val="20"/>
          <w:szCs w:val="20"/>
          <w:color w:val="auto"/>
        </w:rPr>
      </w:pPr>
      <w:r>
        <w:rPr>
          <w:rFonts w:ascii="Arial" w:cs="Arial" w:eastAsia="Arial" w:hAnsi="Arial"/>
          <w:sz w:val="18"/>
          <w:szCs w:val="18"/>
          <w:color w:val="auto"/>
        </w:rPr>
        <w:t>This Warrant to Purchase Stock (“</w:t>
      </w:r>
      <w:r>
        <w:rPr>
          <w:rFonts w:ascii="Arial" w:cs="Arial" w:eastAsia="Arial" w:hAnsi="Arial"/>
          <w:sz w:val="18"/>
          <w:szCs w:val="18"/>
          <w:b w:val="1"/>
          <w:bCs w:val="1"/>
          <w:color w:val="auto"/>
        </w:rPr>
        <w:t>Warrant</w:t>
      </w:r>
      <w:r>
        <w:rPr>
          <w:rFonts w:ascii="Arial" w:cs="Arial" w:eastAsia="Arial" w:hAnsi="Arial"/>
          <w:sz w:val="18"/>
          <w:szCs w:val="18"/>
          <w:color w:val="auto"/>
        </w:rPr>
        <w:t>”) is issued in connection with that certain Loan and Security Agreement dated as of December , 2014 among Oxford Finance LLC, as Lender and Collateral Agent, the Lenders from time to time party thereto, including Silicon Valley Bank and the Company (as modified, amended and/or restated from time to time, the “</w:t>
      </w:r>
      <w:r>
        <w:rPr>
          <w:rFonts w:ascii="Arial" w:cs="Arial" w:eastAsia="Arial" w:hAnsi="Arial"/>
          <w:sz w:val="18"/>
          <w:szCs w:val="18"/>
          <w:b w:val="1"/>
          <w:bCs w:val="1"/>
          <w:color w:val="auto"/>
        </w:rPr>
        <w:t>Loan</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0" w:lineRule="exact"/>
        <w:rPr>
          <w:sz w:val="20"/>
          <w:szCs w:val="20"/>
          <w:color w:val="auto"/>
        </w:rPr>
      </w:pPr>
    </w:p>
    <w:p>
      <w:pPr>
        <w:sectPr>
          <w:pgSz w:w="11900" w:h="16838" w:orient="portrait"/>
          <w:cols w:equalWidth="0" w:num="2">
            <w:col w:w="1360" w:space="720"/>
            <w:col w:w="9340"/>
          </w:cols>
          <w:pgMar w:left="240" w:top="274" w:right="239" w:bottom="1440" w:gutter="0" w:footer="0" w:header="0"/>
          <w:type w:val="continuous"/>
        </w:sectPr>
      </w:pPr>
    </w:p>
    <w:p>
      <w:pPr>
        <w:ind w:firstLine="456"/>
        <w:spacing w:after="0" w:line="274" w:lineRule="auto"/>
        <w:rPr>
          <w:sz w:val="20"/>
          <w:szCs w:val="20"/>
          <w:color w:val="auto"/>
        </w:rPr>
      </w:pPr>
      <w:r>
        <w:rPr>
          <w:rFonts w:ascii="Arial" w:cs="Arial" w:eastAsia="Arial" w:hAnsi="Arial"/>
          <w:sz w:val="17"/>
          <w:szCs w:val="17"/>
          <w:color w:val="auto"/>
        </w:rPr>
        <w:t>THIS WARRANT CERTIFIES THAT, for good and valuable consideration, [SILICON VALLEY BANK][OXFORD FINANCE LLC] ([”</w:t>
      </w:r>
      <w:r>
        <w:rPr>
          <w:rFonts w:ascii="Arial" w:cs="Arial" w:eastAsia="Arial" w:hAnsi="Arial"/>
          <w:sz w:val="17"/>
          <w:szCs w:val="17"/>
          <w:b w:val="1"/>
          <w:bCs w:val="1"/>
          <w:color w:val="auto"/>
        </w:rPr>
        <w:t>Oxford</w:t>
      </w:r>
      <w:r>
        <w:rPr>
          <w:rFonts w:ascii="Arial" w:cs="Arial" w:eastAsia="Arial" w:hAnsi="Arial"/>
          <w:sz w:val="17"/>
          <w:szCs w:val="17"/>
          <w:color w:val="auto"/>
        </w:rPr>
        <w:t>” and,] together with any successor or permitted assignee or transferee of this Warrant or of any shares issued upon exercise hereof, “</w:t>
      </w:r>
      <w:r>
        <w:rPr>
          <w:rFonts w:ascii="Arial" w:cs="Arial" w:eastAsia="Arial" w:hAnsi="Arial"/>
          <w:sz w:val="17"/>
          <w:szCs w:val="17"/>
          <w:b w:val="1"/>
          <w:bCs w:val="1"/>
          <w:color w:val="auto"/>
        </w:rPr>
        <w:t>Holder</w:t>
      </w:r>
      <w:r>
        <w:rPr>
          <w:rFonts w:ascii="Arial" w:cs="Arial" w:eastAsia="Arial" w:hAnsi="Arial"/>
          <w:sz w:val="17"/>
          <w:szCs w:val="17"/>
          <w:color w:val="auto"/>
        </w:rPr>
        <w:t>”) is entitled to purchase the number of fully paid and non-assessable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above-stated Type/Series of Stock (the “</w:t>
      </w:r>
      <w:r>
        <w:rPr>
          <w:rFonts w:ascii="Arial" w:cs="Arial" w:eastAsia="Arial" w:hAnsi="Arial"/>
          <w:sz w:val="17"/>
          <w:szCs w:val="17"/>
          <w:b w:val="1"/>
          <w:bCs w:val="1"/>
          <w:color w:val="auto"/>
        </w:rPr>
        <w:t>Class</w:t>
      </w:r>
      <w:r>
        <w:rPr>
          <w:rFonts w:ascii="Arial" w:cs="Arial" w:eastAsia="Arial" w:hAnsi="Arial"/>
          <w:sz w:val="17"/>
          <w:szCs w:val="17"/>
          <w:color w:val="auto"/>
        </w:rPr>
        <w:t>”) of the above-named company (the “</w:t>
      </w:r>
      <w:r>
        <w:rPr>
          <w:rFonts w:ascii="Arial" w:cs="Arial" w:eastAsia="Arial" w:hAnsi="Arial"/>
          <w:sz w:val="17"/>
          <w:szCs w:val="17"/>
          <w:b w:val="1"/>
          <w:bCs w:val="1"/>
          <w:color w:val="auto"/>
        </w:rPr>
        <w:t>Company</w:t>
      </w:r>
      <w:r>
        <w:rPr>
          <w:rFonts w:ascii="Arial" w:cs="Arial" w:eastAsia="Arial" w:hAnsi="Arial"/>
          <w:sz w:val="17"/>
          <w:szCs w:val="17"/>
          <w:color w:val="auto"/>
        </w:rPr>
        <w:t>”) at the above-stated Warrant Price, all as set forth above and as adjusted pursuant to Section 2 of this Warrant, subject to the provisions and upon the terms and conditions set forth in this Warrant. [</w:t>
      </w:r>
      <w:r>
        <w:rPr>
          <w:rFonts w:ascii="Arial" w:cs="Arial" w:eastAsia="Arial" w:hAnsi="Arial"/>
          <w:sz w:val="17"/>
          <w:szCs w:val="17"/>
          <w:i w:val="1"/>
          <w:iCs w:val="1"/>
          <w:color w:val="auto"/>
        </w:rPr>
        <w:t>for SVB, add</w:t>
      </w:r>
      <w:r>
        <w:rPr>
          <w:rFonts w:ascii="Arial" w:cs="Arial" w:eastAsia="Arial" w:hAnsi="Arial"/>
          <w:sz w:val="17"/>
          <w:szCs w:val="17"/>
          <w:color w:val="auto"/>
        </w:rPr>
        <w:t>: Reference is made to Section 5.4 of this Warrant whereby Silicon Valley Bank shall transfer this Warrant to its parent company, SVB Financial Group.]</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EXERCISE.</w:t>
      </w:r>
    </w:p>
    <w:p>
      <w:pPr>
        <w:spacing w:after="0" w:line="225" w:lineRule="exact"/>
        <w:rPr>
          <w:sz w:val="20"/>
          <w:szCs w:val="20"/>
          <w:color w:val="auto"/>
        </w:rPr>
      </w:pPr>
    </w:p>
    <w:p>
      <w:pPr>
        <w:jc w:val="both"/>
        <w:ind w:right="220" w:firstLine="1484"/>
        <w:spacing w:after="0" w:line="302"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Method of Exercise</w:t>
      </w:r>
      <w:r>
        <w:rPr>
          <w:rFonts w:ascii="Arial" w:cs="Arial" w:eastAsia="Arial" w:hAnsi="Arial"/>
          <w:sz w:val="16"/>
          <w:szCs w:val="16"/>
          <w:color w:val="auto"/>
        </w:rPr>
        <w:t>. Holder may at any time and from time to time exercise this Warrant, in whole or in part, by delivering to the Company the original of this Warrant together with a duly executed Notice of Exercise in substantially the form attached hereto as Appendix 1 and, unless Holder is exercising this Warrant pursuant to a cashless exercise set forth in Section 1.2, a check, wire transfer of same-day funds (to an account designated by the Company), or other form of payment acceptable to the Company for the aggregate Warrant Price for the Shares being purchased.</w:t>
      </w:r>
    </w:p>
    <w:p>
      <w:pPr>
        <w:spacing w:after="0" w:line="154" w:lineRule="exact"/>
        <w:rPr>
          <w:sz w:val="20"/>
          <w:szCs w:val="20"/>
          <w:color w:val="auto"/>
        </w:rPr>
      </w:pPr>
    </w:p>
    <w:p>
      <w:pPr>
        <w:ind w:right="80" w:firstLine="1484"/>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Cashless Exercise</w:t>
      </w:r>
      <w:r>
        <w:rPr>
          <w:rFonts w:ascii="Arial" w:cs="Arial" w:eastAsia="Arial" w:hAnsi="Arial"/>
          <w:sz w:val="18"/>
          <w:szCs w:val="18"/>
          <w:color w:val="auto"/>
        </w:rPr>
        <w:t>. On any exercise of this Warrant, in lieu of payment of the aggregate Warrant Price in the manner as specified in Section 1.1 above, but otherwise in accordance with the requirements of Section 1.1, Holder may elect to receive Shares equal to the value of this Warrant, or portion hereof as to which this Warrant is being exercised. Thereupon, the Company shall issue to the Holder such number of fully paid and non-assessable Shares as are computed using the following formula:</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 = Y(A-B)/A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X = the number of Shares to be issued to the Holder;</w:t>
      </w:r>
    </w:p>
    <w:p>
      <w:pPr>
        <w:spacing w:after="0" w:line="117" w:lineRule="exact"/>
        <w:rPr>
          <w:sz w:val="20"/>
          <w:szCs w:val="20"/>
          <w:color w:val="auto"/>
        </w:rPr>
      </w:pPr>
    </w:p>
    <w:p>
      <w:pPr>
        <w:ind w:left="1500" w:right="220"/>
        <w:spacing w:after="0" w:line="277" w:lineRule="auto"/>
        <w:rPr>
          <w:sz w:val="20"/>
          <w:szCs w:val="20"/>
          <w:color w:val="auto"/>
        </w:rPr>
      </w:pPr>
      <w:r>
        <w:rPr>
          <w:rFonts w:ascii="Arial" w:cs="Arial" w:eastAsia="Arial" w:hAnsi="Arial"/>
          <w:sz w:val="18"/>
          <w:szCs w:val="18"/>
          <w:color w:val="auto"/>
        </w:rPr>
        <w:t>Y = the number of Shares with respect to which this Warrant is being exercised (inclusive of the Shares surrendered to the Company in payment of the aggregate Warrant Price);</w:t>
      </w:r>
    </w:p>
    <w:p>
      <w:pPr>
        <w:sectPr>
          <w:pgSz w:w="11900" w:h="16838" w:orient="portrait"/>
          <w:cols w:equalWidth="0" w:num="1">
            <w:col w:w="11420"/>
          </w:cols>
          <w:pgMar w:left="240" w:top="274" w:right="239" w:bottom="1440" w:gutter="0" w:footer="0" w:header="0"/>
          <w:type w:val="continuous"/>
        </w:sectPr>
      </w:pPr>
    </w:p>
    <w:bookmarkStart w:id="292" w:name="page293"/>
    <w:bookmarkEnd w:id="292"/>
    <w:p>
      <w:pPr>
        <w:ind w:left="1500" w:right="3380"/>
        <w:spacing w:after="0" w:line="40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 the Fair Market Value (as determined pursuant to Section 1.3 below) of one Share; and B = the Warrant Price.</w:t>
      </w:r>
    </w:p>
    <w:p>
      <w:pPr>
        <w:spacing w:after="0" w:line="63" w:lineRule="exact"/>
        <w:rPr>
          <w:sz w:val="20"/>
          <w:szCs w:val="20"/>
          <w:color w:val="auto"/>
        </w:rPr>
      </w:pPr>
    </w:p>
    <w:p>
      <w:pPr>
        <w:ind w:right="20" w:firstLine="1484"/>
        <w:spacing w:after="0" w:line="290"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Fair Market Value</w:t>
      </w:r>
      <w:r>
        <w:rPr>
          <w:rFonts w:ascii="Arial" w:cs="Arial" w:eastAsia="Arial" w:hAnsi="Arial"/>
          <w:sz w:val="16"/>
          <w:szCs w:val="16"/>
          <w:color w:val="auto"/>
        </w:rPr>
        <w:t>. If the Company’s common stock is then traded or quoted on a nationally recognized securities exchange, inter-dealer quotation system or over-the-counter market (a “</w:t>
      </w:r>
      <w:r>
        <w:rPr>
          <w:rFonts w:ascii="Arial" w:cs="Arial" w:eastAsia="Arial" w:hAnsi="Arial"/>
          <w:sz w:val="16"/>
          <w:szCs w:val="16"/>
          <w:b w:val="1"/>
          <w:bCs w:val="1"/>
          <w:color w:val="auto"/>
        </w:rPr>
        <w:t>Trading Market</w:t>
      </w:r>
      <w:r>
        <w:rPr>
          <w:rFonts w:ascii="Arial" w:cs="Arial" w:eastAsia="Arial" w:hAnsi="Arial"/>
          <w:sz w:val="16"/>
          <w:szCs w:val="16"/>
          <w:color w:val="auto"/>
        </w:rPr>
        <w:t>”) and the Class is common stock, the fair market value of a Share shall be the closing price or last sale price of a share of common stock reported for the Business Day immediately before the date on which Holder delivers this Warrant together with its Notice of Exercise to the Company. If the Company’s common stock is then traded in a Trading Market and the Class is a series of the Company’s convertible preferred stock, the fair market value of a Share shall be the closing price or last sale price of a share of the Company’s common stock reported for the Business Day immediately before the date on which Holder delivers this Warrant together with its Notice of Exercise to the Company multiplied by the number of shares of the Company’s common stock into which a Share is then convertible. If the Company’s common stock is not traded in a Trading Market, the Board of Directors of the Company shall determine the fair market value of a Share in its reasonable good faith judgment.</w:t>
      </w:r>
    </w:p>
    <w:p>
      <w:pPr>
        <w:spacing w:after="0" w:line="166" w:lineRule="exact"/>
        <w:rPr>
          <w:sz w:val="20"/>
          <w:szCs w:val="20"/>
          <w:color w:val="auto"/>
        </w:rPr>
      </w:pPr>
    </w:p>
    <w:p>
      <w:pPr>
        <w:ind w:right="260" w:firstLine="1484"/>
        <w:spacing w:after="0" w:line="28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u w:val="single" w:color="auto"/>
          <w:color w:val="auto"/>
        </w:rPr>
        <w:t>Delivery of Certificate and New Warrant</w:t>
      </w:r>
      <w:r>
        <w:rPr>
          <w:rFonts w:ascii="Arial" w:cs="Arial" w:eastAsia="Arial" w:hAnsi="Arial"/>
          <w:sz w:val="17"/>
          <w:szCs w:val="17"/>
          <w:color w:val="auto"/>
        </w:rPr>
        <w:t>. Within a reasonable time after Holder exercises this Warrant in the manner set forth in Section 1.1 or 1.2 above, the Company shall deliver to Holder a certificate representing the Shares issued to Holder upon such exercise and, if this Warrant has not been fully exercised and has not expired, a new warrant of like tenor representing the Shares not so acquired.</w:t>
      </w:r>
    </w:p>
    <w:p>
      <w:pPr>
        <w:spacing w:after="0" w:line="166" w:lineRule="exact"/>
        <w:rPr>
          <w:sz w:val="20"/>
          <w:szCs w:val="20"/>
          <w:color w:val="auto"/>
        </w:rPr>
      </w:pPr>
    </w:p>
    <w:p>
      <w:pPr>
        <w:ind w:right="20" w:firstLine="1484"/>
        <w:spacing w:after="0" w:line="259"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u w:val="single" w:color="auto"/>
          <w:color w:val="auto"/>
        </w:rPr>
        <w:t>Replacement of Warrant</w:t>
      </w:r>
      <w:r>
        <w:rPr>
          <w:rFonts w:ascii="Arial" w:cs="Arial" w:eastAsia="Arial" w:hAnsi="Arial"/>
          <w:sz w:val="18"/>
          <w:szCs w:val="18"/>
          <w:color w:val="auto"/>
        </w:rPr>
        <w:t>. On receipt of evidence reasonably satisfactory to the Company of the loss, theft, destruction or mutilation of this Warrant and, in the case of loss, theft or destruction, on delivery of an indemnity agreement reasonably satisfactory in form, substance and amount to the Company or, in the case of mutilation, on surrender of this Warrant to the Company for cancellation, the Company shall, within a reasonable time, execute and deliver to Holder, in lieu of this Warrant, a new warrant of like tenor and amount.</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Treatment of Warrant Upon Acquisition of Company</w:t>
      </w:r>
      <w:r>
        <w:rPr>
          <w:rFonts w:ascii="Arial" w:cs="Arial" w:eastAsia="Arial" w:hAnsi="Arial"/>
          <w:sz w:val="18"/>
          <w:szCs w:val="18"/>
          <w:color w:val="auto"/>
        </w:rPr>
        <w:t>.</w:t>
      </w:r>
    </w:p>
    <w:p>
      <w:pPr>
        <w:spacing w:after="0" w:line="221" w:lineRule="exact"/>
        <w:rPr>
          <w:sz w:val="20"/>
          <w:szCs w:val="20"/>
          <w:color w:val="auto"/>
        </w:rPr>
      </w:pPr>
    </w:p>
    <w:p>
      <w:pPr>
        <w:ind w:firstLine="1492"/>
        <w:spacing w:after="0" w:line="271" w:lineRule="auto"/>
        <w:tabs>
          <w:tab w:leader="none" w:pos="1728" w:val="left"/>
        </w:tabs>
        <w:numPr>
          <w:ilvl w:val="0"/>
          <w:numId w:val="254"/>
        </w:numPr>
        <w:rPr>
          <w:rFonts w:ascii="Arial" w:cs="Arial" w:eastAsia="Arial" w:hAnsi="Arial"/>
          <w:sz w:val="17"/>
          <w:szCs w:val="17"/>
          <w:color w:val="auto"/>
        </w:rPr>
      </w:pPr>
      <w:r>
        <w:rPr>
          <w:rFonts w:ascii="Arial" w:cs="Arial" w:eastAsia="Arial" w:hAnsi="Arial"/>
          <w:sz w:val="17"/>
          <w:szCs w:val="17"/>
          <w:u w:val="single" w:color="auto"/>
          <w:color w:val="auto"/>
        </w:rPr>
        <w:t>Acquisition</w:t>
      </w:r>
      <w:r>
        <w:rPr>
          <w:rFonts w:ascii="Arial" w:cs="Arial" w:eastAsia="Arial" w:hAnsi="Arial"/>
          <w:sz w:val="17"/>
          <w:szCs w:val="17"/>
          <w:color w:val="auto"/>
        </w:rPr>
        <w:t>. For the purpose of this Warrant, “</w:t>
      </w:r>
      <w:r>
        <w:rPr>
          <w:rFonts w:ascii="Arial" w:cs="Arial" w:eastAsia="Arial" w:hAnsi="Arial"/>
          <w:sz w:val="17"/>
          <w:szCs w:val="17"/>
          <w:b w:val="1"/>
          <w:bCs w:val="1"/>
          <w:color w:val="auto"/>
        </w:rPr>
        <w:t>Acquisition</w:t>
      </w:r>
      <w:r>
        <w:rPr>
          <w:rFonts w:ascii="Arial" w:cs="Arial" w:eastAsia="Arial" w:hAnsi="Arial"/>
          <w:sz w:val="17"/>
          <w:szCs w:val="17"/>
          <w:color w:val="auto"/>
        </w:rPr>
        <w:t>” means (i)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at least a majority of the voting power of the surviving entity in substantially the same proportions (or, if the surviving entity is a wholly owned subsidiary, its parent) immediately after such consolidation, merger or reorganization; (ii) any transaction or series of related transactions to which the Company is a party in which in excess of 50% of the Company’s voting power is transferred; provided that an Acquisition shall not include any transaction or series of transactions principally for bona fide equity financing purposes in which cash is received by the Company or any successor or indebtedness of the Company is cancelled or converted or a combination thereof; or (iii) a sale of all or substantially all of the assets of the Company or the exclusive license of substantially all of the rights to substantially all of the intellectual property of the Company material to its business.</w:t>
      </w:r>
    </w:p>
    <w:p>
      <w:pPr>
        <w:spacing w:after="0" w:line="178" w:lineRule="exact"/>
        <w:rPr>
          <w:rFonts w:ascii="Arial" w:cs="Arial" w:eastAsia="Arial" w:hAnsi="Arial"/>
          <w:sz w:val="17"/>
          <w:szCs w:val="17"/>
          <w:color w:val="auto"/>
        </w:rPr>
      </w:pPr>
    </w:p>
    <w:p>
      <w:pPr>
        <w:ind w:right="60" w:firstLine="1492"/>
        <w:spacing w:after="0" w:line="257" w:lineRule="auto"/>
        <w:tabs>
          <w:tab w:leader="none" w:pos="1738"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Treatment of Warrant at Acquisition</w:t>
      </w:r>
      <w:r>
        <w:rPr>
          <w:rFonts w:ascii="Arial" w:cs="Arial" w:eastAsia="Arial" w:hAnsi="Arial"/>
          <w:sz w:val="18"/>
          <w:szCs w:val="18"/>
          <w:color w:val="auto"/>
        </w:rPr>
        <w:t>. In the event of an Acquisition in which the consideration to be received by the Company’s stockholders consists solely of cash, solely of Marketable Securities or a combination of cash and Marketable Securities (a “</w:t>
      </w:r>
      <w:r>
        <w:rPr>
          <w:rFonts w:ascii="Arial" w:cs="Arial" w:eastAsia="Arial" w:hAnsi="Arial"/>
          <w:sz w:val="18"/>
          <w:szCs w:val="18"/>
          <w:b w:val="1"/>
          <w:bCs w:val="1"/>
          <w:color w:val="auto"/>
        </w:rPr>
        <w:t>Cash/Public Acquisition</w:t>
      </w:r>
      <w:r>
        <w:rPr>
          <w:rFonts w:ascii="Arial" w:cs="Arial" w:eastAsia="Arial" w:hAnsi="Arial"/>
          <w:sz w:val="18"/>
          <w:szCs w:val="18"/>
          <w:color w:val="auto"/>
        </w:rPr>
        <w:t>”), either (i) Holder shall exercise this Warrant pursuant to Section 1.1 and/or 1.2 and such exercise will be deemed effective immediately prior to and contingent upon the consummation of such Acquisition or (ii) if Holder elects not to exercise the Warrant, this Warrant will expire immediately prior to the consummation of such Acquisition.</w:t>
      </w:r>
    </w:p>
    <w:p>
      <w:pPr>
        <w:spacing w:after="0" w:line="188" w:lineRule="exact"/>
        <w:rPr>
          <w:rFonts w:ascii="Arial" w:cs="Arial" w:eastAsia="Arial" w:hAnsi="Arial"/>
          <w:sz w:val="18"/>
          <w:szCs w:val="18"/>
          <w:color w:val="auto"/>
        </w:rPr>
      </w:pPr>
    </w:p>
    <w:p>
      <w:pPr>
        <w:ind w:right="260" w:firstLine="1492"/>
        <w:spacing w:after="0" w:line="257" w:lineRule="auto"/>
        <w:tabs>
          <w:tab w:leader="none" w:pos="1728"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shall provide Holder with written notice of its request relating to the Cash/Public Acquisition (together with such reasonable information as Holder may reasonably require regarding the treatment of this Warrant in connection with such contemplated Cash/Public Acquisition giving rise to such notice), which is to be delivered to Holder not less than seven (7) Business Days prior to the closing of the proposed Cash/Public Acquisition. In the event the Company does not provide such notice, then if, immediately prior to the Cash/Public Acquisition, the fair market value of one Share (or other security issuable upon the exercise hereof) as</w:t>
      </w:r>
    </w:p>
    <w:p>
      <w:pPr>
        <w:sectPr>
          <w:pgSz w:w="11900" w:h="16838" w:orient="portrait"/>
          <w:cols w:equalWidth="0" w:num="1">
            <w:col w:w="11420"/>
          </w:cols>
          <w:pgMar w:left="240" w:top="274" w:right="239" w:bottom="1440" w:gutter="0" w:footer="0" w:header="0"/>
        </w:sectPr>
      </w:pPr>
    </w:p>
    <w:bookmarkStart w:id="293" w:name="page294"/>
    <w:bookmarkEnd w:id="293"/>
    <w:p>
      <w:pPr>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determined in accordance with Section 1.3 above would be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promptly notify the Holder of the number of Shares (or such other securities) issued upon such exercise to the Holder and Holder shall be deemed to have restated each of the representations and warranties in Section 4 of the Warrant as the date thereof.</w:t>
      </w:r>
    </w:p>
    <w:p>
      <w:pPr>
        <w:spacing w:after="0" w:line="154" w:lineRule="exact"/>
        <w:rPr>
          <w:sz w:val="20"/>
          <w:szCs w:val="20"/>
          <w:color w:val="auto"/>
        </w:rPr>
      </w:pPr>
    </w:p>
    <w:p>
      <w:pPr>
        <w:jc w:val="both"/>
        <w:ind w:right="80" w:firstLine="1492"/>
        <w:spacing w:after="0" w:line="279" w:lineRule="auto"/>
        <w:tabs>
          <w:tab w:leader="none" w:pos="1738" w:val="left"/>
        </w:tabs>
        <w:numPr>
          <w:ilvl w:val="1"/>
          <w:numId w:val="255"/>
        </w:numPr>
        <w:rPr>
          <w:rFonts w:ascii="Arial" w:cs="Arial" w:eastAsia="Arial" w:hAnsi="Arial"/>
          <w:sz w:val="17"/>
          <w:szCs w:val="17"/>
          <w:color w:val="auto"/>
        </w:rPr>
      </w:pPr>
      <w:r>
        <w:rPr>
          <w:rFonts w:ascii="Arial" w:cs="Arial" w:eastAsia="Arial" w:hAnsi="Arial"/>
          <w:sz w:val="17"/>
          <w:szCs w:val="17"/>
          <w:color w:val="auto"/>
        </w:rPr>
        <w:t>Upon the closing of any Acquisition other than a Cash/Public Acquisition defined above, the acquiring, surviving or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167" w:lineRule="exact"/>
        <w:rPr>
          <w:rFonts w:ascii="Arial" w:cs="Arial" w:eastAsia="Arial" w:hAnsi="Arial"/>
          <w:sz w:val="17"/>
          <w:szCs w:val="17"/>
          <w:color w:val="auto"/>
        </w:rPr>
      </w:pPr>
    </w:p>
    <w:p>
      <w:pPr>
        <w:ind w:right="60" w:firstLine="1492"/>
        <w:spacing w:after="0" w:line="285" w:lineRule="auto"/>
        <w:tabs>
          <w:tab w:leader="none" w:pos="1728" w:val="left"/>
        </w:tabs>
        <w:numPr>
          <w:ilvl w:val="1"/>
          <w:numId w:val="255"/>
        </w:numPr>
        <w:rPr>
          <w:rFonts w:ascii="Arial" w:cs="Arial" w:eastAsia="Arial" w:hAnsi="Arial"/>
          <w:sz w:val="16"/>
          <w:szCs w:val="16"/>
          <w:color w:val="auto"/>
        </w:rPr>
      </w:pPr>
      <w:r>
        <w:rPr>
          <w:rFonts w:ascii="Arial" w:cs="Arial" w:eastAsia="Arial" w:hAnsi="Arial"/>
          <w:sz w:val="16"/>
          <w:szCs w:val="16"/>
          <w:color w:val="auto"/>
        </w:rPr>
        <w:t>As used in this Warrant, “</w:t>
      </w:r>
      <w:r>
        <w:rPr>
          <w:rFonts w:ascii="Arial" w:cs="Arial" w:eastAsia="Arial" w:hAnsi="Arial"/>
          <w:sz w:val="16"/>
          <w:szCs w:val="16"/>
          <w:b w:val="1"/>
          <w:bCs w:val="1"/>
          <w:color w:val="auto"/>
        </w:rPr>
        <w:t>Marketable Securities</w:t>
      </w:r>
      <w:r>
        <w:rPr>
          <w:rFonts w:ascii="Arial" w:cs="Arial" w:eastAsia="Arial" w:hAnsi="Arial"/>
          <w:sz w:val="16"/>
          <w:szCs w:val="16"/>
          <w:color w:val="auto"/>
        </w:rPr>
        <w:t>” means securities meeting all of the following requirements: (i) the issuer thereof is then subject to the reporting requirements of Section 13 or Section 15(d)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is then current in its filing of all required reports and other information under the Act and the Exchange Act; (ii) the class and series of shares or other security of the issuer that would be received by Holder in connection with the Acquisition were Holder to exercise this Warrant on or prior to the closing thereof is then traded in a Trading Market, and (iii) following the closing of such Acquisition, Holder would not be restricted from publicly re-selling all of the issuer’s shares and/or other securities that would be received by Holder in such Acquisition were Holder to exercise or convert this Warrant in full on or prior to the closing of such Acquisition, except to the extent that any such restriction (x) arises solely under federal or state securities laws, rules or regulations,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does not extend beyond six (6) months from the closing of such Acquisition.</w:t>
      </w:r>
    </w:p>
    <w:p>
      <w:pPr>
        <w:spacing w:after="0" w:line="211"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Adjustment to Class of Shares; Number of Shares; Warrant Price; Adjustments Cumulative</w:t>
      </w:r>
      <w:r>
        <w:rPr>
          <w:rFonts w:ascii="Arial" w:cs="Arial" w:eastAsia="Arial" w:hAnsi="Arial"/>
          <w:sz w:val="17"/>
          <w:szCs w:val="17"/>
          <w:color w:val="auto"/>
        </w:rPr>
        <w:t>. If, upon the closing of the Next Equity Financing, the Next Equity Financing Price shall be less than the Warrant Price in effect as of immediately prior thereto, then the “Class” shall be Next Equity Financing Securities from and after such closing, subject to adjustment thereafter from time to time in accordance with the provisions of this Warrant and the “Warrant Price” shall be the Next Equity Financing Price from and after such closing, subject to adjustment thereafter from time to time in accordance with the provisions of this Warrant; provided, that upon such date, if any, as the “Class” becomes Next Equity Financing Securities pursuant to this sentence, this Warrant shall be exercisable for such number of shares of such Class as shall equal (i) the product of (a) the number of shares for which this Warrant was originally exercisable and (b) the warrant price for which this Warrant was originally exercisable, divided by (ii) the Next Equity Financing Price, subject to adjustment thereafter from time to time in accordance with the provisions of this Warrant. As used herein (i) “Next Equity Financing” means the first sale or issuance by the Company on or after the Issue Date of this Warrant set forth above, in a single transaction or series of related transactions, of shares of its convertible preferred stock or other senior equity securities to one or more investors for cash for financing purposes; (ii) “Next Equity Financing Securities” means the type, class and series of convertible preferred stock or other senior equity security sold or issued by the Company in the Next Equity Financing; and (iii) “Next Equity Financing Price” means the lowest price per share for which Next Equity Financing Securities are sold or issued by the Company in the Next Equity Financing.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ADJUSTMENTS TO THE SHARES AND WARRANT PRICE.</w:t>
      </w:r>
    </w:p>
    <w:p>
      <w:pPr>
        <w:spacing w:after="0" w:line="225" w:lineRule="exact"/>
        <w:rPr>
          <w:sz w:val="20"/>
          <w:szCs w:val="20"/>
          <w:color w:val="auto"/>
        </w:rPr>
      </w:pPr>
    </w:p>
    <w:p>
      <w:pPr>
        <w:ind w:right="40" w:firstLine="1484"/>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Stock Dividends, Splits, Etc</w:t>
      </w:r>
      <w:r>
        <w:rPr>
          <w:rFonts w:ascii="Arial" w:cs="Arial" w:eastAsia="Arial" w:hAnsi="Arial"/>
          <w:sz w:val="17"/>
          <w:szCs w:val="17"/>
          <w:color w:val="auto"/>
        </w:rPr>
        <w:t>. If the Company declares or pays a dividend or distribution on the outstanding shares of the Class payable in common stock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ectPr>
          <w:pgSz w:w="11900" w:h="16838" w:orient="portrait"/>
          <w:cols w:equalWidth="0" w:num="1">
            <w:col w:w="11400"/>
          </w:cols>
          <w:pgMar w:left="240" w:top="274" w:right="259" w:bottom="1440" w:gutter="0" w:footer="0" w:header="0"/>
        </w:sectPr>
      </w:pPr>
    </w:p>
    <w:bookmarkStart w:id="294" w:name="page295"/>
    <w:bookmarkEnd w:id="294"/>
    <w:p>
      <w:pPr>
        <w:ind w:right="20" w:firstLine="148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Reclassification, Exchange, Combinations or Substitution</w:t>
      </w:r>
      <w:r>
        <w:rPr>
          <w:rFonts w:ascii="Arial" w:cs="Arial" w:eastAsia="Arial" w:hAnsi="Arial"/>
          <w:sz w:val="18"/>
          <w:szCs w:val="18"/>
          <w:color w:val="auto"/>
        </w:rPr>
        <w:t>. Upon any event whereby all of the outstanding shares of the Class are reclassified, exchanged, combined, substituted, or replaced for, into, with or by Company securities of a different class and/or series, then from and after the consummation of such event, this Warrant will be exercisable for the number, class and series of Company securities that Holder would have received had the Shares been outstanding on and as of the consummation of such event, and subject to further adjustment thereafter from time to time in accordance with the provisions of this Warrant. The provisions of this Section 2.2 shall similarly apply to successive reclassifications, exchanges, combinations substitutions, replacements or other similar events.</w:t>
      </w:r>
    </w:p>
    <w:p>
      <w:pPr>
        <w:spacing w:after="0" w:line="193" w:lineRule="exact"/>
        <w:rPr>
          <w:sz w:val="20"/>
          <w:szCs w:val="20"/>
          <w:color w:val="auto"/>
        </w:rPr>
      </w:pPr>
    </w:p>
    <w:p>
      <w:pPr>
        <w:ind w:right="20" w:firstLine="1484"/>
        <w:spacing w:after="0" w:line="27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Conversion of Preferred Stock</w:t>
      </w:r>
      <w:r>
        <w:rPr>
          <w:rFonts w:ascii="Arial" w:cs="Arial" w:eastAsia="Arial" w:hAnsi="Arial"/>
          <w:sz w:val="17"/>
          <w:szCs w:val="17"/>
          <w:color w:val="auto"/>
        </w:rPr>
        <w:t>. If the Class is a class and series of the Company’s convertible preferred stock, in the event that all outstanding shares of the Class are converted, automatically or by action of the holders thereof, into common stock pursuant to the provisions of the Company’s Certificate of Incorporation, including, without limitation, in connection with the Company’s initial, underwritten public offering and sale of its common stock pursuant to an effective registration statement under the Act (the “</w:t>
      </w:r>
      <w:r>
        <w:rPr>
          <w:rFonts w:ascii="Arial" w:cs="Arial" w:eastAsia="Arial" w:hAnsi="Arial"/>
          <w:sz w:val="17"/>
          <w:szCs w:val="17"/>
          <w:b w:val="1"/>
          <w:bCs w:val="1"/>
          <w:color w:val="auto"/>
        </w:rPr>
        <w:t>IPO</w:t>
      </w:r>
      <w:r>
        <w:rPr>
          <w:rFonts w:ascii="Arial" w:cs="Arial" w:eastAsia="Arial" w:hAnsi="Arial"/>
          <w:sz w:val="17"/>
          <w:szCs w:val="17"/>
          <w:color w:val="auto"/>
        </w:rPr>
        <w:t>”), then from and after the date on which all outstanding shares of the Class have been so converted, this Warrant shall be exercisable for such number of shares of common stock into which the Shares would have been converted had the Shares been outstanding on the date of such conversion, and the Warrant Price shall equal the Warrant Price in effect as of immediately prior to such conversion divided by the number of shares of common stock into which one Share would have been converted, all subject to further adjustment thereafter from time to time in accordance with the provisions of this Warrant.</w:t>
      </w:r>
    </w:p>
    <w:p>
      <w:pPr>
        <w:spacing w:after="0" w:line="179" w:lineRule="exact"/>
        <w:rPr>
          <w:sz w:val="20"/>
          <w:szCs w:val="20"/>
          <w:color w:val="auto"/>
        </w:rPr>
      </w:pPr>
    </w:p>
    <w:p>
      <w:pPr>
        <w:jc w:val="both"/>
        <w:ind w:right="240" w:firstLine="1484"/>
        <w:spacing w:after="0" w:line="31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Adjustments for Diluting Issuances</w:t>
      </w:r>
      <w:r>
        <w:rPr>
          <w:rFonts w:ascii="Arial" w:cs="Arial" w:eastAsia="Arial" w:hAnsi="Arial"/>
          <w:sz w:val="16"/>
          <w:szCs w:val="16"/>
          <w:color w:val="auto"/>
        </w:rPr>
        <w:t>. Without duplication of any adjustment otherwise provided for in this Section 2, the number of shares of common stock issuable upon conversion of the Shares shall be subject to anti-dilution adjustment from time to time in the manner set forth in the Company’s Articles or Certificate of Incorporation as if the Shares were issued and outstanding on and as of the date of any such required adjustment.</w:t>
      </w:r>
    </w:p>
    <w:p>
      <w:pPr>
        <w:spacing w:after="0" w:line="147" w:lineRule="exact"/>
        <w:rPr>
          <w:sz w:val="20"/>
          <w:szCs w:val="20"/>
          <w:color w:val="auto"/>
        </w:rPr>
      </w:pPr>
    </w:p>
    <w:p>
      <w:pPr>
        <w:ind w:right="140" w:firstLine="1484"/>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Share</w:t>
      </w:r>
      <w:r>
        <w:rPr>
          <w:rFonts w:ascii="Arial" w:cs="Arial" w:eastAsia="Arial" w:hAnsi="Arial"/>
          <w:sz w:val="18"/>
          <w:szCs w:val="18"/>
          <w:color w:val="auto"/>
        </w:rPr>
        <w:t>. No fractional Share shall be issuable upon exercise of this Warrant and the number of Shares to be issued shall be rounded down to the nearest whole Share. If a fractional Share interest arises upon any exercise of the Warrant, the Company shall eliminate such fractional Share interest by paying Holder in cash the amount computed by multiplying the fractional interest by (i) the fair market value (as determined in accordance with Section 1.3 above) of a full Share, less (ii) the then-effective Warrant Price.</w:t>
      </w:r>
    </w:p>
    <w:p>
      <w:pPr>
        <w:spacing w:after="0" w:line="187" w:lineRule="exact"/>
        <w:rPr>
          <w:sz w:val="20"/>
          <w:szCs w:val="20"/>
          <w:color w:val="auto"/>
        </w:rPr>
      </w:pPr>
    </w:p>
    <w:p>
      <w:pPr>
        <w:jc w:val="both"/>
        <w:ind w:firstLine="1484"/>
        <w:spacing w:after="0" w:line="302"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Notice/Certificate as to Adjustments</w:t>
      </w:r>
      <w:r>
        <w:rPr>
          <w:rFonts w:ascii="Arial" w:cs="Arial" w:eastAsia="Arial" w:hAnsi="Arial"/>
          <w:sz w:val="16"/>
          <w:szCs w:val="16"/>
          <w:color w:val="auto"/>
        </w:rPr>
        <w:t>. Upon each adjustment of the Warrant Price, Class and/or number of Shares, the Company, at the Company’s expense, shall notify Holder in writing within a reasonable time setting forth the adjustments to the Warrant Price, Class and/or number of Shares and facts upon which such adjustment is based. The Company shall, upon written request from Holder, furnish Holder with a certificate of its Chief Financial Officer, including computations of such adjustment and the Warrant Price, Class and number of Shares in effect upon the date of such adjustment.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REPRESENTATIONS AND COVENANTS OF THE COMPANY.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Holder as follows:</w:t>
      </w:r>
    </w:p>
    <w:p>
      <w:pPr>
        <w:spacing w:after="0" w:line="225" w:lineRule="exact"/>
        <w:rPr>
          <w:sz w:val="20"/>
          <w:szCs w:val="20"/>
          <w:color w:val="auto"/>
        </w:rPr>
      </w:pPr>
    </w:p>
    <w:p>
      <w:pPr>
        <w:ind w:firstLine="1492"/>
        <w:spacing w:after="0" w:line="264" w:lineRule="auto"/>
        <w:tabs>
          <w:tab w:leader="none" w:pos="172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initial Warrant Price referenced on the first page of this Warrant is not greater than the price per share at which shares of the Class were last sold and issued prior to the Issue Date hereof in an arms-length transaction in which at least Five Hundred Thousand Dollars ($500,000.00) of such shares were sold.</w:t>
      </w:r>
    </w:p>
    <w:p>
      <w:pPr>
        <w:spacing w:after="0" w:line="181" w:lineRule="exact"/>
        <w:rPr>
          <w:rFonts w:ascii="Arial" w:cs="Arial" w:eastAsia="Arial" w:hAnsi="Arial"/>
          <w:sz w:val="18"/>
          <w:szCs w:val="18"/>
          <w:color w:val="auto"/>
        </w:rPr>
      </w:pPr>
    </w:p>
    <w:p>
      <w:pPr>
        <w:ind w:right="180" w:firstLine="1492"/>
        <w:spacing w:after="0" w:line="297" w:lineRule="auto"/>
        <w:tabs>
          <w:tab w:leader="none" w:pos="173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All Shares which may be issued upon the exercise of this Warrant, and all securities, if any, issuable upon conversion of the Shares, shall, upon issuance, be duly authorized, validly issued, fully paid and non-assessable, and free of any liens and encumbrances except for restrictions on transfer provided for herein or under applicable federal and state securities laws. The Company covenants that it shall at all times cause to be reserved and kept available out of its authorized and unissued capital stock such number of shares of the Class, common stock and other securities as will be sufficient to permit the exercise in full of this Warrant and the conversion of the Shares into common stock or such other securities.</w:t>
      </w:r>
    </w:p>
    <w:p>
      <w:pPr>
        <w:sectPr>
          <w:pgSz w:w="11900" w:h="16838" w:orient="portrait"/>
          <w:cols w:equalWidth="0" w:num="1">
            <w:col w:w="11400"/>
          </w:cols>
          <w:pgMar w:left="240" w:top="274" w:right="259" w:bottom="1440" w:gutter="0" w:footer="0" w:header="0"/>
        </w:sectPr>
      </w:pPr>
    </w:p>
    <w:bookmarkStart w:id="295" w:name="page296"/>
    <w:bookmarkEnd w:id="295"/>
    <w:p>
      <w:pPr>
        <w:ind w:left="1740" w:hanging="248"/>
        <w:spacing w:after="0"/>
        <w:tabs>
          <w:tab w:leader="none" w:pos="17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Company’s capitalization table attached hereto as Schedule 1 is true and complete, in all material respects, as of the Issue Date.</w:t>
      </w:r>
    </w:p>
    <w:p>
      <w:pPr>
        <w:spacing w:after="0" w:line="248"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If the Company proposes at any time to:</w:t>
      </w:r>
    </w:p>
    <w:p>
      <w:pPr>
        <w:spacing w:after="0" w:line="225" w:lineRule="exact"/>
        <w:rPr>
          <w:sz w:val="20"/>
          <w:szCs w:val="20"/>
          <w:color w:val="auto"/>
        </w:rPr>
      </w:pPr>
    </w:p>
    <w:p>
      <w:pPr>
        <w:ind w:right="240" w:firstLine="1492"/>
        <w:spacing w:after="0" w:line="277" w:lineRule="auto"/>
        <w:tabs>
          <w:tab w:leader="none" w:pos="172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declare any dividend or distribution upon the outstanding shares of the Class or common stock, whether in cash, property, stock, or other securities and whether or not a regular cash dividend;</w:t>
      </w:r>
    </w:p>
    <w:p>
      <w:pPr>
        <w:spacing w:after="0" w:line="170" w:lineRule="exact"/>
        <w:rPr>
          <w:rFonts w:ascii="Arial" w:cs="Arial" w:eastAsia="Arial" w:hAnsi="Arial"/>
          <w:sz w:val="18"/>
          <w:szCs w:val="18"/>
          <w:color w:val="auto"/>
        </w:rPr>
      </w:pPr>
    </w:p>
    <w:p>
      <w:pPr>
        <w:ind w:right="140" w:firstLine="1492"/>
        <w:spacing w:after="0" w:line="277" w:lineRule="auto"/>
        <w:tabs>
          <w:tab w:leader="none" w:pos="173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offer for subscription or sale pro rata to the holders of the outstanding shares of the Class any additional shares of any class or series of the Company’s stock (other than pursuant to contractual pre-emptive rights);</w:t>
      </w:r>
    </w:p>
    <w:p>
      <w:pPr>
        <w:spacing w:after="0" w:line="170" w:lineRule="exact"/>
        <w:rPr>
          <w:rFonts w:ascii="Arial" w:cs="Arial" w:eastAsia="Arial" w:hAnsi="Arial"/>
          <w:sz w:val="18"/>
          <w:szCs w:val="18"/>
          <w:color w:val="auto"/>
        </w:rPr>
      </w:pPr>
    </w:p>
    <w:p>
      <w:pPr>
        <w:ind w:left="1740" w:hanging="248"/>
        <w:spacing w:after="0"/>
        <w:tabs>
          <w:tab w:leader="none" w:pos="174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effect any reclassification, exchange, combination, substitution, reorganization or recapitalization of the outstanding shares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Class;</w:t>
      </w:r>
    </w:p>
    <w:p>
      <w:pPr>
        <w:spacing w:after="0" w:line="210" w:lineRule="exact"/>
        <w:rPr>
          <w:rFonts w:ascii="Arial" w:cs="Arial" w:eastAsia="Arial" w:hAnsi="Arial"/>
          <w:sz w:val="16"/>
          <w:szCs w:val="16"/>
          <w:color w:val="auto"/>
        </w:rPr>
      </w:pPr>
    </w:p>
    <w:p>
      <w:pPr>
        <w:ind w:left="1740" w:hanging="248"/>
        <w:spacing w:after="0"/>
        <w:tabs>
          <w:tab w:leader="none" w:pos="17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effect an Acquisition or to liquidate, dissolve or wind up; or</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effect an IPO;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 in connection with each such event, the Company shall give Holder:</w:t>
      </w:r>
    </w:p>
    <w:p>
      <w:pPr>
        <w:spacing w:after="0" w:line="225" w:lineRule="exact"/>
        <w:rPr>
          <w:sz w:val="20"/>
          <w:szCs w:val="20"/>
          <w:color w:val="auto"/>
        </w:rPr>
      </w:pPr>
    </w:p>
    <w:p>
      <w:pPr>
        <w:ind w:right="60" w:firstLine="1948"/>
        <w:spacing w:after="0" w:line="264" w:lineRule="auto"/>
        <w:tabs>
          <w:tab w:leader="none" w:pos="21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at least seven (7) Business Days prior written notice of the date on which a record will be taken for such dividend, distribution, or subscription rights (and specifying the date on which the holders of outstanding shares of the Class will be entitled thereto) or for determining rights to vote, if any, in respect of the matters referred to in (a) and (b) above;</w:t>
      </w:r>
    </w:p>
    <w:p>
      <w:pPr>
        <w:spacing w:after="0" w:line="181" w:lineRule="exact"/>
        <w:rPr>
          <w:rFonts w:ascii="Arial" w:cs="Arial" w:eastAsia="Arial" w:hAnsi="Arial"/>
          <w:sz w:val="18"/>
          <w:szCs w:val="18"/>
          <w:color w:val="auto"/>
        </w:rPr>
      </w:pPr>
    </w:p>
    <w:p>
      <w:pPr>
        <w:ind w:right="100" w:firstLine="1948"/>
        <w:spacing w:after="0" w:line="264" w:lineRule="auto"/>
        <w:tabs>
          <w:tab w:leader="none" w:pos="21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the case of the matters referred to in (c) and (d) above at least seven (7) Business Days prior written notice of the date when the same will take place (and specifying the date on which the holders of outstanding shares of the Class will be entitled to exchange their shares for the securities or other property deliverable upon the occurrence of such event); and</w:t>
      </w:r>
    </w:p>
    <w:p>
      <w:pPr>
        <w:spacing w:after="0" w:line="181" w:lineRule="exact"/>
        <w:rPr>
          <w:rFonts w:ascii="Arial" w:cs="Arial" w:eastAsia="Arial" w:hAnsi="Arial"/>
          <w:sz w:val="18"/>
          <w:szCs w:val="18"/>
          <w:color w:val="auto"/>
        </w:rPr>
      </w:pPr>
    </w:p>
    <w:p>
      <w:pPr>
        <w:ind w:right="20" w:firstLine="1948"/>
        <w:spacing w:after="0" w:line="277" w:lineRule="auto"/>
        <w:tabs>
          <w:tab w:leader="none" w:pos="21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with respect to the IPO, at least seven (7) Business Days prior written notice of the date on which the Company proposes to file its registration statement in connection therewith.</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Reference is made to Section 1.6(c) whereby this Warrant will be deemed to be exercised pursuant to Section 1.2 hereof if the Company does not give written notice to Holder of a Cash/Public Acquisition as required by the terms hereof. Company will also provide information requested by Holder that is reasonably necessary to enable Holder to comply with Holder’s accounting or reporting requirements.</w:t>
      </w:r>
    </w:p>
    <w:p>
      <w:pPr>
        <w:spacing w:after="0" w:line="39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WARRANTIES OF THE HOLDER.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 represents and warrants to the Company as follows:</w:t>
      </w:r>
    </w:p>
    <w:p>
      <w:pPr>
        <w:spacing w:after="0" w:line="225"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Purchase for Own Account</w:t>
      </w:r>
      <w:r>
        <w:rPr>
          <w:rFonts w:ascii="Arial" w:cs="Arial" w:eastAsia="Arial" w:hAnsi="Arial"/>
          <w:sz w:val="18"/>
          <w:szCs w:val="18"/>
          <w:color w:val="auto"/>
        </w:rPr>
        <w:t>. This Warrant and the securities to be acquired upon exercise of this Warrant by Holder are being acquired for investment for Holder’s account, not as a nominee or agent, and not with a view to the public resale or distribution within the meaning of the Act. Holder also represents that it has not been formed for the specific purpose of acquiring this Warrant or the Shares.</w:t>
      </w:r>
    </w:p>
    <w:p>
      <w:pPr>
        <w:spacing w:after="0" w:line="181" w:lineRule="exact"/>
        <w:rPr>
          <w:sz w:val="20"/>
          <w:szCs w:val="20"/>
          <w:color w:val="auto"/>
        </w:rPr>
      </w:pPr>
    </w:p>
    <w:p>
      <w:pPr>
        <w:jc w:val="both"/>
        <w:ind w:right="20" w:firstLine="1484"/>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Disclosure of Information</w:t>
      </w:r>
      <w:r>
        <w:rPr>
          <w:rFonts w:ascii="Arial" w:cs="Arial" w:eastAsia="Arial" w:hAnsi="Arial"/>
          <w:sz w:val="18"/>
          <w:szCs w:val="18"/>
          <w:color w:val="auto"/>
        </w:rPr>
        <w:t>. Holder is aware of the Company’s business affairs and financial condition and has received or has had full access to all the information it considers necessary or appropriate to make an informed investment decision with respect to the acquisition of this Warrant and its underlying securities. Holder further has had an opportunity to ask questions and receive answers from the Company regarding the terms and conditions of the offering of this Warrant and its underlying securities and to obtain additional information (to the extent the Company possessed such information or could acquire it without</w:t>
      </w:r>
    </w:p>
    <w:p>
      <w:pPr>
        <w:sectPr>
          <w:pgSz w:w="11900" w:h="16838" w:orient="portrait"/>
          <w:cols w:equalWidth="0" w:num="1">
            <w:col w:w="11400"/>
          </w:cols>
          <w:pgMar w:left="240" w:top="274" w:right="25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unreasonable effort or expense) necessary to verify any information furnished to Holder or to which Holder has access.</w:t>
      </w:r>
    </w:p>
    <w:p>
      <w:pPr>
        <w:spacing w:after="0" w:line="225" w:lineRule="exact"/>
        <w:rPr>
          <w:sz w:val="20"/>
          <w:szCs w:val="20"/>
          <w:color w:val="auto"/>
        </w:rPr>
      </w:pPr>
    </w:p>
    <w:p>
      <w:pPr>
        <w:ind w:right="200" w:firstLine="1484"/>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Investment Experience</w:t>
      </w:r>
      <w:r>
        <w:rPr>
          <w:rFonts w:ascii="Arial" w:cs="Arial" w:eastAsia="Arial" w:hAnsi="Arial"/>
          <w:sz w:val="17"/>
          <w:szCs w:val="17"/>
          <w:color w:val="auto"/>
        </w:rPr>
        <w:t>. Holder understands that the purchase of this Warrant and its underlying securities involves substantial risk. Holder has experience as an investor in securities of companies in the development stage and acknowledges that Holder can bear the economic risk of such Holder’s investment in this Warrant and its underlying securities and has such knowledge and experience in financial or business matters that Holder is capable of evaluating the merits and risks of its investment in this Warrant and its underlying securities and/or has a preexisting personal or business relationship with the Company and certain of its officers, directors or controlling persons of a nature and duration that enables Holder to be aware of the character, business acumen and financial circumstances of such persons.</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Accredited Investor Status</w:t>
      </w:r>
      <w:r>
        <w:rPr>
          <w:rFonts w:ascii="Arial" w:cs="Arial" w:eastAsia="Arial" w:hAnsi="Arial"/>
          <w:sz w:val="17"/>
          <w:szCs w:val="17"/>
          <w:color w:val="auto"/>
        </w:rPr>
        <w:t>. Holder is an “accredited investor” within the meaning of Regulation D promulgated under the Act.</w:t>
      </w:r>
    </w:p>
    <w:p>
      <w:pPr>
        <w:spacing w:after="0" w:line="237" w:lineRule="exact"/>
        <w:rPr>
          <w:sz w:val="20"/>
          <w:szCs w:val="20"/>
          <w:color w:val="auto"/>
        </w:rPr>
      </w:pPr>
    </w:p>
    <w:p>
      <w:pPr>
        <w:ind w:right="40" w:firstLine="1484"/>
        <w:spacing w:after="0" w:line="276"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The Act</w:t>
      </w:r>
      <w:r>
        <w:rPr>
          <w:rFonts w:ascii="Arial" w:cs="Arial" w:eastAsia="Arial" w:hAnsi="Arial"/>
          <w:sz w:val="17"/>
          <w:szCs w:val="17"/>
          <w:color w:val="auto"/>
        </w:rPr>
        <w:t>. Holder understands that this Warrant and the Shares issuable upon exercise hereof have not been registered under the Act in reliance upon a specific exemption therefrom, which exemption depends upon, among other things, the bona fide nature of the Holder’s investment intent as expressed herein. Holder understands that this Warrant and the Shares issued upon any exercise hereof must be held indefinitely unless subsequently registered under the Act and qualified under applicable state securities laws, or unless exemption from such registration and qualification are otherwise available. Holder is aware of the provisions of Rule 144 promulgated under the Act.</w:t>
      </w:r>
    </w:p>
    <w:p>
      <w:pPr>
        <w:spacing w:after="0" w:line="173"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The Holder agrees that the Shares shall be subject to the Market Standoff provisions in Section 2.11 of that certain Third Amended and Restated Investor Rights Agreement by and among the Company and the investors party thereto, dated July 15, 2013 (as such agreement may be amended and restated) or similar agreement.</w:t>
      </w:r>
    </w:p>
    <w:p>
      <w:pPr>
        <w:spacing w:after="0" w:line="181" w:lineRule="exact"/>
        <w:rPr>
          <w:sz w:val="20"/>
          <w:szCs w:val="20"/>
          <w:color w:val="auto"/>
        </w:rPr>
      </w:pPr>
    </w:p>
    <w:p>
      <w:pPr>
        <w:jc w:val="both"/>
        <w:ind w:right="20" w:firstLine="1484"/>
        <w:spacing w:after="0" w:line="27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No Voting Rights</w:t>
      </w:r>
      <w:r>
        <w:rPr>
          <w:rFonts w:ascii="Arial" w:cs="Arial" w:eastAsia="Arial" w:hAnsi="Arial"/>
          <w:sz w:val="18"/>
          <w:szCs w:val="18"/>
          <w:color w:val="auto"/>
        </w:rPr>
        <w:t>. Holder, as a Holder of this Warrant, will not have any voting rights until the exercise of this Warrant and, except as expressly set forth in this Warrant, will not be considered a stockholder for any purpose until the exercise of this Warrant.</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Term; Automatic Cashless Exercise Upon Expiration</w:t>
      </w:r>
      <w:r>
        <w:rPr>
          <w:rFonts w:ascii="Arial" w:cs="Arial" w:eastAsia="Arial" w:hAnsi="Arial"/>
          <w:sz w:val="18"/>
          <w:szCs w:val="18"/>
          <w:color w:val="auto"/>
        </w:rPr>
        <w:t>.</w:t>
      </w:r>
    </w:p>
    <w:p>
      <w:pPr>
        <w:spacing w:after="0" w:line="225" w:lineRule="exact"/>
        <w:rPr>
          <w:sz w:val="20"/>
          <w:szCs w:val="20"/>
          <w:color w:val="auto"/>
        </w:rPr>
      </w:pPr>
    </w:p>
    <w:p>
      <w:pPr>
        <w:ind w:right="60" w:firstLine="1492"/>
        <w:spacing w:after="0" w:line="277" w:lineRule="auto"/>
        <w:tabs>
          <w:tab w:leader="none" w:pos="1728"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provisions of Section 1.6 above, this Warrant is exercisable in whole or in part at any time and from time to time on or before 6:00 PM, [</w:t>
      </w:r>
      <w:r>
        <w:rPr>
          <w:rFonts w:ascii="Arial" w:cs="Arial" w:eastAsia="Arial" w:hAnsi="Arial"/>
          <w:sz w:val="18"/>
          <w:szCs w:val="18"/>
          <w:i w:val="1"/>
          <w:iCs w:val="1"/>
          <w:color w:val="auto"/>
        </w:rPr>
        <w:t>for SVB</w:t>
      </w:r>
      <w:r>
        <w:rPr>
          <w:rFonts w:ascii="Arial" w:cs="Arial" w:eastAsia="Arial" w:hAnsi="Arial"/>
          <w:sz w:val="18"/>
          <w:szCs w:val="18"/>
          <w:color w:val="auto"/>
        </w:rPr>
        <w:t>: Pacific][</w:t>
      </w:r>
      <w:r>
        <w:rPr>
          <w:rFonts w:ascii="Arial" w:cs="Arial" w:eastAsia="Arial" w:hAnsi="Arial"/>
          <w:sz w:val="18"/>
          <w:szCs w:val="18"/>
          <w:i w:val="1"/>
          <w:iCs w:val="1"/>
          <w:color w:val="auto"/>
        </w:rPr>
        <w:t>for Oxford</w:t>
      </w:r>
      <w:r>
        <w:rPr>
          <w:rFonts w:ascii="Arial" w:cs="Arial" w:eastAsia="Arial" w:hAnsi="Arial"/>
          <w:sz w:val="18"/>
          <w:szCs w:val="18"/>
          <w:color w:val="auto"/>
        </w:rPr>
        <w:t>: Eastern] time, on the Expiration Date and shall be void thereafter.</w:t>
      </w:r>
    </w:p>
    <w:p>
      <w:pPr>
        <w:spacing w:after="0" w:line="170" w:lineRule="exact"/>
        <w:rPr>
          <w:rFonts w:ascii="Arial" w:cs="Arial" w:eastAsia="Arial" w:hAnsi="Arial"/>
          <w:sz w:val="18"/>
          <w:szCs w:val="18"/>
          <w:color w:val="auto"/>
        </w:rPr>
      </w:pPr>
    </w:p>
    <w:p>
      <w:pPr>
        <w:ind w:right="20" w:firstLine="1492"/>
        <w:spacing w:after="0" w:line="257" w:lineRule="auto"/>
        <w:tabs>
          <w:tab w:leader="none" w:pos="1738"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Automatic Cashless Exercise upon Expiration</w:t>
      </w:r>
      <w:r>
        <w:rPr>
          <w:rFonts w:ascii="Arial" w:cs="Arial" w:eastAsia="Arial" w:hAnsi="Arial"/>
          <w:sz w:val="18"/>
          <w:szCs w:val="18"/>
          <w:color w:val="auto"/>
        </w:rPr>
        <w:t>. In the event that, upon the Expiration Date, the fair market value of one Share (or other security issuable upon the exercise hereof) as determined in accordance with Section 1.3 above is greater than the Warrant Price in effect on such date, then this Warrant shall automatically be deemed on and as of such date to be exercised pursuant to Section 1.2 above as to all Shares (or such other securities) for which it shall not previously have been exercised, and the Company shall, within a reasonable time, deliver a certificate representing the Shares (or such other securities) issued upon such exercise to Holder.</w:t>
      </w:r>
    </w:p>
    <w:p>
      <w:pPr>
        <w:spacing w:after="0" w:line="188" w:lineRule="exact"/>
        <w:rPr>
          <w:sz w:val="20"/>
          <w:szCs w:val="20"/>
          <w:color w:val="auto"/>
        </w:rPr>
      </w:pPr>
    </w:p>
    <w:p>
      <w:pPr>
        <w:ind w:right="160" w:firstLine="1484"/>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Legends</w:t>
      </w:r>
      <w:r>
        <w:rPr>
          <w:rFonts w:ascii="Arial" w:cs="Arial" w:eastAsia="Arial" w:hAnsi="Arial"/>
          <w:sz w:val="18"/>
          <w:szCs w:val="18"/>
          <w:color w:val="auto"/>
        </w:rPr>
        <w:t>. Each certificate evidencing Shares (and each certificate evidencing the securities issued upon conversion of any Shares, if any) shall be imprinted with a legend in substantially the following form:</w:t>
      </w:r>
    </w:p>
    <w:p>
      <w:pPr>
        <w:spacing w:after="0" w:line="62" w:lineRule="exact"/>
        <w:rPr>
          <w:sz w:val="20"/>
          <w:szCs w:val="20"/>
          <w:color w:val="auto"/>
        </w:rPr>
      </w:pPr>
    </w:p>
    <w:p>
      <w:pPr>
        <w:ind w:left="1500"/>
        <w:spacing w:after="0" w:line="277" w:lineRule="auto"/>
        <w:rPr>
          <w:sz w:val="20"/>
          <w:szCs w:val="20"/>
          <w:color w:val="auto"/>
        </w:rPr>
      </w:pPr>
      <w:r>
        <w:rPr>
          <w:rFonts w:ascii="Arial" w:cs="Arial" w:eastAsia="Arial" w:hAnsi="Arial"/>
          <w:sz w:val="18"/>
          <w:szCs w:val="18"/>
          <w:color w:val="auto"/>
        </w:rPr>
        <w:t>THE SHARES EVIDENCED BY THIS CERTIFICATE HAVE NOT BEEN REGISTERED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OR THE SECURITIES LAWS OF ANY STATE AND,</w:t>
      </w:r>
    </w:p>
    <w:p>
      <w:pPr>
        <w:sectPr>
          <w:pgSz w:w="11900" w:h="16838" w:orient="portrait"/>
          <w:cols w:equalWidth="0" w:num="1">
            <w:col w:w="11400"/>
          </w:cols>
          <w:pgMar w:left="240" w:top="274" w:right="259" w:bottom="1440" w:gutter="0" w:footer="0" w:header="0"/>
        </w:sectPr>
      </w:pPr>
    </w:p>
    <w:bookmarkStart w:id="297" w:name="page298"/>
    <w:bookmarkEnd w:id="297"/>
    <w:p>
      <w:pPr>
        <w:ind w:left="1500" w:right="4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SET FORTH IN THAT CERTAIN WARRANT TO PURCHASE STOCK ISSUED BY THE ISSUER TO [SILICON VALLEY BANK][OXFORD FINANCE LLC] DATED [DATE], MAY NOT BE OFFERED, SOLD, PLEDGED OR OTHERWISE TRANSFERRED UNLESS AND UNTIL REGISTERED UNDER SAID ACT AND LAWS OR, IN THE OPINION OF LEGAL COUNSEL IN FORM AND SUBSTANCE SATISFACTORY TO THE ISSUER, SUCH OFFER, SALE, PLEDGE OR OTHER TRANSFER IS EXEMPT FROM SUCH REGISTRATION.</w:t>
      </w:r>
    </w:p>
    <w:p>
      <w:pPr>
        <w:spacing w:after="0" w:line="80" w:lineRule="exact"/>
        <w:rPr>
          <w:sz w:val="20"/>
          <w:szCs w:val="20"/>
          <w:color w:val="auto"/>
        </w:rPr>
      </w:pPr>
    </w:p>
    <w:p>
      <w:pPr>
        <w:ind w:left="1500"/>
        <w:spacing w:after="0" w:line="255" w:lineRule="auto"/>
        <w:rPr>
          <w:sz w:val="20"/>
          <w:szCs w:val="20"/>
          <w:color w:val="auto"/>
        </w:rPr>
      </w:pPr>
      <w:r>
        <w:rPr>
          <w:rFonts w:ascii="Arial" w:cs="Arial" w:eastAsia="Arial" w:hAnsi="Arial"/>
          <w:sz w:val="18"/>
          <w:szCs w:val="18"/>
          <w:color w:val="auto"/>
        </w:rPr>
        <w:t>THE SHARES REPRESENTED BY THIS CERTIFICATE ARE SUBJECT TO A 180 DAY MARKET STAND-OFF RESTRICTION AS SET FORTH IN A CERTAIN AGREEMENT BETWEEN THE ISSUER AND THE ORIGINAL HOLDER OF THESE SHARES, A COPY OF WHICH MAY BE OBTAINED AT THE PRINCIPAL OFFICE OF THE ISSUER AS A RESULT OF SUCH AGREEMENT, THESE SHARES MAY NOT BE TRADED PRIOR TO 180 DAYS AFTER THE EFFECTIVE DATE OF THE INITIAL PUBLIC OFFERING OF THE COMMON STOCK OF THE ISSUER HEREOF. SUCH RESTRICTION IS BINDING ON TRANSFEREES OF THESE SHARES.</w:t>
      </w:r>
    </w:p>
    <w:p>
      <w:pPr>
        <w:spacing w:after="0" w:line="193" w:lineRule="exact"/>
        <w:rPr>
          <w:sz w:val="20"/>
          <w:szCs w:val="20"/>
          <w:color w:val="auto"/>
        </w:rPr>
      </w:pPr>
    </w:p>
    <w:p>
      <w:pPr>
        <w:ind w:right="80" w:firstLine="1484"/>
        <w:spacing w:after="0" w:line="29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Compliance with Securities Laws on Transfer</w:t>
      </w:r>
      <w:r>
        <w:rPr>
          <w:rFonts w:ascii="Arial" w:cs="Arial" w:eastAsia="Arial" w:hAnsi="Arial"/>
          <w:sz w:val="16"/>
          <w:szCs w:val="16"/>
          <w:color w:val="auto"/>
        </w:rPr>
        <w:t>. This Warrant and the Shares issued upon exercise of this Warrant (and the securities issuable, directly or indirectly, upon conversion of the Shares, if any) may not be transferred or assigned in whole or in part except in compliance with applicable federal and state securities laws by the transferor and the transferee (including, without limitation, the delivery of investment representation letters and legal opinions reasonably satisfactory to the Company, as reasonably requested by the Company). The Company shall not require Holder to provide an opinion of counsel if the transfer is to [</w:t>
      </w:r>
      <w:r>
        <w:rPr>
          <w:rFonts w:ascii="Arial" w:cs="Arial" w:eastAsia="Arial" w:hAnsi="Arial"/>
          <w:sz w:val="16"/>
          <w:szCs w:val="16"/>
          <w:i w:val="1"/>
          <w:iCs w:val="1"/>
          <w:color w:val="auto"/>
        </w:rPr>
        <w:t>for SVB</w:t>
      </w:r>
      <w:r>
        <w:rPr>
          <w:rFonts w:ascii="Arial" w:cs="Arial" w:eastAsia="Arial" w:hAnsi="Arial"/>
          <w:sz w:val="16"/>
          <w:szCs w:val="16"/>
          <w:color w:val="auto"/>
        </w:rPr>
        <w:t>: SVB Financial Group (Silicon Valley Bank’s parent company) or any other][</w:t>
      </w:r>
      <w:r>
        <w:rPr>
          <w:rFonts w:ascii="Arial" w:cs="Arial" w:eastAsia="Arial" w:hAnsi="Arial"/>
          <w:sz w:val="16"/>
          <w:szCs w:val="16"/>
          <w:i w:val="1"/>
          <w:iCs w:val="1"/>
          <w:color w:val="auto"/>
        </w:rPr>
        <w:t>for Oxford</w:t>
      </w:r>
      <w:r>
        <w:rPr>
          <w:rFonts w:ascii="Arial" w:cs="Arial" w:eastAsia="Arial" w:hAnsi="Arial"/>
          <w:sz w:val="16"/>
          <w:szCs w:val="16"/>
          <w:color w:val="auto"/>
        </w:rPr>
        <w:t>: an] affiliate of Holder, provided that any such transferee is an “accredited investor” as defined in Regulation D promulgated under the Act. Additionally, the Company shall also not require an opinion of counsel if there is no material question as to the availability of Rule 144 promulgated under the Act.</w:t>
      </w:r>
    </w:p>
    <w:p>
      <w:pPr>
        <w:spacing w:after="0" w:line="167"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w:t>
      </w:r>
      <w:r>
        <w:rPr>
          <w:rFonts w:ascii="Arial" w:cs="Arial" w:eastAsia="Arial" w:hAnsi="Arial"/>
          <w:sz w:val="16"/>
          <w:szCs w:val="16"/>
          <w:i w:val="1"/>
          <w:iCs w:val="1"/>
          <w:u w:val="single" w:color="auto"/>
          <w:color w:val="auto"/>
        </w:rPr>
        <w:t>for SVB</w:t>
      </w:r>
      <w:r>
        <w:rPr>
          <w:rFonts w:ascii="Arial" w:cs="Arial" w:eastAsia="Arial" w:hAnsi="Arial"/>
          <w:sz w:val="16"/>
          <w:szCs w:val="16"/>
          <w:u w:val="single" w:color="auto"/>
          <w:color w:val="auto"/>
        </w:rPr>
        <w:t>: Transfer Procedure</w:t>
      </w:r>
      <w:r>
        <w:rPr>
          <w:rFonts w:ascii="Arial" w:cs="Arial" w:eastAsia="Arial" w:hAnsi="Arial"/>
          <w:sz w:val="16"/>
          <w:szCs w:val="16"/>
          <w:color w:val="auto"/>
        </w:rPr>
        <w:t>. After receipt by Silicon Valley Bank of the executed Warrant, Silicon Valley Bank will transfer all of this Warrant to its parent company, SVB Financial Group. By its acceptance of this Warrant, SVB Financial Group hereby makes to the Company each of the representations and warranties set forth in Section 4 hereof and agrees to be bound by all of the terms and conditions of this Warrant as if the original Holder hereof. Subject to the provisions of Section 5.3 and upon providing the Company with written notice, SVB Financial Group and any subsequent Holder may transfer all or part of this Warrant or the Shares issuable upon exercise of this Warrant (or the securities issuable directly or indirectly, upon conversion of the Shares, if any) to any transferee, provided, however, in connection with any such transfer, SVB Financial Group or any subsequent Holder will give the Company notice of the portion of the Warrant being transferred with the name, address and taxpayer identification number of the transferee and Holder will surrender this Warrant to the Company for reissuance to the transferee(s) (and Holder if applicable); and provided further, that any subsequent transferee other than SVB Financial Group shall agree in writing with the Company to be bound by all of the terms and conditions of this Warrant (including the representations, warranties and covenants set forth in Section 4 hereof).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5" w:lineRule="exact"/>
        <w:rPr>
          <w:sz w:val="20"/>
          <w:szCs w:val="20"/>
          <w:color w:val="auto"/>
        </w:rPr>
      </w:pPr>
    </w:p>
    <w:p>
      <w:pPr>
        <w:ind w:firstLine="1484"/>
        <w:spacing w:after="0" w:line="255"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w:t>
      </w:r>
      <w:r>
        <w:rPr>
          <w:rFonts w:ascii="Arial" w:cs="Arial" w:eastAsia="Arial" w:hAnsi="Arial"/>
          <w:sz w:val="18"/>
          <w:szCs w:val="18"/>
          <w:i w:val="1"/>
          <w:iCs w:val="1"/>
          <w:u w:val="single" w:color="auto"/>
          <w:color w:val="auto"/>
        </w:rPr>
        <w:t>for Oxford</w:t>
      </w:r>
      <w:r>
        <w:rPr>
          <w:rFonts w:ascii="Arial" w:cs="Arial" w:eastAsia="Arial" w:hAnsi="Arial"/>
          <w:sz w:val="18"/>
          <w:szCs w:val="18"/>
          <w:u w:val="single" w:color="auto"/>
          <w:color w:val="auto"/>
        </w:rPr>
        <w:t>: Transfer Procedure</w:t>
      </w:r>
      <w:r>
        <w:rPr>
          <w:rFonts w:ascii="Arial" w:cs="Arial" w:eastAsia="Arial" w:hAnsi="Arial"/>
          <w:sz w:val="18"/>
          <w:szCs w:val="18"/>
          <w:color w:val="auto"/>
        </w:rPr>
        <w:t>. After receipt by Oxford of the executed Warrant, Oxford may transfer all or part of this Warrant to one or more of Oxford’s affiliates (each, an “</w:t>
      </w:r>
      <w:r>
        <w:rPr>
          <w:rFonts w:ascii="Arial" w:cs="Arial" w:eastAsia="Arial" w:hAnsi="Arial"/>
          <w:sz w:val="18"/>
          <w:szCs w:val="18"/>
          <w:b w:val="1"/>
          <w:bCs w:val="1"/>
          <w:color w:val="auto"/>
        </w:rPr>
        <w:t>Oxford Affiliate</w:t>
      </w:r>
      <w:r>
        <w:rPr>
          <w:rFonts w:ascii="Arial" w:cs="Arial" w:eastAsia="Arial" w:hAnsi="Arial"/>
          <w:sz w:val="18"/>
          <w:szCs w:val="18"/>
          <w:color w:val="auto"/>
        </w:rPr>
        <w:t>”), by execution of an Assignment substantially in the form of Appendix 2. Subject to the provisions of Article 5.3 and upon providing the Company with written notice, Oxford, any such Oxford Affiliate and any subsequent Holder, may transfer all or part of this Warrant or the Shares issuable upon exercise of this Warrant (or the Shares issuable directly or indirectly, upon conversion of the Shares, if any) to any other transferee, provided, however, in connection with any such transfer, the Oxford Affiliate(s) or any subsequent Holder will give the Company notice of</w:t>
      </w:r>
    </w:p>
    <w:p>
      <w:pPr>
        <w:sectPr>
          <w:pgSz w:w="11900" w:h="16838" w:orient="portrait"/>
          <w:cols w:equalWidth="0" w:num="1">
            <w:col w:w="11400"/>
          </w:cols>
          <w:pgMar w:left="240" w:top="274" w:right="259" w:bottom="1440" w:gutter="0" w:footer="0" w:header="0"/>
        </w:sectPr>
      </w:pPr>
    </w:p>
    <w:bookmarkStart w:id="298" w:name="page299"/>
    <w:bookmarkEnd w:id="298"/>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portion of the Warrant being transferred with the name, address and taxpayer identification number of the transferee and Holder will surrender this Warrant to the Company for reissuance to the transferee(s) (and Holder if applicable). Notwithstanding any contrary provision herein, at all times prior to the IPO, Holder may not, without the Company’s prior written consent, transfer this Warrant or any portion hereof, or any Shares issued upon any exercise hereof, or any shares or other securities issued upon any conversion of any Shares issued upon any exercise hereof, to any person or entity who directly competes with the Company, except in connection with an Acquisition of the Company by such a direct competitor.]</w:t>
      </w:r>
    </w:p>
    <w:p>
      <w:pPr>
        <w:spacing w:after="0" w:line="173" w:lineRule="exact"/>
        <w:rPr>
          <w:sz w:val="20"/>
          <w:szCs w:val="20"/>
          <w:color w:val="auto"/>
        </w:rPr>
      </w:pPr>
    </w:p>
    <w:p>
      <w:pPr>
        <w:ind w:right="40" w:firstLine="1484"/>
        <w:spacing w:after="0" w:line="29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from the Company to the Holder, or vice versa, shall be deemed delivered and effective (i) when given personally, (ii) on the third (3rd) Business Day after being mailed by first-class registered or certified mail, postage prepaid,</w:t>
      </w:r>
    </w:p>
    <w:p>
      <w:pPr>
        <w:jc w:val="both"/>
        <w:ind w:right="60" w:firstLine="8"/>
        <w:spacing w:after="0" w:line="295" w:lineRule="auto"/>
        <w:tabs>
          <w:tab w:leader="none" w:pos="31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upon actual receipt if given by facsimile or electronic mail and such receipt is confirmed in writing by the recipient, or (iv) on the first Business Day following delivery to a reliable overnight courier service, courier fee prepaid, in any case at such address as may have been furnished to the Company or Holder, as the case may be, in writing by the Company or such Holder from time to time in accordance with the provisions of this Section 5.5. All notices to Holder shall be addressed as follows until the Company receives notice of a change of address in connection with a transfer or otherwise:</w:t>
      </w:r>
    </w:p>
    <w:p>
      <w:pPr>
        <w:spacing w:after="0" w:line="5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[SVB Financial Group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Treasury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3003 Tasman Drive, HA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408-654-7400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408-496-2405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warradmi@svb.com]</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133 N. Fairfax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Alexandria, VA 22314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Legal Department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(703) 519-4900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(703) 519-5225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LegalDepartment@oxfordfinance.com]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Notice to the Company shall be addressed as follows until Holder receives notice of a change in address: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AnaptysBio,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10421 Pacific Center Court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Suite 200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Hamza Suria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(858) 362-6383</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(858) 366-9055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hsuria@anaptysbio.com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Fenwick &amp; West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555 California Street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Francisco, CA 94104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Matthew Rossiter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Telephone: (415) 875-2372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mrossiter@fenwick.com</w:t>
      </w:r>
    </w:p>
    <w:p>
      <w:pPr>
        <w:spacing w:after="0" w:line="211" w:lineRule="exact"/>
        <w:rPr>
          <w:sz w:val="20"/>
          <w:szCs w:val="20"/>
          <w:color w:val="auto"/>
        </w:rPr>
      </w:pPr>
    </w:p>
    <w:p>
      <w:pPr>
        <w:ind w:right="360" w:firstLine="1484"/>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Waiver</w:t>
      </w:r>
      <w:r>
        <w:rPr>
          <w:rFonts w:ascii="Arial" w:cs="Arial" w:eastAsia="Arial" w:hAnsi="Arial"/>
          <w:sz w:val="18"/>
          <w:szCs w:val="18"/>
          <w:color w:val="auto"/>
        </w:rPr>
        <w:t>. This Warrant and any term hereof may be changed, waived, discharged or terminated (either generally or in a particular instance and either retroactively or prospectively) only by an</w:t>
      </w:r>
    </w:p>
    <w:p>
      <w:pPr>
        <w:sectPr>
          <w:pgSz w:w="11900" w:h="16838" w:orient="portrait"/>
          <w:cols w:equalWidth="0" w:num="1">
            <w:col w:w="11320"/>
          </w:cols>
          <w:pgMar w:left="240" w:top="274" w:right="3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instrument in writing signed by the party against which enforcement of such change, waiver, discharge or termination is sought.</w:t>
      </w:r>
    </w:p>
    <w:p>
      <w:pPr>
        <w:spacing w:after="0" w:line="225" w:lineRule="exact"/>
        <w:rPr>
          <w:sz w:val="20"/>
          <w:szCs w:val="20"/>
          <w:color w:val="auto"/>
        </w:rPr>
      </w:pPr>
    </w:p>
    <w:p>
      <w:pPr>
        <w:ind w:right="580" w:firstLine="1484"/>
        <w:spacing w:after="0" w:line="34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Attorneys’ Fees</w:t>
      </w:r>
      <w:r>
        <w:rPr>
          <w:rFonts w:ascii="Arial" w:cs="Arial" w:eastAsia="Arial" w:hAnsi="Arial"/>
          <w:sz w:val="16"/>
          <w:szCs w:val="16"/>
          <w:color w:val="auto"/>
        </w:rPr>
        <w:t>. In the event of any dispute between the parties concerning the terms and provisions of this Warrant, the party prevailing in such dispute shall be entitled to collect from the other party all costs incurred in such dispute, including reasonable attorneys’ fees.</w:t>
      </w:r>
    </w:p>
    <w:p>
      <w:pPr>
        <w:spacing w:after="0" w:line="124" w:lineRule="exact"/>
        <w:rPr>
          <w:sz w:val="20"/>
          <w:szCs w:val="20"/>
          <w:color w:val="auto"/>
        </w:rPr>
      </w:pPr>
    </w:p>
    <w:p>
      <w:pPr>
        <w:ind w:firstLine="1484"/>
        <w:spacing w:after="0" w:line="26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Counterparts; Facsimile/Electronic Signatures</w:t>
      </w:r>
      <w:r>
        <w:rPr>
          <w:rFonts w:ascii="Arial" w:cs="Arial" w:eastAsia="Arial" w:hAnsi="Arial"/>
          <w:sz w:val="18"/>
          <w:szCs w:val="18"/>
          <w:color w:val="auto"/>
        </w:rPr>
        <w:t>. This Warrant may be executed in counterparts, all of which together shall constitute one and the same agreement. Any signature page delivered electronically or by facsimile shall be binding to the same extent as an original signature page with regards to any agreement subject to the terms hereof or any amendment thereto.</w:t>
      </w:r>
    </w:p>
    <w:p>
      <w:pPr>
        <w:spacing w:after="0" w:line="181" w:lineRule="exact"/>
        <w:rPr>
          <w:sz w:val="20"/>
          <w:szCs w:val="20"/>
          <w:color w:val="auto"/>
        </w:rPr>
      </w:pPr>
    </w:p>
    <w:p>
      <w:pPr>
        <w:ind w:right="300" w:firstLine="1484"/>
        <w:spacing w:after="0" w:line="277"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Warrant shall be governed by and construed in accordance with the laws of the State of California, without giving effect to its principles regarding conflicts of law.</w:t>
      </w:r>
    </w:p>
    <w:p>
      <w:pPr>
        <w:spacing w:after="0" w:line="170" w:lineRule="exact"/>
        <w:rPr>
          <w:sz w:val="20"/>
          <w:szCs w:val="20"/>
          <w:color w:val="auto"/>
        </w:rPr>
      </w:pPr>
    </w:p>
    <w:p>
      <w:pPr>
        <w:ind w:right="80" w:firstLine="1484"/>
        <w:spacing w:after="0" w:line="277"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Warrant are for purposes of reference only and shall not limit or otherwise affect the meaning of any provision of this Warrant.</w:t>
      </w:r>
    </w:p>
    <w:p>
      <w:pPr>
        <w:spacing w:after="0" w:line="166" w:lineRule="exact"/>
        <w:rPr>
          <w:sz w:val="20"/>
          <w:szCs w:val="20"/>
          <w:color w:val="auto"/>
        </w:rPr>
      </w:pPr>
    </w:p>
    <w:p>
      <w:pPr>
        <w:ind w:right="520" w:firstLine="1484"/>
        <w:spacing w:after="0" w:line="282"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Business Days</w:t>
      </w:r>
      <w:r>
        <w:rPr>
          <w:rFonts w:ascii="Arial" w:cs="Arial" w:eastAsia="Arial" w:hAnsi="Arial"/>
          <w:sz w:val="18"/>
          <w:szCs w:val="18"/>
          <w:color w:val="auto"/>
        </w:rPr>
        <w:t>. “</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[Silicon Valley Bank is][banks in California are] closed.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left blank intentionally]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274" w:right="239" w:bottom="1440" w:gutter="0" w:footer="0" w:header="0"/>
        </w:sectPr>
      </w:pPr>
    </w:p>
    <w:bookmarkStart w:id="300" w:name="page301"/>
    <w:bookmarkEnd w:id="300"/>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Warrant to Purchase Stock to be executed by their duly authorized representatives effective as of the Issue Date written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 [OXFORD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28"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Warrant to Purchase Stock</w:t>
      </w:r>
      <w:r>
        <w:rPr>
          <w:rFonts w:ascii="Arial" w:cs="Arial" w:eastAsia="Arial" w:hAnsi="Arial"/>
          <w:sz w:val="18"/>
          <w:szCs w:val="18"/>
          <w:b w:val="1"/>
          <w:bCs w:val="1"/>
          <w:color w:val="auto"/>
        </w:rPr>
        <w:t>]</w:t>
      </w:r>
    </w:p>
    <w:p>
      <w:pPr>
        <w:sectPr>
          <w:pgSz w:w="11900" w:h="16838" w:orient="portrait"/>
          <w:cols w:equalWidth="0" w:num="1">
            <w:col w:w="10820"/>
          </w:cols>
          <w:pgMar w:left="240" w:top="274" w:right="839" w:bottom="1440" w:gutter="0" w:footer="0" w:header="0"/>
        </w:sectPr>
      </w:pPr>
    </w:p>
    <w:bookmarkStart w:id="301" w:name="page302"/>
    <w:bookmarkEnd w:id="301"/>
    <w:tbl>
      <w:tblPr>
        <w:tblLayout w:type="fixed"/>
        <w:tblInd w:w="46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0" w:type="dxa"/>
            <w:vAlign w:val="bottom"/>
            <w:gridSpan w:val="2"/>
          </w:tcPr>
          <w:p>
            <w:pPr>
              <w:jc w:val="center"/>
              <w:ind w:right="1700"/>
              <w:spacing w:after="0"/>
              <w:rPr>
                <w:sz w:val="20"/>
                <w:szCs w:val="20"/>
                <w:color w:val="auto"/>
              </w:rPr>
            </w:pPr>
            <w:r>
              <w:rPr>
                <w:rFonts w:ascii="Arial" w:cs="Arial" w:eastAsia="Arial" w:hAnsi="Arial"/>
                <w:sz w:val="18"/>
                <w:szCs w:val="18"/>
                <w:color w:val="auto"/>
                <w:w w:val="96"/>
              </w:rPr>
              <w:t>APPENDIX 1</w:t>
            </w:r>
          </w:p>
        </w:tc>
        <w:tc>
          <w:tcPr>
            <w:tcW w:w="2420" w:type="dxa"/>
            <w:vAlign w:val="bottom"/>
          </w:tcPr>
          <w:p>
            <w:pPr>
              <w:spacing w:after="0"/>
              <w:rPr>
                <w:sz w:val="20"/>
                <w:szCs w:val="20"/>
                <w:color w:val="auto"/>
              </w:rPr>
            </w:pPr>
          </w:p>
        </w:tc>
      </w:tr>
      <w:tr>
        <w:trPr>
          <w:trHeight w:val="392"/>
        </w:trPr>
        <w:tc>
          <w:tcPr>
            <w:tcW w:w="4340" w:type="dxa"/>
            <w:vAlign w:val="bottom"/>
          </w:tcPr>
          <w:p>
            <w:pPr>
              <w:spacing w:after="0"/>
              <w:rPr>
                <w:sz w:val="24"/>
                <w:szCs w:val="24"/>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NOTICE OF EXERCISE</w:t>
            </w:r>
          </w:p>
        </w:tc>
        <w:tc>
          <w:tcPr>
            <w:tcW w:w="142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3"/>
        </w:trPr>
        <w:tc>
          <w:tcPr>
            <w:tcW w:w="4600" w:type="dxa"/>
            <w:vAlign w:val="bottom"/>
            <w:gridSpan w:val="2"/>
          </w:tcPr>
          <w:p>
            <w:pPr>
              <w:spacing w:after="0"/>
              <w:rPr>
                <w:sz w:val="20"/>
                <w:szCs w:val="20"/>
                <w:color w:val="auto"/>
              </w:rPr>
            </w:pPr>
            <w:r>
              <w:rPr>
                <w:rFonts w:ascii="Arial" w:cs="Arial" w:eastAsia="Arial" w:hAnsi="Arial"/>
                <w:sz w:val="18"/>
                <w:szCs w:val="18"/>
                <w:color w:val="auto"/>
                <w:w w:val="92"/>
              </w:rPr>
              <w:t>1. The undersigned Holder hereby exercises its right purchase</w:t>
            </w: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w w:val="97"/>
              </w:rPr>
              <w:t>shares of the Common/Series</w:t>
            </w:r>
          </w:p>
        </w:tc>
        <w:tc>
          <w:tcPr>
            <w:tcW w:w="2420" w:type="dxa"/>
            <w:vAlign w:val="bottom"/>
          </w:tcPr>
          <w:p>
            <w:pPr>
              <w:ind w:left="220"/>
              <w:spacing w:after="0"/>
              <w:rPr>
                <w:sz w:val="20"/>
                <w:szCs w:val="20"/>
                <w:color w:val="auto"/>
              </w:rPr>
            </w:pPr>
            <w:r>
              <w:rPr>
                <w:rFonts w:ascii="Arial" w:cs="Arial" w:eastAsia="Arial" w:hAnsi="Arial"/>
                <w:sz w:val="18"/>
                <w:szCs w:val="18"/>
                <w:color w:val="auto"/>
                <w:w w:val="91"/>
              </w:rPr>
              <w:t>Preferred [circle one] Stock of</w:t>
            </w:r>
          </w:p>
        </w:tc>
      </w:tr>
    </w:tbl>
    <w:p>
      <w:pPr>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ANAPTYSBIO, INC. (the “</w:t>
      </w:r>
      <w:r>
        <w:rPr>
          <w:rFonts w:ascii="Arial" w:cs="Arial" w:eastAsia="Arial" w:hAnsi="Arial"/>
          <w:sz w:val="18"/>
          <w:szCs w:val="18"/>
          <w:b w:val="1"/>
          <w:bCs w:val="1"/>
          <w:color w:val="auto"/>
        </w:rPr>
        <w:t>Company</w:t>
      </w:r>
      <w:r>
        <w:rPr>
          <w:rFonts w:ascii="Arial" w:cs="Arial" w:eastAsia="Arial" w:hAnsi="Arial"/>
          <w:sz w:val="18"/>
          <w:szCs w:val="18"/>
          <w:color w:val="auto"/>
        </w:rPr>
        <w:t>”) in accordance with the attached Warrant To Purchase Stock, and tenders payment of the aggregate Warrant Price for such shares as follows:</w:t>
      </w:r>
    </w:p>
    <w:p>
      <w:pPr>
        <w:sectPr>
          <w:pgSz w:w="11900" w:h="16838" w:orient="portrait"/>
          <w:cols w:equalWidth="0" w:num="1">
            <w:col w:w="11320"/>
          </w:cols>
          <w:pgMar w:left="240" w:top="274" w:right="339" w:bottom="1440" w:gutter="0" w:footer="0" w:header="0"/>
        </w:sectPr>
      </w:pP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tabs>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check in the amount of $</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payable to order of the Company enclosed herewith</w:t>
      </w:r>
    </w:p>
    <w:p>
      <w:pPr>
        <w:spacing w:after="0" w:line="153" w:lineRule="exact"/>
        <w:rPr>
          <w:sz w:val="20"/>
          <w:szCs w:val="20"/>
          <w:color w:val="auto"/>
        </w:rPr>
      </w:pPr>
    </w:p>
    <w:p>
      <w:pPr>
        <w:sectPr>
          <w:pgSz w:w="11900" w:h="16838" w:orient="portrait"/>
          <w:cols w:equalWidth="0" w:num="3">
            <w:col w:w="520" w:space="180"/>
            <w:col w:w="1980" w:space="400"/>
            <w:col w:w="8240"/>
          </w:cols>
          <w:pgMar w:left="240" w:top="274" w:right="3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tabs>
          <w:tab w:leader="none" w:pos="1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Wire transfer of immediately available funds to the Company’s account</w:t>
      </w:r>
    </w:p>
    <w:p>
      <w:pPr>
        <w:spacing w:after="0" w:line="131" w:lineRule="exact"/>
        <w:rPr>
          <w:sz w:val="20"/>
          <w:szCs w:val="20"/>
          <w:color w:val="auto"/>
        </w:rPr>
      </w:pPr>
    </w:p>
    <w:p>
      <w:pPr>
        <w:sectPr>
          <w:pgSz w:w="11900" w:h="16838" w:orient="portrait"/>
          <w:cols w:equalWidth="0" w:num="2">
            <w:col w:w="520" w:space="180"/>
            <w:col w:w="10620"/>
          </w:cols>
          <w:pgMar w:left="240" w:top="274" w:right="339" w:bottom="1440" w:gutter="0" w:footer="0" w:header="0"/>
          <w:type w:val="continuous"/>
        </w:sectPr>
      </w:pPr>
    </w:p>
    <w:p>
      <w:pPr>
        <w:ind w:left="700" w:hanging="246"/>
        <w:spacing w:after="0"/>
        <w:tabs>
          <w:tab w:leader="none" w:pos="7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Cashless Exercise pursuant to Section 1.2 of the Warrant</w:t>
      </w:r>
    </w:p>
    <w:p>
      <w:pPr>
        <w:spacing w:after="0" w:line="130" w:lineRule="exact"/>
        <w:rPr>
          <w:rFonts w:ascii="Arial" w:cs="Arial" w:eastAsia="Arial" w:hAnsi="Arial"/>
          <w:sz w:val="18"/>
          <w:szCs w:val="18"/>
          <w:color w:val="auto"/>
        </w:rPr>
      </w:pPr>
    </w:p>
    <w:p>
      <w:pPr>
        <w:ind w:left="700" w:hanging="246"/>
        <w:spacing w:after="0"/>
        <w:tabs>
          <w:tab w:leader="none" w:pos="7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Other [Describe]</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Please issue a certificate or certificates representing the Shares in the name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306705</wp:posOffset>
            </wp:positionV>
            <wp:extent cx="260731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289560</wp:posOffset>
            </wp:positionV>
            <wp:extent cx="260731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581025</wp:posOffset>
            </wp:positionV>
            <wp:extent cx="260731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ind w:right="320" w:firstLine="464"/>
        <w:spacing w:after="0" w:line="277" w:lineRule="auto"/>
        <w:tabs>
          <w:tab w:leader="none" w:pos="636" w:val="left"/>
        </w:tabs>
        <w:numPr>
          <w:ilvl w:val="0"/>
          <w:numId w:val="264"/>
        </w:numPr>
        <w:rPr>
          <w:rFonts w:ascii="Arial" w:cs="Arial" w:eastAsia="Arial" w:hAnsi="Arial"/>
          <w:sz w:val="18"/>
          <w:szCs w:val="18"/>
          <w:color w:val="auto"/>
        </w:rPr>
      </w:pPr>
      <w:r>
        <w:rPr>
          <w:rFonts w:ascii="Arial" w:cs="Arial" w:eastAsia="Arial" w:hAnsi="Arial"/>
          <w:sz w:val="18"/>
          <w:szCs w:val="18"/>
          <w:color w:val="auto"/>
        </w:rPr>
        <w:t>By its execution below and for the benefit of the Company, Holder hereby restates each of the representations and warranties in Section 4 of the Warrant to Purchase Stock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Appendix 1</w:t>
      </w:r>
    </w:p>
    <w:p>
      <w:pPr>
        <w:sectPr>
          <w:pgSz w:w="11900" w:h="16838" w:orient="portrait"/>
          <w:cols w:equalWidth="0" w:num="1">
            <w:col w:w="11320"/>
          </w:cols>
          <w:pgMar w:left="240" w:top="274" w:right="339" w:bottom="1440" w:gutter="0" w:footer="0" w:header="0"/>
          <w:type w:val="continuous"/>
        </w:sectPr>
      </w:pPr>
    </w:p>
    <w:bookmarkStart w:id="302" w:name="page303"/>
    <w:bookmarkEnd w:id="302"/>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[insert Appendix 2 for Oxford Warrants:</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2</w:t>
      </w:r>
    </w:p>
    <w:p>
      <w:pPr>
        <w:spacing w:after="0" w:line="225" w:lineRule="exact"/>
        <w:rPr>
          <w:sz w:val="20"/>
          <w:szCs w:val="20"/>
          <w:color w:val="auto"/>
        </w:rPr>
      </w:pPr>
    </w:p>
    <w:p>
      <w:pPr>
        <w:jc w:val="right"/>
        <w:ind w:right="5060"/>
        <w:spacing w:after="0"/>
        <w:rPr>
          <w:sz w:val="20"/>
          <w:szCs w:val="20"/>
          <w:color w:val="auto"/>
        </w:rPr>
      </w:pPr>
      <w:r>
        <w:rPr>
          <w:rFonts w:ascii="Arial" w:cs="Arial" w:eastAsia="Arial" w:hAnsi="Arial"/>
          <w:sz w:val="18"/>
          <w:szCs w:val="18"/>
          <w:b w:val="1"/>
          <w:bCs w:val="1"/>
          <w:u w:val="single" w:color="auto"/>
          <w:color w:val="auto"/>
        </w:rPr>
        <w:t>ASSIGNMENT</w:t>
      </w:r>
    </w:p>
    <w:p>
      <w:pPr>
        <w:spacing w:after="0" w:line="121" w:lineRule="exact"/>
        <w:rPr>
          <w:sz w:val="20"/>
          <w:szCs w:val="20"/>
          <w:color w:val="auto"/>
        </w:rPr>
      </w:pPr>
    </w:p>
    <w:p>
      <w:pPr>
        <w:jc w:val="right"/>
        <w:ind w:right="5120"/>
        <w:spacing w:after="0"/>
        <w:rPr>
          <w:sz w:val="20"/>
          <w:szCs w:val="20"/>
          <w:color w:val="auto"/>
        </w:rPr>
      </w:pPr>
      <w:r>
        <w:rPr>
          <w:rFonts w:ascii="Arial" w:cs="Arial" w:eastAsia="Arial" w:hAnsi="Arial"/>
          <w:sz w:val="17"/>
          <w:szCs w:val="17"/>
          <w:color w:val="auto"/>
        </w:rPr>
        <w:t>For value received, Oxford Finance LLC hereby sells, assigns and transfers unto</w:t>
      </w:r>
    </w:p>
    <w:p>
      <w:pPr>
        <w:spacing w:after="0" w:line="264" w:lineRule="exact"/>
        <w:rPr>
          <w:sz w:val="20"/>
          <w:szCs w:val="20"/>
          <w:color w:val="auto"/>
        </w:rPr>
      </w:pPr>
    </w:p>
    <w:p>
      <w:pPr>
        <w:ind w:left="3440"/>
        <w:spacing w:after="0"/>
        <w:tabs>
          <w:tab w:leader="none" w:pos="42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[OXFORD TRANSFEREE]</w:t>
      </w:r>
    </w:p>
    <w:p>
      <w:pPr>
        <w:spacing w:after="0" w:line="11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3755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4"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Tax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14605</wp:posOffset>
            </wp:positionV>
            <wp:extent cx="237553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20" w:lineRule="exact"/>
        <w:rPr>
          <w:sz w:val="20"/>
          <w:szCs w:val="20"/>
          <w:color w:val="auto"/>
        </w:rPr>
      </w:pPr>
    </w:p>
    <w:p>
      <w:pPr>
        <w:ind w:left="460"/>
        <w:spacing w:after="0" w:line="282" w:lineRule="auto"/>
        <w:rPr>
          <w:sz w:val="20"/>
          <w:szCs w:val="20"/>
          <w:color w:val="auto"/>
        </w:rPr>
      </w:pPr>
      <w:r>
        <w:rPr>
          <w:rFonts w:ascii="Arial" w:cs="Arial" w:eastAsia="Arial" w:hAnsi="Arial"/>
          <w:sz w:val="18"/>
          <w:szCs w:val="18"/>
          <w:color w:val="auto"/>
        </w:rPr>
        <w:t>that certain Warrant to Purchase Stock issued by ANAPTYSBIO, INC. (the “Company”), on [DATE] (the “</w:t>
      </w:r>
      <w:r>
        <w:rPr>
          <w:rFonts w:ascii="Arial" w:cs="Arial" w:eastAsia="Arial" w:hAnsi="Arial"/>
          <w:sz w:val="18"/>
          <w:szCs w:val="18"/>
          <w:b w:val="1"/>
          <w:bCs w:val="1"/>
          <w:color w:val="auto"/>
        </w:rPr>
        <w:t>Warrant</w:t>
      </w:r>
      <w:r>
        <w:rPr>
          <w:rFonts w:ascii="Arial" w:cs="Arial" w:eastAsia="Arial" w:hAnsi="Arial"/>
          <w:sz w:val="18"/>
          <w:szCs w:val="18"/>
          <w:color w:val="auto"/>
        </w:rPr>
        <w:t>”) together with all rights, title and interest therein.</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By its execution below, and for the benefit of the Company, [OXFORD TRANSFEREE] makes each of the representations and warranties set forth in Article 4 of the Warrant and agrees to all other provisions of the Warrant as of the date hereof.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Appendix 2</w:t>
      </w:r>
    </w:p>
    <w:p>
      <w:pPr>
        <w:sectPr>
          <w:pgSz w:w="11900" w:h="16838" w:orient="portrait"/>
          <w:cols w:equalWidth="0" w:num="1">
            <w:col w:w="11380"/>
          </w:cols>
          <w:pgMar w:left="240" w:top="274" w:right="279" w:bottom="1440" w:gutter="0" w:footer="0" w:header="0"/>
        </w:sectPr>
      </w:pPr>
    </w:p>
    <w:bookmarkStart w:id="303" w:name="page304"/>
    <w:bookmarkEnd w:id="303"/>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Company Capitalization Table</w:t>
      </w:r>
    </w:p>
    <w:p>
      <w:pPr>
        <w:spacing w:after="0" w:line="248"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Schedule 1</w:t>
      </w:r>
    </w:p>
    <w:p>
      <w:pPr>
        <w:sectPr>
          <w:pgSz w:w="11900" w:h="16838" w:orient="portrait"/>
          <w:cols w:equalWidth="0" w:num="1">
            <w:col w:w="9019"/>
          </w:cols>
          <w:pgMar w:left="1440" w:top="274" w:right="1440" w:bottom="1440" w:gutter="0" w:footer="0" w:header="0"/>
        </w:sectPr>
      </w:pPr>
    </w:p>
    <w:bookmarkStart w:id="304" w:name="page305"/>
    <w:bookmarkEnd w:id="304"/>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DEBTOR:</w:t>
            </w: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ANAPTYSBIO, INC.</w:t>
            </w:r>
          </w:p>
        </w:tc>
      </w:tr>
      <w:tr>
        <w:trPr>
          <w:trHeight w:val="216"/>
        </w:trPr>
        <w:tc>
          <w:tcPr>
            <w:tcW w:w="192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OXFORD FINANCE LLC,</w:t>
            </w:r>
          </w:p>
        </w:tc>
      </w:tr>
      <w:tr>
        <w:trPr>
          <w:trHeight w:val="234"/>
        </w:trPr>
        <w:tc>
          <w:tcPr>
            <w:tcW w:w="1920" w:type="dxa"/>
            <w:vAlign w:val="bottom"/>
          </w:tcPr>
          <w:p>
            <w:pPr>
              <w:spacing w:after="0"/>
              <w:rPr>
                <w:sz w:val="20"/>
                <w:szCs w:val="20"/>
                <w:color w:val="auto"/>
              </w:rPr>
            </w:pPr>
          </w:p>
        </w:tc>
        <w:tc>
          <w:tcPr>
            <w:tcW w:w="5760" w:type="dxa"/>
            <w:vAlign w:val="bottom"/>
            <w:gridSpan w:val="3"/>
          </w:tcPr>
          <w:p>
            <w:pPr>
              <w:ind w:left="380"/>
              <w:spacing w:after="0"/>
              <w:rPr>
                <w:sz w:val="20"/>
                <w:szCs w:val="20"/>
                <w:color w:val="auto"/>
              </w:rPr>
            </w:pPr>
            <w:r>
              <w:rPr>
                <w:rFonts w:ascii="Arial" w:cs="Arial" w:eastAsia="Arial" w:hAnsi="Arial"/>
                <w:sz w:val="18"/>
                <w:szCs w:val="18"/>
                <w:b w:val="1"/>
                <w:bCs w:val="1"/>
                <w:color w:val="auto"/>
              </w:rPr>
              <w:t>as Collateral Agent</w:t>
            </w:r>
          </w:p>
        </w:tc>
      </w:tr>
      <w:tr>
        <w:trPr>
          <w:trHeight w:val="648"/>
        </w:trPr>
        <w:tc>
          <w:tcPr>
            <w:tcW w:w="1920" w:type="dxa"/>
            <w:vAlign w:val="bottom"/>
          </w:tcPr>
          <w:p>
            <w:pPr>
              <w:spacing w:after="0"/>
              <w:rPr>
                <w:sz w:val="24"/>
                <w:szCs w:val="24"/>
                <w:color w:val="auto"/>
              </w:rPr>
            </w:pPr>
          </w:p>
        </w:tc>
        <w:tc>
          <w:tcPr>
            <w:tcW w:w="5760" w:type="dxa"/>
            <w:vAlign w:val="bottom"/>
            <w:gridSpan w:val="3"/>
          </w:tcPr>
          <w:p>
            <w:pPr>
              <w:jc w:val="center"/>
              <w:ind w:left="1750"/>
              <w:spacing w:after="0"/>
              <w:rPr>
                <w:sz w:val="20"/>
                <w:szCs w:val="20"/>
                <w:color w:val="auto"/>
              </w:rPr>
            </w:pPr>
            <w:r>
              <w:rPr>
                <w:rFonts w:ascii="Arial" w:cs="Arial" w:eastAsia="Arial" w:hAnsi="Arial"/>
                <w:sz w:val="18"/>
                <w:szCs w:val="18"/>
                <w:b w:val="1"/>
                <w:bCs w:val="1"/>
                <w:color w:val="auto"/>
              </w:rPr>
              <w:t>EXHIBIT A TO UCC FINANCING STATEMENT</w:t>
            </w:r>
          </w:p>
        </w:tc>
      </w:tr>
      <w:tr>
        <w:trPr>
          <w:trHeight w:val="392"/>
        </w:trPr>
        <w:tc>
          <w:tcPr>
            <w:tcW w:w="1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92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1"/>
              </w:rPr>
              <w:t>Description of Collateral</w:t>
            </w:r>
          </w:p>
        </w:tc>
      </w:tr>
      <w:tr>
        <w:trPr>
          <w:trHeight w:val="20"/>
        </w:trPr>
        <w:tc>
          <w:tcPr>
            <w:tcW w:w="1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Collateral consists of all of Debtor’s right, title and interest in and to the following personal property:</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provided that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Debtor that are proceeds of the Intellectual Property; (ii) more than sixty five percent (65%) of the total combined voting power of all classes of stock entitled to vote the shares of capital stock of any Foreign Subsidiary, if Borrower demonstrates to Collateral Agent’s reasonable satisfaction that a pledge of more than sixty five percent (65%) of the Shares of such Subsidiary creates a present and existing adverse tax consequence to Borrower under the U.S. Internal Revenue Code; (iii) more than sixty five percent (65%) of the total combined voting power of all classes of stock entitled to vote the shares of capital stock of the Australia Subsidiary; and (iv) any (x) inbound licenses of Intellectual Property in which Borrower is the licensee; or (y) real estate leasehold interests in which Borrower is the lessee; in each case of (x) and (y), to the extent the grant of a security interest with respect to such property would be prohibited by the agreement with the non-Borrower party or would otherwise constitute a default thereunder, provided that such property will automatically be deemed to be “Collateral” hereunder if such prohibition is unenforceable or ineffective and/or upon the termination, lapsing or expiration of any such prohibition.</w:t>
      </w:r>
    </w:p>
    <w:p>
      <w:pPr>
        <w:spacing w:after="0" w:line="17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Debtor has agreed not to encumber any of its Intellectual Property.</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Capitalized terms used but not defined herein have the meanings ascribed in the Uniform Commercial Code in effect in the State of California as in effect from time to time (the “Code”) or, if not defined in the Code, then in the Loan and Security Agreement by and between Debtor, Secured Party and the other Lenders party thereto (as modified, amended and/or restated from time to time).</w:t>
      </w:r>
    </w:p>
    <w:p>
      <w:pPr>
        <w:sectPr>
          <w:pgSz w:w="11900" w:h="16838" w:orient="portrait"/>
          <w:cols w:equalWidth="0" w:num="1">
            <w:col w:w="11420"/>
          </w:cols>
          <w:pgMar w:left="240" w:top="269" w:right="239" w:bottom="1440" w:gutter="0" w:footer="0" w:header="0"/>
        </w:sectPr>
      </w:pPr>
    </w:p>
    <w:bookmarkStart w:id="305" w:name="page306"/>
    <w:bookmarkEnd w:id="3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FIRST AMENDMENT TO LOAN AND SECURITY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January 25, 2016, by and between OXFORD FINANCE LLC, a Delaware limited liability company with an office located at 133 North Fairfax Street, Alexandria, Virginia 22314 (“</w:t>
      </w:r>
      <w:r>
        <w:rPr>
          <w:rFonts w:ascii="Arial" w:cs="Arial" w:eastAsia="Arial" w:hAnsi="Arial"/>
          <w:sz w:val="17"/>
          <w:szCs w:val="17"/>
          <w:b w:val="1"/>
          <w:bCs w:val="1"/>
          <w:color w:val="auto"/>
        </w:rPr>
        <w:t>Oxford</w:t>
      </w:r>
      <w:r>
        <w:rPr>
          <w:rFonts w:ascii="Arial" w:cs="Arial" w:eastAsia="Arial" w:hAnsi="Arial"/>
          <w:sz w:val="17"/>
          <w:szCs w:val="17"/>
          <w:color w:val="auto"/>
        </w:rPr>
        <w:t>”), as collateral agent (in such capacity, “</w:t>
      </w:r>
      <w:r>
        <w:rPr>
          <w:rFonts w:ascii="Arial" w:cs="Arial" w:eastAsia="Arial" w:hAnsi="Arial"/>
          <w:sz w:val="17"/>
          <w:szCs w:val="17"/>
          <w:b w:val="1"/>
          <w:bCs w:val="1"/>
          <w:color w:val="auto"/>
        </w:rPr>
        <w:t>Collateral Agent</w:t>
      </w:r>
      <w:r>
        <w:rPr>
          <w:rFonts w:ascii="Arial" w:cs="Arial" w:eastAsia="Arial" w:hAnsi="Arial"/>
          <w:sz w:val="17"/>
          <w:szCs w:val="17"/>
          <w:color w:val="auto"/>
        </w:rPr>
        <w:t xml:space="preserve">”), the Lenders listed on </w:t>
      </w:r>
      <w:r>
        <w:rPr>
          <w:rFonts w:ascii="Arial" w:cs="Arial" w:eastAsia="Arial" w:hAnsi="Arial"/>
          <w:sz w:val="17"/>
          <w:szCs w:val="17"/>
          <w:u w:val="single" w:color="auto"/>
          <w:color w:val="auto"/>
        </w:rPr>
        <w:t>Schedule 1.1</w:t>
      </w:r>
      <w:r>
        <w:rPr>
          <w:rFonts w:ascii="Arial" w:cs="Arial" w:eastAsia="Arial" w:hAnsi="Arial"/>
          <w:sz w:val="17"/>
          <w:szCs w:val="17"/>
          <w:color w:val="auto"/>
        </w:rPr>
        <w:t xml:space="preserve"> of the Loan Agreement (as defined below) or otherwise party thereto from time to time including Oxford in its capacity as a Lender and SILICON VALLEY BANK, a California corporation with an office located at 3003 Tasman Drive, Santa Clara, CA 95054 (“</w:t>
      </w:r>
      <w:r>
        <w:rPr>
          <w:rFonts w:ascii="Arial" w:cs="Arial" w:eastAsia="Arial" w:hAnsi="Arial"/>
          <w:sz w:val="17"/>
          <w:szCs w:val="17"/>
          <w:b w:val="1"/>
          <w:bCs w:val="1"/>
          <w:color w:val="auto"/>
        </w:rPr>
        <w:t>Bank</w:t>
      </w:r>
      <w:r>
        <w:rPr>
          <w:rFonts w:ascii="Arial" w:cs="Arial" w:eastAsia="Arial" w:hAnsi="Arial"/>
          <w:sz w:val="17"/>
          <w:szCs w:val="17"/>
          <w:color w:val="auto"/>
        </w:rPr>
        <w:t>” or “</w:t>
      </w:r>
      <w:r>
        <w:rPr>
          <w:rFonts w:ascii="Arial" w:cs="Arial" w:eastAsia="Arial" w:hAnsi="Arial"/>
          <w:sz w:val="17"/>
          <w:szCs w:val="17"/>
          <w:b w:val="1"/>
          <w:bCs w:val="1"/>
          <w:color w:val="auto"/>
        </w:rPr>
        <w:t>SVB</w:t>
      </w:r>
      <w:r>
        <w:rPr>
          <w:rFonts w:ascii="Arial" w:cs="Arial" w:eastAsia="Arial" w:hAnsi="Arial"/>
          <w:sz w:val="17"/>
          <w:szCs w:val="17"/>
          <w:color w:val="auto"/>
        </w:rPr>
        <w:t>”) (each a “</w:t>
      </w:r>
      <w:r>
        <w:rPr>
          <w:rFonts w:ascii="Arial" w:cs="Arial" w:eastAsia="Arial" w:hAnsi="Arial"/>
          <w:sz w:val="17"/>
          <w:szCs w:val="17"/>
          <w:b w:val="1"/>
          <w:bCs w:val="1"/>
          <w:color w:val="auto"/>
        </w:rPr>
        <w:t>Lender</w:t>
      </w:r>
      <w:r>
        <w:rPr>
          <w:rFonts w:ascii="Arial" w:cs="Arial" w:eastAsia="Arial" w:hAnsi="Arial"/>
          <w:sz w:val="17"/>
          <w:szCs w:val="17"/>
          <w:color w:val="auto"/>
        </w:rPr>
        <w:t>” and collectively, the “</w:t>
      </w:r>
      <w:r>
        <w:rPr>
          <w:rFonts w:ascii="Arial" w:cs="Arial" w:eastAsia="Arial" w:hAnsi="Arial"/>
          <w:sz w:val="17"/>
          <w:szCs w:val="17"/>
          <w:b w:val="1"/>
          <w:bCs w:val="1"/>
          <w:color w:val="auto"/>
        </w:rPr>
        <w:t>Lenders</w:t>
      </w:r>
      <w:r>
        <w:rPr>
          <w:rFonts w:ascii="Arial" w:cs="Arial" w:eastAsia="Arial" w:hAnsi="Arial"/>
          <w:sz w:val="17"/>
          <w:szCs w:val="17"/>
          <w:color w:val="auto"/>
        </w:rPr>
        <w:t>”), and ANAPTYSBIO, INC., a Delaware corporation with offices located at 10421 Pacific Center Court, Suite 200, San Diego, CA 92121 (“</w:t>
      </w:r>
      <w:r>
        <w:rPr>
          <w:rFonts w:ascii="Arial" w:cs="Arial" w:eastAsia="Arial" w:hAnsi="Arial"/>
          <w:sz w:val="17"/>
          <w:szCs w:val="17"/>
          <w:b w:val="1"/>
          <w:bCs w:val="1"/>
          <w:color w:val="auto"/>
        </w:rPr>
        <w:t>Borrower</w:t>
      </w:r>
      <w:r>
        <w:rPr>
          <w:rFonts w:ascii="Arial" w:cs="Arial" w:eastAsia="Arial" w:hAnsi="Arial"/>
          <w:sz w:val="17"/>
          <w:szCs w:val="17"/>
          <w:color w:val="auto"/>
        </w:rPr>
        <w: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Collateral Agent, Lenders and Borrower have entered into that certain Loan and Security Agreement dated as of December 24, 2014 (as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Lenders have extended credit to Borrower for the purposes permitted in the Loan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color w:val="auto"/>
        </w:rPr>
        <w:t>Borrower has requested that Collateral Agent and Lenders make certain revisions to the Loan Agreement as more fully set forth herein.</w:t>
      </w:r>
    </w:p>
    <w:p>
      <w:pPr>
        <w:spacing w:after="0" w:line="237"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Collateral Agent and Lenders have agreed to amend certain provisions of the Loan Agreement, but only to the extent,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conditions and in reliance upon the representations and warranties set forth below.</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Now,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of the foregoing recitals and other good and valuable consideration, the receipt and adequacy of which is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and intending to be legally bound, the parties hereto agree as follows:</w:t>
      </w:r>
    </w:p>
    <w:p>
      <w:pPr>
        <w:spacing w:after="0" w:line="54" w:lineRule="exact"/>
        <w:rPr>
          <w:sz w:val="20"/>
          <w:szCs w:val="20"/>
          <w:color w:val="auto"/>
        </w:rPr>
      </w:pPr>
    </w:p>
    <w:p>
      <w:pPr>
        <w:ind w:left="640" w:hanging="176"/>
        <w:spacing w:after="0"/>
        <w:tabs>
          <w:tab w:leader="none" w:pos="6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Capitalized terms used but not defined in this Amendment shall have the meanings given to them in the Loan Agreement.</w:t>
      </w:r>
    </w:p>
    <w:p>
      <w:pPr>
        <w:spacing w:after="0" w:line="225" w:lineRule="exact"/>
        <w:rPr>
          <w:rFonts w:ascii="Arial" w:cs="Arial" w:eastAsia="Arial" w:hAnsi="Arial"/>
          <w:sz w:val="18"/>
          <w:szCs w:val="18"/>
          <w:b w:val="1"/>
          <w:bCs w:val="1"/>
          <w:color w:val="auto"/>
        </w:rPr>
      </w:pPr>
    </w:p>
    <w:p>
      <w:pPr>
        <w:ind w:left="640" w:hanging="176"/>
        <w:spacing w:after="0"/>
        <w:tabs>
          <w:tab w:leader="none" w:pos="6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2.1 Section 2.2 (Term Loans). </w:t>
      </w:r>
      <w:r>
        <w:rPr>
          <w:rFonts w:ascii="Arial" w:cs="Arial" w:eastAsia="Arial" w:hAnsi="Arial"/>
          <w:sz w:val="18"/>
          <w:szCs w:val="18"/>
          <w:color w:val="auto"/>
        </w:rPr>
        <w:t>Sections 2.2(a)(ii)-(iii) of the Loan Agreement are amended and restated as follows:</w:t>
      </w:r>
    </w:p>
    <w:p>
      <w:pPr>
        <w:spacing w:after="0" w:line="121" w:lineRule="exact"/>
        <w:rPr>
          <w:sz w:val="20"/>
          <w:szCs w:val="20"/>
          <w:color w:val="auto"/>
        </w:rPr>
      </w:pPr>
    </w:p>
    <w:p>
      <w:pPr>
        <w:ind w:left="920" w:right="40" w:firstLine="420"/>
        <w:spacing w:after="0" w:line="257" w:lineRule="auto"/>
        <w:rPr>
          <w:sz w:val="20"/>
          <w:szCs w:val="20"/>
          <w:color w:val="auto"/>
        </w:rPr>
      </w:pPr>
      <w:r>
        <w:rPr>
          <w:rFonts w:ascii="Arial" w:cs="Arial" w:eastAsia="Arial" w:hAnsi="Arial"/>
          <w:sz w:val="18"/>
          <w:szCs w:val="18"/>
          <w:color w:val="auto"/>
        </w:rPr>
        <w:t xml:space="preserve">“(ii) Subject to the terms and conditions of this Agreement, the Lenders agree, severally and not jointly, during the Second Draw Period, to make term loans to Borrower in a single advance in an aggregate amount of Five Million Dollars ($5,000,000.00) according to each Lender’s Term B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 Loans</w:t>
      </w:r>
      <w:r>
        <w:rPr>
          <w:rFonts w:ascii="Arial" w:cs="Arial" w:eastAsia="Arial" w:hAnsi="Arial"/>
          <w:sz w:val="18"/>
          <w:szCs w:val="18"/>
          <w:color w:val="auto"/>
        </w:rPr>
        <w:t>”, provided that the Term C Loans and the Term B Loans must be funded simultaneously. After repayment, no Term B Loan may be re-borrowed.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69" w:right="259" w:bottom="1440" w:gutter="0" w:footer="0" w:header="0"/>
        </w:sectPr>
      </w:pPr>
    </w:p>
    <w:bookmarkStart w:id="306" w:name="page307"/>
    <w:bookmarkEnd w:id="306"/>
    <w:p>
      <w:pPr>
        <w:ind w:right="80" w:firstLine="421"/>
        <w:spacing w:after="0" w:line="293" w:lineRule="auto"/>
        <w:tabs>
          <w:tab w:leader="none" w:pos="735" w:val="left"/>
        </w:tabs>
        <w:numPr>
          <w:ilvl w:val="0"/>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the terms and conditions of this Agreement, the Lenders agree, severally and not jointly, during the Third Draw Period, to make term loans to Borrower in a single advance in an aggregate amount of Five Million Dollars ($5,000,000.00) according to each Lender’s Term C Loan Commitment as set forth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(such term loans are hereinafter referred to singly as a “</w:t>
      </w:r>
      <w:r>
        <w:rPr>
          <w:rFonts w:ascii="Arial" w:cs="Arial" w:eastAsia="Arial" w:hAnsi="Arial"/>
          <w:sz w:val="16"/>
          <w:szCs w:val="16"/>
          <w:b w:val="1"/>
          <w:bCs w:val="1"/>
          <w:color w:val="auto"/>
        </w:rPr>
        <w:t>Term C Loan</w:t>
      </w:r>
      <w:r>
        <w:rPr>
          <w:rFonts w:ascii="Arial" w:cs="Arial" w:eastAsia="Arial" w:hAnsi="Arial"/>
          <w:sz w:val="16"/>
          <w:szCs w:val="16"/>
          <w:color w:val="auto"/>
        </w:rPr>
        <w:t>”, and collectively as the “</w:t>
      </w:r>
      <w:r>
        <w:rPr>
          <w:rFonts w:ascii="Arial" w:cs="Arial" w:eastAsia="Arial" w:hAnsi="Arial"/>
          <w:sz w:val="16"/>
          <w:szCs w:val="16"/>
          <w:b w:val="1"/>
          <w:bCs w:val="1"/>
          <w:color w:val="auto"/>
        </w:rPr>
        <w:t>Term C Loans</w:t>
      </w:r>
      <w:r>
        <w:rPr>
          <w:rFonts w:ascii="Arial" w:cs="Arial" w:eastAsia="Arial" w:hAnsi="Arial"/>
          <w:sz w:val="16"/>
          <w:szCs w:val="16"/>
          <w:color w:val="auto"/>
        </w:rPr>
        <w:t>”; each Term A Loan, Term B Loan or Term C Loan is hereinafter referred to singly as a “</w:t>
      </w:r>
      <w:r>
        <w:rPr>
          <w:rFonts w:ascii="Arial" w:cs="Arial" w:eastAsia="Arial" w:hAnsi="Arial"/>
          <w:sz w:val="16"/>
          <w:szCs w:val="16"/>
          <w:b w:val="1"/>
          <w:bCs w:val="1"/>
          <w:color w:val="auto"/>
        </w:rPr>
        <w:t>Term Loan</w:t>
      </w:r>
      <w:r>
        <w:rPr>
          <w:rFonts w:ascii="Arial" w:cs="Arial" w:eastAsia="Arial" w:hAnsi="Arial"/>
          <w:sz w:val="16"/>
          <w:szCs w:val="16"/>
          <w:color w:val="auto"/>
        </w:rPr>
        <w:t>” and the Term A Loans, the Term B Loans and the Term C Loans are hereinafter referred to collectively as the “</w:t>
      </w:r>
      <w:r>
        <w:rPr>
          <w:rFonts w:ascii="Arial" w:cs="Arial" w:eastAsia="Arial" w:hAnsi="Arial"/>
          <w:sz w:val="16"/>
          <w:szCs w:val="16"/>
          <w:b w:val="1"/>
          <w:bCs w:val="1"/>
          <w:color w:val="auto"/>
        </w:rPr>
        <w:t>Term Loans</w:t>
      </w:r>
      <w:r>
        <w:rPr>
          <w:rFonts w:ascii="Arial" w:cs="Arial" w:eastAsia="Arial" w:hAnsi="Arial"/>
          <w:sz w:val="16"/>
          <w:szCs w:val="16"/>
          <w:color w:val="auto"/>
        </w:rPr>
        <w:t>”, provided that the Term B Loans and the Term C Loans must be funded simultaneously. After repayment, no Term C Loan may be re-borrowed.”</w:t>
      </w:r>
    </w:p>
    <w:p>
      <w:pPr>
        <w:spacing w:after="0" w:line="161"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 xml:space="preserve">2.2 Section 2.2 (Term Loans). </w:t>
      </w:r>
      <w:r>
        <w:rPr>
          <w:rFonts w:ascii="Arial" w:cs="Arial" w:eastAsia="Arial" w:hAnsi="Arial"/>
          <w:sz w:val="18"/>
          <w:szCs w:val="18"/>
          <w:color w:val="auto"/>
        </w:rPr>
        <w:t>Sections 2.2(b)-(d) of the Loan Agreement are amended and restated as follows:</w:t>
      </w:r>
    </w:p>
    <w:p>
      <w:pPr>
        <w:spacing w:after="0" w:line="121" w:lineRule="exact"/>
        <w:rPr>
          <w:sz w:val="20"/>
          <w:szCs w:val="20"/>
          <w:color w:val="auto"/>
        </w:rPr>
      </w:pPr>
    </w:p>
    <w:p>
      <w:pPr>
        <w:ind w:right="20" w:firstLine="420"/>
        <w:spacing w:after="0" w:line="28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monthly payments of interest only commencing on the first (1</w:t>
      </w:r>
      <w:r>
        <w:rPr>
          <w:rFonts w:ascii="Arial" w:cs="Arial" w:eastAsia="Arial" w:hAnsi="Arial"/>
          <w:sz w:val="13"/>
          <w:szCs w:val="13"/>
          <w:color w:val="auto"/>
        </w:rPr>
        <w:t>st</w:t>
      </w:r>
      <w:r>
        <w:rPr>
          <w:rFonts w:ascii="Arial" w:cs="Arial" w:eastAsia="Arial" w:hAnsi="Arial"/>
          <w:sz w:val="16"/>
          <w:szCs w:val="16"/>
          <w:color w:val="auto"/>
        </w:rPr>
        <w: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 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twenty four (24) months. All unpaid principal and accrued and unpaid interest with respect to each Term Loan is due and payable in full on the Maturity Date. Each Term Loan may only be prepaid in accordance with Sections 2.2(c) and 2.2(d).</w:t>
      </w:r>
    </w:p>
    <w:p>
      <w:pPr>
        <w:spacing w:after="0" w:line="59" w:lineRule="exact"/>
        <w:rPr>
          <w:sz w:val="20"/>
          <w:szCs w:val="20"/>
          <w:color w:val="auto"/>
        </w:rPr>
      </w:pPr>
    </w:p>
    <w:p>
      <w:pPr>
        <w:ind w:right="40" w:firstLine="421"/>
        <w:spacing w:after="0" w:line="291" w:lineRule="auto"/>
        <w:tabs>
          <w:tab w:leader="none" w:pos="664" w:val="left"/>
        </w:tabs>
        <w:numPr>
          <w:ilvl w:val="0"/>
          <w:numId w:val="267"/>
        </w:numPr>
        <w:rPr>
          <w:rFonts w:ascii="Arial" w:cs="Arial" w:eastAsia="Arial" w:hAnsi="Arial"/>
          <w:sz w:val="16"/>
          <w:szCs w:val="16"/>
          <w:color w:val="auto"/>
        </w:rPr>
      </w:pPr>
      <w:r>
        <w:rPr>
          <w:rFonts w:ascii="Arial" w:cs="Arial" w:eastAsia="Arial" w:hAnsi="Arial"/>
          <w:sz w:val="16"/>
          <w:szCs w:val="16"/>
          <w:u w:val="single" w:color="auto"/>
          <w:color w:val="auto"/>
        </w:rPr>
        <w:t>Mandatory Prepayments</w:t>
      </w:r>
      <w:r>
        <w:rPr>
          <w:rFonts w:ascii="Arial" w:cs="Arial" w:eastAsia="Arial" w:hAnsi="Arial"/>
          <w:sz w:val="16"/>
          <w:szCs w:val="16"/>
          <w:color w:val="auto"/>
        </w:rPr>
        <w:t>. If the Term Loans are accelerated following the occurrence of an Event of Default, Borrower shall immediately pay to Lenders, payable to each Lender in accordance with its respective Pro Rata Share, an amount equal to the sum of: (i) all outstanding principal of the Term Loans plus accrued and unpaid interest thereon through the prepayment date, (ii) the Final Payment, (iii) the Prepayment Fee, (iv) the First Amendment Fee, plus (v)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spacing w:after="0" w:line="59" w:lineRule="exact"/>
        <w:rPr>
          <w:rFonts w:ascii="Arial" w:cs="Arial" w:eastAsia="Arial" w:hAnsi="Arial"/>
          <w:sz w:val="16"/>
          <w:szCs w:val="16"/>
          <w:color w:val="auto"/>
        </w:rPr>
      </w:pPr>
    </w:p>
    <w:p>
      <w:pPr>
        <w:ind w:firstLine="421"/>
        <w:spacing w:after="0" w:line="276" w:lineRule="auto"/>
        <w:tabs>
          <w:tab w:leader="none" w:pos="675" w:val="left"/>
        </w:tabs>
        <w:numPr>
          <w:ilvl w:val="0"/>
          <w:numId w:val="267"/>
        </w:numPr>
        <w:rPr>
          <w:rFonts w:ascii="Arial" w:cs="Arial" w:eastAsia="Arial" w:hAnsi="Arial"/>
          <w:sz w:val="17"/>
          <w:szCs w:val="17"/>
          <w:color w:val="auto"/>
        </w:rPr>
      </w:pPr>
      <w:r>
        <w:rPr>
          <w:rFonts w:ascii="Arial" w:cs="Arial" w:eastAsia="Arial" w:hAnsi="Arial"/>
          <w:sz w:val="17"/>
          <w:szCs w:val="17"/>
          <w:u w:val="single" w:color="auto"/>
          <w:color w:val="auto"/>
        </w:rPr>
        <w:t>Permitted Prepayment of Term Loans</w:t>
      </w:r>
      <w:r>
        <w:rPr>
          <w:rFonts w:ascii="Arial" w:cs="Arial" w:eastAsia="Arial" w:hAnsi="Arial"/>
          <w:sz w:val="17"/>
          <w:szCs w:val="17"/>
          <w:color w:val="auto"/>
        </w:rPr>
        <w:t>. Borrower shall have the option to prepay all, but not less than all, of the Term Loans advanced by the Lenders under this Agreement, provided Borrower (i) provides written notice to Collateral Agent of its election to prepay the Term Loans at least thirty (30) days prior to such prepayment, and (ii) pays to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(D) the First</w:t>
      </w:r>
    </w:p>
    <w:p>
      <w:pPr>
        <w:spacing w:after="0" w:line="10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00"/>
          </w:cols>
          <w:pgMar w:left="1160" w:top="274" w:right="239" w:bottom="1440" w:gutter="0" w:footer="0" w:header="0"/>
        </w:sectPr>
      </w:pPr>
    </w:p>
    <w:bookmarkStart w:id="307" w:name="page308"/>
    <w:bookmarkEnd w:id="307"/>
    <w:p>
      <w:pPr>
        <w:ind w:left="920"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 Fee, plus (E) all other Obligations that are due and payable, including Lenders’ Expenses and interest at the Default Rate with respect to any past due amounts.”</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2.3 Section 2.5 (Fees). </w:t>
      </w:r>
      <w:r>
        <w:rPr>
          <w:rFonts w:ascii="Arial" w:cs="Arial" w:eastAsia="Arial" w:hAnsi="Arial"/>
          <w:sz w:val="18"/>
          <w:szCs w:val="18"/>
          <w:color w:val="auto"/>
        </w:rPr>
        <w:t>A new subsection (e) is added to Section 2.5 of the Loan Agreement as follows:</w:t>
      </w:r>
    </w:p>
    <w:p>
      <w:pPr>
        <w:spacing w:after="0" w:line="121" w:lineRule="exact"/>
        <w:rPr>
          <w:sz w:val="20"/>
          <w:szCs w:val="20"/>
          <w:color w:val="auto"/>
        </w:rPr>
      </w:pPr>
    </w:p>
    <w:p>
      <w:pPr>
        <w:ind w:left="920" w:right="360" w:firstLine="420"/>
        <w:spacing w:after="0" w:line="277"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First Amendment Fee</w:t>
      </w:r>
      <w:r>
        <w:rPr>
          <w:rFonts w:ascii="Arial" w:cs="Arial" w:eastAsia="Arial" w:hAnsi="Arial"/>
          <w:sz w:val="18"/>
          <w:szCs w:val="18"/>
          <w:color w:val="auto"/>
        </w:rPr>
        <w:t>. The First Amendment Fee, when due hereunder, to be shared between the Lenders in accordance with their respective Pro Rata Shares.”</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 xml:space="preserve">2.4 Section 3.2 (Conditions Precedent to all Credit Extensions). </w:t>
      </w:r>
      <w:r>
        <w:rPr>
          <w:rFonts w:ascii="Arial" w:cs="Arial" w:eastAsia="Arial" w:hAnsi="Arial"/>
          <w:sz w:val="16"/>
          <w:szCs w:val="16"/>
          <w:color w:val="auto"/>
        </w:rPr>
        <w:t>A new subsection (f) is added to Section 3.2 of the Loan Agreement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0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 the Term B Loans and the Term C Loans must be funded simultaneously.”</w:t>
      </w:r>
    </w:p>
    <w:p>
      <w:pPr>
        <w:spacing w:after="0" w:line="2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 xml:space="preserve">2.5 Section 6.6 (Operating Accounts). </w:t>
      </w:r>
      <w:r>
        <w:rPr>
          <w:rFonts w:ascii="Arial" w:cs="Arial" w:eastAsia="Arial" w:hAnsi="Arial"/>
          <w:sz w:val="18"/>
          <w:szCs w:val="18"/>
          <w:color w:val="auto"/>
        </w:rPr>
        <w:t>Section 6.6(a) of the Loan Agreement is amended and restated as follows:</w:t>
      </w:r>
    </w:p>
    <w:p>
      <w:pPr>
        <w:spacing w:after="0" w:line="121" w:lineRule="exact"/>
        <w:rPr>
          <w:sz w:val="20"/>
          <w:szCs w:val="20"/>
          <w:color w:val="auto"/>
        </w:rPr>
      </w:pPr>
    </w:p>
    <w:p>
      <w:pPr>
        <w:ind w:left="920" w:right="60" w:firstLine="420"/>
        <w:spacing w:after="0" w:line="255" w:lineRule="auto"/>
        <w:rPr>
          <w:sz w:val="20"/>
          <w:szCs w:val="20"/>
          <w:color w:val="auto"/>
        </w:rPr>
      </w:pPr>
      <w:r>
        <w:rPr>
          <w:rFonts w:ascii="Arial" w:cs="Arial" w:eastAsia="Arial" w:hAnsi="Arial"/>
          <w:sz w:val="18"/>
          <w:szCs w:val="18"/>
          <w:color w:val="auto"/>
        </w:rPr>
        <w:t>“(a) Maintain its primary and its Subsidiaries’ primary Collateral Accounts with Bank or its Affiliates in accounts which are subject to a Control Agreement in favor of Collateral Agent and the amounts on deposit in such accounts with the Bank or its Affiliates shall represent the greater of Fifteen Million Dollars ($15,000,000.00) or twenty-five percent (25%) of the dollar value of amounts on deposit in all of Borrower’s and such Subsidiaries accounts at all financial institutions; provided that the amounts on deposit in such accounts with Bank or its Affiliates may represent less than or equal to Fifteen Million Dollars ($15,000,000.00) so long as Borrower and its Subsidiaries do not maintain any Collateral Accounts in the United States other than accounts with Bank or its Affiliates which are subject to a Control Agreement in favor of Collateral Agent.”</w:t>
      </w:r>
    </w:p>
    <w:p>
      <w:pPr>
        <w:spacing w:after="0" w:line="185" w:lineRule="exact"/>
        <w:rPr>
          <w:sz w:val="20"/>
          <w:szCs w:val="20"/>
          <w:color w:val="auto"/>
        </w:rPr>
      </w:pPr>
    </w:p>
    <w:p>
      <w:pPr>
        <w:ind w:right="100" w:firstLine="1484"/>
        <w:spacing w:after="0" w:line="282" w:lineRule="auto"/>
        <w:rPr>
          <w:sz w:val="20"/>
          <w:szCs w:val="20"/>
          <w:color w:val="auto"/>
        </w:rPr>
      </w:pPr>
      <w:r>
        <w:rPr>
          <w:rFonts w:ascii="Arial" w:cs="Arial" w:eastAsia="Arial" w:hAnsi="Arial"/>
          <w:sz w:val="18"/>
          <w:szCs w:val="18"/>
          <w:b w:val="1"/>
          <w:bCs w:val="1"/>
          <w:color w:val="auto"/>
        </w:rPr>
        <w:t xml:space="preserve">2.6 Section 13.1 (Definitions). </w:t>
      </w:r>
      <w:r>
        <w:rPr>
          <w:rFonts w:ascii="Arial" w:cs="Arial" w:eastAsia="Arial" w:hAnsi="Arial"/>
          <w:sz w:val="18"/>
          <w:szCs w:val="18"/>
          <w:color w:val="auto"/>
        </w:rPr>
        <w:t>The following defined terms and their respective definitions are amended and restated in Section 13.1 of</w:t>
      </w:r>
      <w:r>
        <w:rPr>
          <w:rFonts w:ascii="Arial" w:cs="Arial" w:eastAsia="Arial" w:hAnsi="Arial"/>
          <w:sz w:val="18"/>
          <w:szCs w:val="18"/>
          <w:b w:val="1"/>
          <w:bCs w:val="1"/>
          <w:color w:val="auto"/>
        </w:rPr>
        <w:t xml:space="preserve"> </w:t>
      </w:r>
      <w:r>
        <w:rPr>
          <w:rFonts w:ascii="Arial" w:cs="Arial" w:eastAsia="Arial" w:hAnsi="Arial"/>
          <w:sz w:val="18"/>
          <w:szCs w:val="18"/>
          <w:color w:val="auto"/>
        </w:rPr>
        <w:t>the Loan Agreement as follows:</w:t>
      </w:r>
    </w:p>
    <w:p>
      <w:pPr>
        <w:spacing w:after="0" w:line="54"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 xml:space="preserve">“Amortization Date” </w:t>
      </w:r>
      <w:r>
        <w:rPr>
          <w:rFonts w:ascii="Arial" w:cs="Arial" w:eastAsia="Arial" w:hAnsi="Arial"/>
          <w:sz w:val="18"/>
          <w:szCs w:val="18"/>
          <w:color w:val="auto"/>
        </w:rPr>
        <w:t>is February 1, 2017.</w:t>
      </w:r>
    </w:p>
    <w:p>
      <w:pPr>
        <w:spacing w:after="0" w:line="225" w:lineRule="exact"/>
        <w:rPr>
          <w:sz w:val="20"/>
          <w:szCs w:val="20"/>
          <w:color w:val="auto"/>
        </w:rPr>
      </w:pPr>
    </w:p>
    <w:p>
      <w:pPr>
        <w:ind w:left="920" w:right="100" w:firstLine="420"/>
        <w:spacing w:after="0" w:line="261" w:lineRule="auto"/>
        <w:rPr>
          <w:sz w:val="20"/>
          <w:szCs w:val="20"/>
          <w:color w:val="auto"/>
        </w:rPr>
      </w:pPr>
      <w:r>
        <w:rPr>
          <w:rFonts w:ascii="Arial" w:cs="Arial" w:eastAsia="Arial" w:hAnsi="Arial"/>
          <w:sz w:val="18"/>
          <w:szCs w:val="18"/>
          <w:b w:val="1"/>
          <w:bCs w:val="1"/>
          <w:color w:val="auto"/>
        </w:rPr>
        <w:t xml:space="preserve">“First Amendment Fee” </w:t>
      </w:r>
      <w:r>
        <w:rPr>
          <w:rFonts w:ascii="Arial" w:cs="Arial" w:eastAsia="Arial" w:hAnsi="Arial"/>
          <w:sz w:val="18"/>
          <w:szCs w:val="18"/>
          <w:color w:val="auto"/>
        </w:rPr>
        <w:t>is a payment (in addition to and not a substitution for the regular monthly payments of principal plus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due on the earliest to occur of (a) the Maturity Date, or (b) the acceleration of any Term Loan, or (c) the prepayment of a Term Loan pursuant to Section 2.2(c) or (d), equal to Two Thousand Five Hundred Dollars ($2,500), payable to Lenders in accordance with their respective Pro Rata Shares.</w:t>
      </w:r>
    </w:p>
    <w:p>
      <w:pPr>
        <w:spacing w:after="0" w:line="72" w:lineRule="exact"/>
        <w:rPr>
          <w:sz w:val="20"/>
          <w:szCs w:val="20"/>
          <w:color w:val="auto"/>
        </w:rPr>
      </w:pPr>
    </w:p>
    <w:p>
      <w:pPr>
        <w:ind w:left="920" w:firstLine="420"/>
        <w:spacing w:after="0" w:line="256" w:lineRule="auto"/>
        <w:rPr>
          <w:sz w:val="20"/>
          <w:szCs w:val="20"/>
          <w:color w:val="auto"/>
        </w:rPr>
      </w:pPr>
      <w:r>
        <w:rPr>
          <w:rFonts w:ascii="Arial" w:cs="Arial" w:eastAsia="Arial" w:hAnsi="Arial"/>
          <w:sz w:val="18"/>
          <w:szCs w:val="18"/>
          <w:b w:val="1"/>
          <w:bCs w:val="1"/>
          <w:color w:val="auto"/>
        </w:rPr>
        <w:t xml:space="preserve">“Obligations” </w:t>
      </w:r>
      <w:r>
        <w:rPr>
          <w:rFonts w:ascii="Arial" w:cs="Arial" w:eastAsia="Arial" w:hAnsi="Arial"/>
          <w:sz w:val="18"/>
          <w:szCs w:val="18"/>
          <w:color w:val="auto"/>
        </w:rPr>
        <w:t>are all of Borrower’s obligations to pay when due any debts, principal, interest, Lenders’ Expenses, the Prepayment Fee,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Final Payment, the First Amendment Fee, and other amounts Borrower owes the Lenders now or later, in connection with, related to, following, or arising from, out of or under, this Agreement or, the other Loan Documents (other than the Warrants),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08" w:name="page309"/>
    <w:bookmarkEnd w:id="308"/>
    <w:p>
      <w:pPr>
        <w:ind w:left="92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assigned to the Lenders and/or Collateral Agent, and the performance of Borrower’s duties under the Loan Documents (other than the Warrants).</w:t>
      </w:r>
    </w:p>
    <w:p>
      <w:pPr>
        <w:spacing w:after="0" w:line="58" w:lineRule="exact"/>
        <w:rPr>
          <w:sz w:val="20"/>
          <w:szCs w:val="20"/>
          <w:color w:val="auto"/>
        </w:rPr>
      </w:pPr>
    </w:p>
    <w:p>
      <w:pPr>
        <w:ind w:left="920" w:right="120" w:firstLine="420"/>
        <w:spacing w:after="0" w:line="314" w:lineRule="auto"/>
        <w:rPr>
          <w:sz w:val="20"/>
          <w:szCs w:val="20"/>
          <w:color w:val="auto"/>
        </w:rPr>
      </w:pPr>
      <w:r>
        <w:rPr>
          <w:rFonts w:ascii="Arial" w:cs="Arial" w:eastAsia="Arial" w:hAnsi="Arial"/>
          <w:sz w:val="16"/>
          <w:szCs w:val="16"/>
          <w:b w:val="1"/>
          <w:bCs w:val="1"/>
          <w:color w:val="auto"/>
        </w:rPr>
        <w:t xml:space="preserve">“Second Draw Period” </w:t>
      </w:r>
      <w:r>
        <w:rPr>
          <w:rFonts w:ascii="Arial" w:cs="Arial" w:eastAsia="Arial" w:hAnsi="Arial"/>
          <w:sz w:val="16"/>
          <w:szCs w:val="16"/>
          <w:color w:val="auto"/>
        </w:rPr>
        <w:t>is the period commencing on the later of (i) the date of the occurrence of the Term B Draw Event and (ii) July 1,</w:t>
      </w:r>
      <w:r>
        <w:rPr>
          <w:rFonts w:ascii="Arial" w:cs="Arial" w:eastAsia="Arial" w:hAnsi="Arial"/>
          <w:sz w:val="16"/>
          <w:szCs w:val="16"/>
          <w:b w:val="1"/>
          <w:bCs w:val="1"/>
          <w:color w:val="auto"/>
        </w:rPr>
        <w:t xml:space="preserve"> </w:t>
      </w:r>
      <w:r>
        <w:rPr>
          <w:rFonts w:ascii="Arial" w:cs="Arial" w:eastAsia="Arial" w:hAnsi="Arial"/>
          <w:sz w:val="16"/>
          <w:szCs w:val="16"/>
          <w:color w:val="auto"/>
        </w:rPr>
        <w:t>2016 and ending on the earlier of (X) December 31, 2016 and (Y) the occurrence of an Event of Default; provided, however, that the Second Draw Period shall not commence if on the date of the occurrence of the Term B Draw Event an Event of Default has occurred and is continuing.</w:t>
      </w:r>
    </w:p>
    <w:p>
      <w:pPr>
        <w:spacing w:after="0" w:line="34"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b w:val="1"/>
          <w:bCs w:val="1"/>
          <w:color w:val="auto"/>
        </w:rPr>
        <w:t xml:space="preserve">“Term B Draw Event” </w:t>
      </w:r>
      <w:r>
        <w:rPr>
          <w:rFonts w:ascii="Arial" w:cs="Arial" w:eastAsia="Arial" w:hAnsi="Arial"/>
          <w:sz w:val="18"/>
          <w:szCs w:val="18"/>
          <w:color w:val="auto"/>
        </w:rPr>
        <w:t>means the receipt by Collateral Agent and Lenders of evidence, in form and substance satisfactory to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Lenders, of Borrower and/or a partner of Borrower, receiving regulatory approval pertaining to an IND submission or foreign equivalent with respect to at least two (2) development programs, provided that at least one (1) of which must be an internal development program and only one (1) of which may be a foreign equivalent. An internal development program shall be a program where commercial rights to potential future products are wholly-owned by the Borrower and its Affiliates. Regulatory approval pertaining to an IND or foreign equivalent shall mean (1) the acceptance by the FDA, or a foreign competent authority with equivalent oversight in the foreign country or region, of an IND, or equivalent application, to initiate one or more clinical studies and/or (2) dosing of one or more human individuals within that certain jurisdiction.</w:t>
      </w:r>
    </w:p>
    <w:p>
      <w:pPr>
        <w:spacing w:after="0" w:line="77"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b w:val="1"/>
          <w:bCs w:val="1"/>
          <w:color w:val="auto"/>
        </w:rPr>
        <w:t xml:space="preserve">“Term C Draw Event” </w:t>
      </w:r>
      <w:r>
        <w:rPr>
          <w:rFonts w:ascii="Arial" w:cs="Arial" w:eastAsia="Arial" w:hAnsi="Arial"/>
          <w:sz w:val="18"/>
          <w:szCs w:val="18"/>
          <w:color w:val="auto"/>
        </w:rPr>
        <w:t>means the receipt by Collateral Agent and Lenders of evidence, in form and substance satisfactory to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Lenders, of Borrower and/or a partner of Borrower, receiving regulatory approval pertaining to an IND submission or foreign equivalent with respect to at least two (2) development programs, provided that at least one (1) of which must be an internal development program and only one (1) of which may be a foreign equivalent. An internal development program shall be a program where commercial rights to potential future products are wholly-owned by the Borrower and its Affiliates. Regulatory approval pertaining to an IND or foreign equivalent shall mean (1) the acceptance by the FDA, or a foreign competent authority with equivalent oversight in the foreign country or region, of an IND, or equivalent application, to initiate one or more clinical studies and/or (2) dosing of one or more human individuals within that certain jurisdiction.</w:t>
      </w:r>
    </w:p>
    <w:p>
      <w:pPr>
        <w:spacing w:after="0" w:line="29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3. Limitation of Amendment.</w:t>
      </w:r>
    </w:p>
    <w:p>
      <w:pPr>
        <w:spacing w:after="0" w:line="117" w:lineRule="exact"/>
        <w:rPr>
          <w:sz w:val="20"/>
          <w:szCs w:val="20"/>
          <w:color w:val="auto"/>
        </w:rPr>
      </w:pPr>
    </w:p>
    <w:p>
      <w:pPr>
        <w:ind w:right="40" w:firstLine="1484"/>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set forth in</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above are effective for the purposes set forth herein and shall be limited precisely as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not be deemed to (a) be a consent to any amendment, waiver or modification of any other term or condition of any Loan Document, or (b) otherwise prejudice any right or remedy which Collateral Agent or any Lender may now have or may have in the future under or in connection with any Loan Document.</w:t>
      </w:r>
    </w:p>
    <w:p>
      <w:pPr>
        <w:spacing w:after="0" w:line="180" w:lineRule="exact"/>
        <w:rPr>
          <w:sz w:val="20"/>
          <w:szCs w:val="20"/>
          <w:color w:val="auto"/>
        </w:rPr>
      </w:pPr>
    </w:p>
    <w:p>
      <w:pPr>
        <w:jc w:val="both"/>
        <w:ind w:right="80" w:firstLine="1484"/>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right="120" w:firstLine="464"/>
        <w:spacing w:after="0" w:line="282" w:lineRule="auto"/>
        <w:tabs>
          <w:tab w:leader="none" w:pos="636"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Lenders to enter into this Amendment, Borrower hereby represents and warrants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Collateral Agent and Lenders as follows: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09" w:name="page310"/>
    <w:bookmarkEnd w:id="309"/>
    <w:p>
      <w:pPr>
        <w:jc w:val="both"/>
        <w:ind w:right="20" w:firstLine="913"/>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 </w:t>
      </w:r>
      <w:r>
        <w:rPr>
          <w:rFonts w:ascii="Arial" w:cs="Arial" w:eastAsia="Arial" w:hAnsi="Arial"/>
          <w:sz w:val="18"/>
          <w:szCs w:val="18"/>
          <w:color w:val="auto"/>
        </w:rPr>
        <w:t>Immediately after giving effect to this Amendment (a) the representations and warranties contained in the Loan Documents are true,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76" w:lineRule="exact"/>
        <w:rPr>
          <w:sz w:val="20"/>
          <w:szCs w:val="20"/>
          <w:color w:val="auto"/>
        </w:rPr>
      </w:pPr>
    </w:p>
    <w:p>
      <w:pPr>
        <w:ind w:right="220" w:firstLine="913"/>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 obligations under the Loan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this Amendment;</w:t>
      </w:r>
    </w:p>
    <w:p>
      <w:pPr>
        <w:spacing w:after="0" w:line="162" w:lineRule="exact"/>
        <w:rPr>
          <w:sz w:val="20"/>
          <w:szCs w:val="20"/>
          <w:color w:val="auto"/>
        </w:rPr>
      </w:pPr>
    </w:p>
    <w:p>
      <w:pPr>
        <w:ind w:right="240" w:firstLine="913"/>
        <w:spacing w:after="0" w:line="313" w:lineRule="auto"/>
        <w:rPr>
          <w:sz w:val="20"/>
          <w:szCs w:val="20"/>
          <w:color w:val="auto"/>
        </w:rPr>
      </w:pPr>
      <w:r>
        <w:rPr>
          <w:rFonts w:ascii="Arial" w:cs="Arial" w:eastAsia="Arial" w:hAnsi="Arial"/>
          <w:sz w:val="17"/>
          <w:szCs w:val="17"/>
          <w:b w:val="1"/>
          <w:bCs w:val="1"/>
          <w:color w:val="auto"/>
        </w:rPr>
        <w:t xml:space="preserve">4.3 </w:t>
      </w:r>
      <w:r>
        <w:rPr>
          <w:rFonts w:ascii="Arial" w:cs="Arial" w:eastAsia="Arial" w:hAnsi="Arial"/>
          <w:sz w:val="17"/>
          <w:szCs w:val="17"/>
          <w:color w:val="auto"/>
        </w:rPr>
        <w:t>The organizational documents of Borrower delivered to Collateral Agent and Lenders on the Effective Date, or subsequent thereto, remain</w:t>
      </w:r>
      <w:r>
        <w:rPr>
          <w:rFonts w:ascii="Arial" w:cs="Arial" w:eastAsia="Arial" w:hAnsi="Arial"/>
          <w:sz w:val="17"/>
          <w:szCs w:val="17"/>
          <w:b w:val="1"/>
          <w:bCs w:val="1"/>
          <w:color w:val="auto"/>
        </w:rPr>
        <w:t xml:space="preserve"> </w:t>
      </w:r>
      <w:r>
        <w:rPr>
          <w:rFonts w:ascii="Arial" w:cs="Arial" w:eastAsia="Arial" w:hAnsi="Arial"/>
          <w:sz w:val="17"/>
          <w:szCs w:val="17"/>
          <w:color w:val="auto"/>
        </w:rPr>
        <w:t>true, accurate and complete and have not been amended, supplemented or restated and are and continue to be in full force and effect;</w:t>
      </w:r>
    </w:p>
    <w:p>
      <w:pPr>
        <w:spacing w:after="0" w:line="138" w:lineRule="exact"/>
        <w:rPr>
          <w:sz w:val="20"/>
          <w:szCs w:val="20"/>
          <w:color w:val="auto"/>
        </w:rPr>
      </w:pPr>
    </w:p>
    <w:p>
      <w:pPr>
        <w:ind w:right="80" w:firstLine="913"/>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 have been duly authorized;</w:t>
      </w:r>
    </w:p>
    <w:p>
      <w:pPr>
        <w:spacing w:after="0" w:line="162" w:lineRule="exact"/>
        <w:rPr>
          <w:sz w:val="20"/>
          <w:szCs w:val="20"/>
          <w:color w:val="auto"/>
        </w:rPr>
      </w:pPr>
    </w:p>
    <w:p>
      <w:pPr>
        <w:ind w:right="80" w:firstLine="913"/>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ind w:firstLine="913"/>
        <w:spacing w:after="0" w:line="314" w:lineRule="auto"/>
        <w:rPr>
          <w:sz w:val="20"/>
          <w:szCs w:val="20"/>
          <w:color w:val="auto"/>
        </w:rPr>
      </w:pPr>
      <w:r>
        <w:rPr>
          <w:rFonts w:ascii="Arial" w:cs="Arial" w:eastAsia="Arial" w:hAnsi="Arial"/>
          <w:sz w:val="16"/>
          <w:szCs w:val="16"/>
          <w:b w:val="1"/>
          <w:bCs w:val="1"/>
          <w:color w:val="auto"/>
        </w:rPr>
        <w:t xml:space="preserve">4.6 </w:t>
      </w:r>
      <w:r>
        <w:rPr>
          <w:rFonts w:ascii="Arial" w:cs="Arial" w:eastAsia="Arial" w:hAnsi="Arial"/>
          <w:sz w:val="16"/>
          <w:szCs w:val="16"/>
          <w:color w:val="auto"/>
        </w:rPr>
        <w:t>The execution and delivery by Borrower of this Amendment and the performance by Borrower of its obligations under the Loan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42" w:lineRule="exact"/>
        <w:rPr>
          <w:sz w:val="20"/>
          <w:szCs w:val="20"/>
          <w:color w:val="auto"/>
        </w:rPr>
      </w:pPr>
    </w:p>
    <w:p>
      <w:pPr>
        <w:jc w:val="both"/>
        <w:ind w:firstLine="913"/>
        <w:spacing w:after="0" w:line="26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This Amendment has been duly executed and delivered by Borrower and is the binding obligation of Borrower, enforceable against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6" w:lineRule="exact"/>
        <w:rPr>
          <w:sz w:val="20"/>
          <w:szCs w:val="20"/>
          <w:color w:val="auto"/>
        </w:rPr>
      </w:pPr>
    </w:p>
    <w:p>
      <w:pPr>
        <w:ind w:right="420" w:firstLine="464"/>
        <w:spacing w:after="0" w:line="282" w:lineRule="auto"/>
        <w:tabs>
          <w:tab w:leader="none" w:pos="636"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1" w:lineRule="exact"/>
        <w:rPr>
          <w:rFonts w:ascii="Arial" w:cs="Arial" w:eastAsia="Arial" w:hAnsi="Arial"/>
          <w:sz w:val="18"/>
          <w:szCs w:val="18"/>
          <w:b w:val="1"/>
          <w:bCs w:val="1"/>
          <w:color w:val="auto"/>
        </w:rPr>
      </w:pPr>
    </w:p>
    <w:p>
      <w:pPr>
        <w:ind w:right="800" w:firstLine="464"/>
        <w:spacing w:after="0" w:line="313" w:lineRule="auto"/>
        <w:tabs>
          <w:tab w:leader="none" w:pos="636" w:val="left"/>
        </w:tabs>
        <w:numPr>
          <w:ilvl w:val="0"/>
          <w:numId w:val="2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Effectiveness. </w:t>
      </w:r>
      <w:r>
        <w:rPr>
          <w:rFonts w:ascii="Arial" w:cs="Arial" w:eastAsia="Arial" w:hAnsi="Arial"/>
          <w:sz w:val="17"/>
          <w:szCs w:val="17"/>
          <w:color w:val="auto"/>
        </w:rPr>
        <w:t>This Amendment shall be deemed effective upon the due execution and delivery to Collateral Agent and Lenders of (i) this</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by each party hereto and (ii) Borrower’s payment of all Lenders’ Expenses incurred through the date of this Amendment.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69" w:right="259" w:bottom="1440" w:gutter="0" w:footer="0" w:header="0"/>
        </w:sectPr>
      </w:pPr>
    </w:p>
    <w:bookmarkStart w:id="310" w:name="page311"/>
    <w:bookmarkEnd w:id="310"/>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color w:val="auto"/>
        </w:rPr>
        <w:t>, the parties hereto have caused this Amendment to be duly executed and delivered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Hamza Suria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Hamza Suria</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President &amp; CEO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Davis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Mark Davis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of Finance</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Igor DaCruz</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Igor DaCruz</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13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First Amendment to Loan and Security Agreement</w:t>
      </w:r>
      <w:r>
        <w:rPr>
          <w:rFonts w:ascii="Arial" w:cs="Arial" w:eastAsia="Arial" w:hAnsi="Arial"/>
          <w:sz w:val="18"/>
          <w:szCs w:val="18"/>
          <w:b w:val="1"/>
          <w:bCs w:val="1"/>
          <w:color w:val="auto"/>
        </w:rPr>
        <w:t>]</w:t>
      </w:r>
    </w:p>
    <w:p>
      <w:pPr>
        <w:sectPr>
          <w:pgSz w:w="11900" w:h="16838" w:orient="portrait"/>
          <w:cols w:equalWidth="0" w:num="1">
            <w:col w:w="10620"/>
          </w:cols>
          <w:pgMar w:left="240" w:top="269" w:right="1039" w:bottom="1440" w:gutter="0" w:footer="0" w:header="0"/>
        </w:sectPr>
      </w:pPr>
    </w:p>
    <w:bookmarkStart w:id="311" w:name="page312"/>
    <w:bookmarkEnd w:id="311"/>
    <w:p>
      <w:pPr>
        <w:ind w:left="10480"/>
        <w:spacing w:after="0"/>
        <w:rPr>
          <w:sz w:val="20"/>
          <w:szCs w:val="20"/>
          <w:color w:val="auto"/>
        </w:rPr>
      </w:pPr>
      <w:r>
        <w:rPr>
          <w:rFonts w:ascii="Arial" w:cs="Arial" w:eastAsia="Arial" w:hAnsi="Arial"/>
          <w:sz w:val="16"/>
          <w:szCs w:val="16"/>
          <w:b w:val="1"/>
          <w:bCs w:val="1"/>
          <w:color w:val="auto"/>
        </w:rPr>
        <w:t>Exhibit 23.1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AnaptysBio,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February 12, 2016, included herein and to the reference to our firm under the heading “Experts” in the prospectus.</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FFAE18"/>
    <w:multiLevelType w:val="hybridMultilevel"/>
    <w:lvl w:ilvl="0">
      <w:lvlJc w:val="left"/>
      <w:lvlText w:val="(%1)"/>
      <w:numFmt w:val="decimal"/>
      <w:start w:val="1"/>
    </w:lvl>
  </w:abstractNum>
  <w:abstractNum w:abstractNumId="1">
    <w:nsid w:val="E3E47A8"/>
    <w:multiLevelType w:val="hybridMultilevel"/>
    <w:lvl w:ilvl="0">
      <w:lvlJc w:val="left"/>
      <w:lvlText w:val="*"/>
      <w:numFmt w:val="bullet"/>
      <w:start w:val="1"/>
    </w:lvl>
  </w:abstractNum>
  <w:abstractNum w:abstractNumId="2">
    <w:nsid w:val="2E48F044"/>
    <w:multiLevelType w:val="hybridMultilevel"/>
    <w:lvl w:ilvl="0">
      <w:lvlJc w:val="left"/>
      <w:lvlText w:val="•"/>
      <w:numFmt w:val="bullet"/>
      <w:start w:val="1"/>
    </w:lvl>
  </w:abstractNum>
  <w:abstractNum w:abstractNumId="3">
    <w:nsid w:val="49D0FEAC"/>
    <w:multiLevelType w:val="hybridMultilevel"/>
    <w:lvl w:ilvl="0">
      <w:lvlJc w:val="left"/>
      <w:lvlText w:val="•"/>
      <w:numFmt w:val="bullet"/>
      <w:start w:val="1"/>
    </w:lvl>
  </w:abstractNum>
  <w:abstractNum w:abstractNumId="4">
    <w:nsid w:val="4BEE5A5B"/>
    <w:multiLevelType w:val="hybridMultilevel"/>
    <w:lvl w:ilvl="0">
      <w:lvlJc w:val="left"/>
      <w:lvlText w:val="•"/>
      <w:numFmt w:val="bullet"/>
      <w:start w:val="1"/>
    </w:lvl>
  </w:abstractNum>
  <w:abstractNum w:abstractNumId="5">
    <w:nsid w:val="5551B9F3"/>
    <w:multiLevelType w:val="hybridMultilevel"/>
    <w:lvl w:ilvl="0">
      <w:lvlJc w:val="left"/>
      <w:lvlText w:val="•"/>
      <w:numFmt w:val="bullet"/>
      <w:start w:val="1"/>
    </w:lvl>
  </w:abstractNum>
  <w:abstractNum w:abstractNumId="6">
    <w:nsid w:val="24F6AB8E"/>
    <w:multiLevelType w:val="hybridMultilevel"/>
    <w:lvl w:ilvl="0">
      <w:lvlJc w:val="left"/>
      <w:lvlText w:val="•"/>
      <w:numFmt w:val="bullet"/>
      <w:start w:val="1"/>
    </w:lvl>
  </w:abstractNum>
  <w:abstractNum w:abstractNumId="7">
    <w:nsid w:val="634C574C"/>
    <w:multiLevelType w:val="hybridMultilevel"/>
    <w:lvl w:ilvl="0">
      <w:lvlJc w:val="left"/>
      <w:lvlText w:val="•"/>
      <w:numFmt w:val="bullet"/>
      <w:start w:val="1"/>
    </w:lvl>
  </w:abstractNum>
  <w:abstractNum w:abstractNumId="8">
    <w:nsid w:val="24E99DD7"/>
    <w:multiLevelType w:val="hybridMultilevel"/>
    <w:lvl w:ilvl="0">
      <w:lvlJc w:val="left"/>
      <w:lvlText w:val="•"/>
      <w:numFmt w:val="bullet"/>
      <w:start w:val="1"/>
    </w:lvl>
  </w:abstractNum>
  <w:abstractNum w:abstractNumId="9">
    <w:nsid w:val="2A31B62D"/>
    <w:multiLevelType w:val="hybridMultilevel"/>
    <w:lvl w:ilvl="0">
      <w:lvlJc w:val="left"/>
      <w:lvlText w:val="•"/>
      <w:numFmt w:val="bullet"/>
      <w:start w:val="1"/>
    </w:lvl>
  </w:abstractNum>
  <w:abstractNum w:abstractNumId="10">
    <w:nsid w:val="1849C29B"/>
    <w:multiLevelType w:val="hybridMultilevel"/>
    <w:lvl w:ilvl="0">
      <w:lvlJc w:val="left"/>
      <w:lvlText w:val="•"/>
      <w:numFmt w:val="bullet"/>
      <w:start w:val="1"/>
    </w:lvl>
  </w:abstractNum>
  <w:abstractNum w:abstractNumId="11">
    <w:nsid w:val="7DFF9D09"/>
    <w:multiLevelType w:val="hybridMultilevel"/>
    <w:lvl w:ilvl="0">
      <w:lvlJc w:val="left"/>
      <w:lvlText w:val="•"/>
      <w:numFmt w:val="bullet"/>
      <w:start w:val="1"/>
    </w:lvl>
  </w:abstractNum>
  <w:abstractNum w:abstractNumId="12">
    <w:nsid w:val="754342"/>
    <w:multiLevelType w:val="hybridMultilevel"/>
    <w:lvl w:ilvl="0">
      <w:lvlJc w:val="left"/>
      <w:lvlText w:val="•"/>
      <w:numFmt w:val="bullet"/>
      <w:start w:val="1"/>
    </w:lvl>
  </w:abstractNum>
  <w:abstractNum w:abstractNumId="13">
    <w:nsid w:val="69E7F3E5"/>
    <w:multiLevelType w:val="hybridMultilevel"/>
    <w:lvl w:ilvl="0">
      <w:lvlJc w:val="left"/>
      <w:lvlText w:val="•"/>
      <w:numFmt w:val="bullet"/>
      <w:start w:val="1"/>
    </w:lvl>
  </w:abstractNum>
  <w:abstractNum w:abstractNumId="14">
    <w:nsid w:val="2A6DE806"/>
    <w:multiLevelType w:val="hybridMultilevel"/>
    <w:lvl w:ilvl="0">
      <w:lvlJc w:val="left"/>
      <w:lvlText w:val="•"/>
      <w:numFmt w:val="bullet"/>
      <w:start w:val="1"/>
    </w:lvl>
  </w:abstractNum>
  <w:abstractNum w:abstractNumId="15">
    <w:nsid w:val="1816F8C4"/>
    <w:multiLevelType w:val="hybridMultilevel"/>
    <w:lvl w:ilvl="0">
      <w:lvlJc w:val="left"/>
      <w:lvlText w:val="•"/>
      <w:numFmt w:val="bullet"/>
      <w:start w:val="1"/>
    </w:lvl>
  </w:abstractNum>
  <w:abstractNum w:abstractNumId="16">
    <w:nsid w:val="37DF2233"/>
    <w:multiLevelType w:val="hybridMultilevel"/>
    <w:lvl w:ilvl="0">
      <w:lvlJc w:val="left"/>
      <w:lvlText w:val="(%1)"/>
      <w:numFmt w:val="decimal"/>
      <w:start w:val="1"/>
    </w:lvl>
  </w:abstractNum>
  <w:abstractNum w:abstractNumId="17">
    <w:nsid w:val="7AB49DAF"/>
    <w:multiLevelType w:val="hybridMultilevel"/>
    <w:lvl w:ilvl="0">
      <w:lvlJc w:val="left"/>
      <w:lvlText w:val="(%1)"/>
      <w:numFmt w:val="decimal"/>
      <w:start w:val="1"/>
    </w:lvl>
  </w:abstractNum>
  <w:abstractNum w:abstractNumId="18">
    <w:nsid w:val="759F82CD"/>
    <w:multiLevelType w:val="hybridMultilevel"/>
    <w:lvl w:ilvl="0">
      <w:lvlJc w:val="left"/>
      <w:lvlText w:val="(%1)"/>
      <w:numFmt w:val="lowerRoman"/>
      <w:start w:val="2"/>
    </w:lvl>
  </w:abstractNum>
  <w:abstractNum w:abstractNumId="19">
    <w:nsid w:val="61E74EA3"/>
    <w:multiLevelType w:val="hybridMultilevel"/>
    <w:lvl w:ilvl="0">
      <w:lvlJc w:val="left"/>
      <w:lvlText w:val="•"/>
      <w:numFmt w:val="bullet"/>
      <w:start w:val="1"/>
    </w:lvl>
  </w:abstractNum>
  <w:abstractNum w:abstractNumId="20">
    <w:nsid w:val="597B4D84"/>
    <w:multiLevelType w:val="hybridMultilevel"/>
    <w:lvl w:ilvl="0">
      <w:lvlJc w:val="left"/>
      <w:lvlText w:val="•"/>
      <w:numFmt w:val="bullet"/>
      <w:start w:val="1"/>
    </w:lvl>
  </w:abstractNum>
  <w:abstractNum w:abstractNumId="21">
    <w:nsid w:val="F819E7F"/>
    <w:multiLevelType w:val="hybridMultilevel"/>
    <w:lvl w:ilvl="0">
      <w:lvlJc w:val="left"/>
      <w:lvlText w:val="•"/>
      <w:numFmt w:val="bullet"/>
      <w:start w:val="1"/>
    </w:lvl>
  </w:abstractNum>
  <w:abstractNum w:abstractNumId="22">
    <w:nsid w:val="57C7D42D"/>
    <w:multiLevelType w:val="hybridMultilevel"/>
    <w:lvl w:ilvl="0">
      <w:lvlJc w:val="left"/>
      <w:lvlText w:val="•"/>
      <w:numFmt w:val="bullet"/>
      <w:start w:val="1"/>
    </w:lvl>
  </w:abstractNum>
  <w:abstractNum w:abstractNumId="23">
    <w:nsid w:val="312167AD"/>
    <w:multiLevelType w:val="hybridMultilevel"/>
    <w:lvl w:ilvl="0">
      <w:lvlJc w:val="left"/>
      <w:lvlText w:val="•"/>
      <w:numFmt w:val="bullet"/>
      <w:start w:val="1"/>
    </w:lvl>
  </w:abstractNum>
  <w:abstractNum w:abstractNumId="24">
    <w:nsid w:val="631B64D4"/>
    <w:multiLevelType w:val="hybridMultilevel"/>
    <w:lvl w:ilvl="0">
      <w:lvlJc w:val="left"/>
      <w:lvlText w:val="•"/>
      <w:numFmt w:val="bullet"/>
      <w:start w:val="1"/>
    </w:lvl>
  </w:abstractNum>
  <w:abstractNum w:abstractNumId="25">
    <w:nsid w:val="78B5E776"/>
    <w:multiLevelType w:val="hybridMultilevel"/>
    <w:lvl w:ilvl="0">
      <w:lvlJc w:val="left"/>
      <w:lvlText w:val="•"/>
      <w:numFmt w:val="bullet"/>
      <w:start w:val="1"/>
    </w:lvl>
  </w:abstractNum>
  <w:abstractNum w:abstractNumId="26">
    <w:nsid w:val="75486E47"/>
    <w:multiLevelType w:val="hybridMultilevel"/>
    <w:lvl w:ilvl="0">
      <w:lvlJc w:val="left"/>
      <w:lvlText w:val="•"/>
      <w:numFmt w:val="bullet"/>
      <w:start w:val="1"/>
    </w:lvl>
  </w:abstractNum>
  <w:abstractNum w:abstractNumId="27">
    <w:nsid w:val="6E534CDE"/>
    <w:multiLevelType w:val="hybridMultilevel"/>
    <w:lvl w:ilvl="0">
      <w:lvlJc w:val="left"/>
      <w:lvlText w:val="•"/>
      <w:numFmt w:val="bullet"/>
      <w:start w:val="1"/>
    </w:lvl>
  </w:abstractNum>
  <w:abstractNum w:abstractNumId="28">
    <w:nsid w:val="1A0DDE32"/>
    <w:multiLevelType w:val="hybridMultilevel"/>
    <w:lvl w:ilvl="0">
      <w:lvlJc w:val="left"/>
      <w:lvlText w:val="•"/>
      <w:numFmt w:val="bullet"/>
      <w:start w:val="1"/>
    </w:lvl>
  </w:abstractNum>
  <w:abstractNum w:abstractNumId="29">
    <w:nsid w:val="65968C1C"/>
    <w:multiLevelType w:val="hybridMultilevel"/>
    <w:lvl w:ilvl="0">
      <w:lvlJc w:val="left"/>
      <w:lvlText w:val="•"/>
      <w:numFmt w:val="bullet"/>
      <w:start w:val="1"/>
    </w:lvl>
  </w:abstractNum>
  <w:abstractNum w:abstractNumId="30">
    <w:nsid w:val="46263DEC"/>
    <w:multiLevelType w:val="hybridMultilevel"/>
    <w:lvl w:ilvl="0">
      <w:lvlJc w:val="left"/>
      <w:lvlText w:val="•"/>
      <w:numFmt w:val="bullet"/>
      <w:start w:val="1"/>
    </w:lvl>
  </w:abstractNum>
  <w:abstractNum w:abstractNumId="31">
    <w:nsid w:val="260D8C4A"/>
    <w:multiLevelType w:val="hybridMultilevel"/>
    <w:lvl w:ilvl="0">
      <w:lvlJc w:val="left"/>
      <w:lvlText w:val="•"/>
      <w:numFmt w:val="bullet"/>
      <w:start w:val="1"/>
    </w:lvl>
  </w:abstractNum>
  <w:abstractNum w:abstractNumId="32">
    <w:nsid w:val="73D4D3C4"/>
    <w:multiLevelType w:val="hybridMultilevel"/>
    <w:lvl w:ilvl="0">
      <w:lvlJc w:val="left"/>
      <w:lvlText w:val="•"/>
      <w:numFmt w:val="bullet"/>
      <w:start w:val="1"/>
    </w:lvl>
  </w:abstractNum>
  <w:abstractNum w:abstractNumId="33">
    <w:nsid w:val="746F2E30"/>
    <w:multiLevelType w:val="hybridMultilevel"/>
    <w:lvl w:ilvl="0">
      <w:lvlJc w:val="left"/>
      <w:lvlText w:val="•"/>
      <w:numFmt w:val="bullet"/>
      <w:start w:val="1"/>
    </w:lvl>
  </w:abstractNum>
  <w:abstractNum w:abstractNumId="34">
    <w:nsid w:val="6FDE8AF6"/>
    <w:multiLevelType w:val="hybridMultilevel"/>
    <w:lvl w:ilvl="0">
      <w:lvlJc w:val="left"/>
      <w:lvlText w:val="•"/>
      <w:numFmt w:val="bullet"/>
      <w:start w:val="1"/>
    </w:lvl>
  </w:abstractNum>
  <w:abstractNum w:abstractNumId="35">
    <w:nsid w:val="3FC32E20"/>
    <w:multiLevelType w:val="hybridMultilevel"/>
    <w:lvl w:ilvl="0">
      <w:lvlJc w:val="left"/>
      <w:lvlText w:val="•"/>
      <w:numFmt w:val="bullet"/>
      <w:start w:val="1"/>
    </w:lvl>
  </w:abstractNum>
  <w:abstractNum w:abstractNumId="36">
    <w:nsid w:val="49C0E823"/>
    <w:multiLevelType w:val="hybridMultilevel"/>
    <w:lvl w:ilvl="0">
      <w:lvlJc w:val="left"/>
      <w:lvlText w:val="•"/>
      <w:numFmt w:val="bullet"/>
      <w:start w:val="1"/>
    </w:lvl>
  </w:abstractNum>
  <w:abstractNum w:abstractNumId="37">
    <w:nsid w:val="14D53685"/>
    <w:multiLevelType w:val="hybridMultilevel"/>
    <w:lvl w:ilvl="0">
      <w:lvlJc w:val="left"/>
      <w:lvlText w:val="•"/>
      <w:numFmt w:val="bullet"/>
      <w:start w:val="1"/>
    </w:lvl>
  </w:abstractNum>
  <w:abstractNum w:abstractNumId="38">
    <w:nsid w:val="230F856C"/>
    <w:multiLevelType w:val="hybridMultilevel"/>
    <w:lvl w:ilvl="0">
      <w:lvlJc w:val="left"/>
      <w:lvlText w:val="•"/>
      <w:numFmt w:val="bullet"/>
      <w:start w:val="1"/>
    </w:lvl>
  </w:abstractNum>
  <w:abstractNum w:abstractNumId="39">
    <w:nsid w:val="6EAA85FB"/>
    <w:multiLevelType w:val="hybridMultilevel"/>
    <w:lvl w:ilvl="0">
      <w:lvlJc w:val="left"/>
      <w:lvlText w:val="$"/>
      <w:numFmt w:val="bullet"/>
      <w:start w:val="1"/>
    </w:lvl>
  </w:abstractNum>
  <w:abstractNum w:abstractNumId="40">
    <w:nsid w:val="3F06ECB2"/>
    <w:multiLevelType w:val="hybridMultilevel"/>
    <w:lvl w:ilvl="0">
      <w:lvlJc w:val="left"/>
      <w:lvlText w:val="•"/>
      <w:numFmt w:val="bullet"/>
      <w:start w:val="1"/>
    </w:lvl>
  </w:abstractNum>
  <w:abstractNum w:abstractNumId="41">
    <w:nsid w:val="3B594807"/>
    <w:multiLevelType w:val="hybridMultilevel"/>
    <w:lvl w:ilvl="0">
      <w:lvlJc w:val="left"/>
      <w:lvlText w:val="•"/>
      <w:numFmt w:val="bullet"/>
      <w:start w:val="1"/>
    </w:lvl>
  </w:abstractNum>
  <w:abstractNum w:abstractNumId="42">
    <w:nsid w:val="6CAA2304"/>
    <w:multiLevelType w:val="hybridMultilevel"/>
    <w:lvl w:ilvl="0">
      <w:lvlJc w:val="left"/>
      <w:lvlText w:val="$"/>
      <w:numFmt w:val="bullet"/>
      <w:start w:val="1"/>
    </w:lvl>
  </w:abstractNum>
  <w:abstractNum w:abstractNumId="43">
    <w:nsid w:val="3F7C2FF4"/>
    <w:multiLevelType w:val="hybridMultilevel"/>
    <w:lvl w:ilvl="0">
      <w:lvlJc w:val="left"/>
      <w:lvlText w:val="$"/>
      <w:numFmt w:val="bullet"/>
      <w:start w:val="1"/>
    </w:lvl>
  </w:abstractNum>
  <w:abstractNum w:abstractNumId="44">
    <w:nsid w:val="25413BEC"/>
    <w:multiLevelType w:val="hybridMultilevel"/>
    <w:lvl w:ilvl="0">
      <w:lvlJc w:val="left"/>
      <w:lvlText w:val="•"/>
      <w:numFmt w:val="bullet"/>
      <w:start w:val="1"/>
    </w:lvl>
  </w:abstractNum>
  <w:abstractNum w:abstractNumId="45">
    <w:nsid w:val="17180B0B"/>
    <w:multiLevelType w:val="hybridMultilevel"/>
    <w:lvl w:ilvl="0">
      <w:lvlJc w:val="left"/>
      <w:lvlText w:val="•"/>
      <w:numFmt w:val="bullet"/>
      <w:start w:val="1"/>
    </w:lvl>
  </w:abstractNum>
  <w:abstractNum w:abstractNumId="46">
    <w:nsid w:val="579328B9"/>
    <w:multiLevelType w:val="hybridMultilevel"/>
    <w:lvl w:ilvl="0">
      <w:lvlJc w:val="left"/>
      <w:lvlText w:val="•"/>
      <w:numFmt w:val="bullet"/>
      <w:start w:val="1"/>
    </w:lvl>
  </w:abstractNum>
  <w:abstractNum w:abstractNumId="47">
    <w:nsid w:val="5D205E20"/>
    <w:multiLevelType w:val="hybridMultilevel"/>
    <w:lvl w:ilvl="0">
      <w:lvlJc w:val="left"/>
      <w:lvlText w:val="•"/>
      <w:numFmt w:val="bullet"/>
      <w:start w:val="1"/>
    </w:lvl>
  </w:abstractNum>
  <w:abstractNum w:abstractNumId="48">
    <w:nsid w:val="11CCA8BA"/>
    <w:multiLevelType w:val="hybridMultilevel"/>
    <w:lvl w:ilvl="0">
      <w:lvlJc w:val="left"/>
      <w:lvlText w:val="(%1)"/>
      <w:numFmt w:val="lowerRoman"/>
      <w:start w:val="2"/>
    </w:lvl>
  </w:abstractNum>
  <w:abstractNum w:abstractNumId="49">
    <w:nsid w:val="4D32AB86"/>
    <w:multiLevelType w:val="hybridMultilevel"/>
    <w:lvl w:ilvl="0">
      <w:lvlJc w:val="left"/>
      <w:lvlText w:val="$"/>
      <w:numFmt w:val="bullet"/>
      <w:start w:val="1"/>
    </w:lvl>
  </w:abstractNum>
  <w:abstractNum w:abstractNumId="50">
    <w:nsid w:val="3F07ACC3"/>
    <w:multiLevelType w:val="hybridMultilevel"/>
    <w:lvl w:ilvl="0">
      <w:lvlJc w:val="left"/>
      <w:lvlText w:val="•"/>
      <w:numFmt w:val="bullet"/>
      <w:start w:val="1"/>
    </w:lvl>
  </w:abstractNum>
  <w:abstractNum w:abstractNumId="51">
    <w:nsid w:val="6B47F63E"/>
    <w:multiLevelType w:val="hybridMultilevel"/>
    <w:lvl w:ilvl="0">
      <w:lvlJc w:val="left"/>
      <w:lvlText w:val="•"/>
      <w:numFmt w:val="bullet"/>
      <w:start w:val="1"/>
    </w:lvl>
  </w:abstractNum>
  <w:abstractNum w:abstractNumId="52">
    <w:nsid w:val="5CB44A05"/>
    <w:multiLevelType w:val="hybridMultilevel"/>
    <w:lvl w:ilvl="0">
      <w:lvlJc w:val="left"/>
      <w:lvlText w:val="(%1)"/>
      <w:numFmt w:val="decimal"/>
      <w:start w:val="1"/>
    </w:lvl>
  </w:abstractNum>
  <w:abstractNum w:abstractNumId="53">
    <w:nsid w:val="16CF80F1"/>
    <w:multiLevelType w:val="hybridMultilevel"/>
    <w:lvl w:ilvl="0">
      <w:lvlJc w:val="left"/>
      <w:lvlText w:val="•"/>
      <w:numFmt w:val="bullet"/>
      <w:start w:val="1"/>
    </w:lvl>
  </w:abstractNum>
  <w:abstractNum w:abstractNumId="54">
    <w:nsid w:val="1C695DEC"/>
    <w:multiLevelType w:val="hybridMultilevel"/>
    <w:lvl w:ilvl="0">
      <w:lvlJc w:val="left"/>
      <w:lvlText w:val="•"/>
      <w:numFmt w:val="bullet"/>
      <w:start w:val="1"/>
    </w:lvl>
  </w:abstractNum>
  <w:abstractNum w:abstractNumId="55">
    <w:nsid w:val="3FCFAED9"/>
    <w:multiLevelType w:val="hybridMultilevel"/>
    <w:lvl w:ilvl="0">
      <w:lvlJc w:val="left"/>
      <w:lvlText w:val="•"/>
      <w:numFmt w:val="bullet"/>
      <w:start w:val="1"/>
    </w:lvl>
  </w:abstractNum>
  <w:abstractNum w:abstractNumId="56">
    <w:nsid w:val="F856867"/>
    <w:multiLevelType w:val="hybridMultilevel"/>
    <w:lvl w:ilvl="0">
      <w:lvlJc w:val="left"/>
      <w:lvlText w:val="•"/>
      <w:numFmt w:val="bullet"/>
      <w:start w:val="1"/>
    </w:lvl>
  </w:abstractNum>
  <w:abstractNum w:abstractNumId="57">
    <w:nsid w:val="11B1CC33"/>
    <w:multiLevelType w:val="hybridMultilevel"/>
    <w:lvl w:ilvl="0">
      <w:lvlJc w:val="left"/>
      <w:lvlText w:val="•"/>
      <w:numFmt w:val="bullet"/>
      <w:start w:val="1"/>
    </w:lvl>
  </w:abstractNum>
  <w:abstractNum w:abstractNumId="58">
    <w:nsid w:val="2E22FBB7"/>
    <w:multiLevelType w:val="hybridMultilevel"/>
    <w:lvl w:ilvl="0">
      <w:lvlJc w:val="left"/>
      <w:lvlText w:val="•"/>
      <w:numFmt w:val="bullet"/>
      <w:start w:val="1"/>
    </w:lvl>
  </w:abstractNum>
  <w:abstractNum w:abstractNumId="59">
    <w:nsid w:val="29934699"/>
    <w:multiLevelType w:val="hybridMultilevel"/>
    <w:lvl w:ilvl="0">
      <w:lvlJc w:val="left"/>
      <w:lvlText w:val="•"/>
      <w:numFmt w:val="bullet"/>
      <w:start w:val="1"/>
    </w:lvl>
  </w:abstractNum>
  <w:abstractNum w:abstractNumId="60">
    <w:nsid w:val="77485850"/>
    <w:multiLevelType w:val="hybridMultilevel"/>
    <w:lvl w:ilvl="0">
      <w:lvlJc w:val="left"/>
      <w:lvlText w:val="•"/>
      <w:numFmt w:val="bullet"/>
      <w:start w:val="1"/>
    </w:lvl>
  </w:abstractNum>
  <w:abstractNum w:abstractNumId="61">
    <w:nsid w:val="744939A3"/>
    <w:multiLevelType w:val="hybridMultilevel"/>
    <w:lvl w:ilvl="0">
      <w:lvlJc w:val="left"/>
      <w:lvlText w:val="(%1)"/>
      <w:numFmt w:val="decimal"/>
      <w:start w:val="1"/>
    </w:lvl>
  </w:abstractNum>
  <w:abstractNum w:abstractNumId="62">
    <w:nsid w:val="4FA0D2E3"/>
    <w:multiLevelType w:val="hybridMultilevel"/>
    <w:lvl w:ilvl="0">
      <w:lvlJc w:val="left"/>
      <w:lvlText w:val="(%1)"/>
      <w:numFmt w:val="decimal"/>
      <w:start w:val="2"/>
    </w:lvl>
  </w:abstractNum>
  <w:abstractNum w:abstractNumId="63">
    <w:nsid w:val="6B1D2C14"/>
    <w:multiLevelType w:val="hybridMultilevel"/>
    <w:lvl w:ilvl="0">
      <w:lvlJc w:val="left"/>
      <w:lvlText w:val="*"/>
      <w:numFmt w:val="bullet"/>
      <w:start w:val="1"/>
    </w:lvl>
  </w:abstractNum>
  <w:abstractNum w:abstractNumId="64">
    <w:nsid w:val="68B867D3"/>
    <w:multiLevelType w:val="hybridMultilevel"/>
    <w:lvl w:ilvl="0">
      <w:lvlJc w:val="left"/>
      <w:lvlText w:val="•"/>
      <w:numFmt w:val="bullet"/>
      <w:start w:val="1"/>
    </w:lvl>
  </w:abstractNum>
  <w:abstractNum w:abstractNumId="65">
    <w:nsid w:val="3F7F5DD9"/>
    <w:multiLevelType w:val="hybridMultilevel"/>
    <w:lvl w:ilvl="0">
      <w:lvlJc w:val="left"/>
      <w:lvlText w:val="•"/>
      <w:numFmt w:val="bullet"/>
      <w:start w:val="1"/>
    </w:lvl>
  </w:abstractNum>
  <w:abstractNum w:abstractNumId="66">
    <w:nsid w:val="2AE05A34"/>
    <w:multiLevelType w:val="hybridMultilevel"/>
    <w:lvl w:ilvl="0">
      <w:lvlJc w:val="left"/>
      <w:lvlText w:val="•"/>
      <w:numFmt w:val="bullet"/>
      <w:start w:val="1"/>
    </w:lvl>
  </w:abstractNum>
  <w:abstractNum w:abstractNumId="67">
    <w:nsid w:val="32794FF7"/>
    <w:multiLevelType w:val="hybridMultilevel"/>
    <w:lvl w:ilvl="0">
      <w:lvlJc w:val="left"/>
      <w:lvlText w:val="•"/>
      <w:numFmt w:val="bullet"/>
      <w:start w:val="1"/>
    </w:lvl>
  </w:abstractNum>
  <w:abstractNum w:abstractNumId="68">
    <w:nsid w:val="5454945E"/>
    <w:multiLevelType w:val="hybridMultilevel"/>
    <w:lvl w:ilvl="0">
      <w:lvlJc w:val="left"/>
      <w:lvlText w:val="•"/>
      <w:numFmt w:val="bullet"/>
      <w:start w:val="1"/>
    </w:lvl>
  </w:abstractNum>
  <w:abstractNum w:abstractNumId="69">
    <w:nsid w:val="4DEFDFA0"/>
    <w:multiLevelType w:val="hybridMultilevel"/>
    <w:lvl w:ilvl="0">
      <w:lvlJc w:val="left"/>
      <w:lvlText w:val="•"/>
      <w:numFmt w:val="bullet"/>
      <w:start w:val="1"/>
    </w:lvl>
  </w:abstractNum>
  <w:abstractNum w:abstractNumId="70">
    <w:nsid w:val="2123D5F2"/>
    <w:multiLevelType w:val="hybridMultilevel"/>
    <w:lvl w:ilvl="0">
      <w:lvlJc w:val="left"/>
      <w:lvlText w:val="•"/>
      <w:numFmt w:val="bullet"/>
      <w:start w:val="1"/>
    </w:lvl>
  </w:abstractNum>
  <w:abstractNum w:abstractNumId="71">
    <w:nsid w:val="135B8110"/>
    <w:multiLevelType w:val="hybridMultilevel"/>
    <w:lvl w:ilvl="0">
      <w:lvlJc w:val="left"/>
      <w:lvlText w:val="•"/>
      <w:numFmt w:val="bullet"/>
      <w:start w:val="1"/>
    </w:lvl>
  </w:abstractNum>
  <w:abstractNum w:abstractNumId="72">
    <w:nsid w:val="94927A8"/>
    <w:multiLevelType w:val="hybridMultilevel"/>
    <w:lvl w:ilvl="0">
      <w:lvlJc w:val="left"/>
      <w:lvlText w:val="•"/>
      <w:numFmt w:val="bullet"/>
      <w:start w:val="1"/>
    </w:lvl>
  </w:abstractNum>
  <w:abstractNum w:abstractNumId="73">
    <w:nsid w:val="DCDF8F6"/>
    <w:multiLevelType w:val="hybridMultilevel"/>
    <w:lvl w:ilvl="0">
      <w:lvlJc w:val="left"/>
      <w:lvlText w:val="•"/>
      <w:numFmt w:val="bullet"/>
      <w:start w:val="1"/>
    </w:lvl>
  </w:abstractNum>
  <w:abstractNum w:abstractNumId="74">
    <w:nsid w:val="52D7B105"/>
    <w:multiLevelType w:val="hybridMultilevel"/>
    <w:lvl w:ilvl="0">
      <w:lvlJc w:val="left"/>
      <w:lvlText w:val="(%1)"/>
      <w:numFmt w:val="lowerRoman"/>
      <w:start w:val="2"/>
    </w:lvl>
  </w:abstractNum>
  <w:abstractNum w:abstractNumId="75">
    <w:nsid w:val="2E8A6394"/>
    <w:multiLevelType w:val="hybridMultilevel"/>
    <w:lvl w:ilvl="0">
      <w:lvlJc w:val="left"/>
      <w:lvlText w:val="•"/>
      <w:numFmt w:val="bullet"/>
      <w:start w:val="1"/>
    </w:lvl>
  </w:abstractNum>
  <w:abstractNum w:abstractNumId="76">
    <w:nsid w:val="24E60401"/>
    <w:multiLevelType w:val="hybridMultilevel"/>
    <w:lvl w:ilvl="0">
      <w:lvlJc w:val="left"/>
      <w:lvlText w:val="•"/>
      <w:numFmt w:val="bullet"/>
      <w:start w:val="1"/>
    </w:lvl>
  </w:abstractNum>
  <w:abstractNum w:abstractNumId="77">
    <w:nsid w:val="2A6AD9BE"/>
    <w:multiLevelType w:val="hybridMultilevel"/>
    <w:lvl w:ilvl="0">
      <w:lvlJc w:val="left"/>
      <w:lvlText w:val="•"/>
      <w:numFmt w:val="bullet"/>
      <w:start w:val="1"/>
    </w:lvl>
  </w:abstractNum>
  <w:abstractNum w:abstractNumId="78">
    <w:nsid w:val="BAAC1B4"/>
    <w:multiLevelType w:val="hybridMultilevel"/>
    <w:lvl w:ilvl="0">
      <w:lvlJc w:val="left"/>
      <w:lvlText w:val="•"/>
      <w:numFmt w:val="bullet"/>
      <w:start w:val="1"/>
    </w:lvl>
  </w:abstractNum>
  <w:abstractNum w:abstractNumId="79">
    <w:nsid w:val="36B2ACBC"/>
    <w:multiLevelType w:val="hybridMultilevel"/>
    <w:lvl w:ilvl="0">
      <w:lvlJc w:val="left"/>
      <w:lvlText w:val="•"/>
      <w:numFmt w:val="bullet"/>
      <w:start w:val="1"/>
    </w:lvl>
  </w:abstractNum>
  <w:abstractNum w:abstractNumId="80">
    <w:nsid w:val="779D8544"/>
    <w:multiLevelType w:val="hybridMultilevel"/>
    <w:lvl w:ilvl="0">
      <w:lvlJc w:val="left"/>
      <w:lvlText w:val="•"/>
      <w:numFmt w:val="bullet"/>
      <w:start w:val="1"/>
    </w:lvl>
  </w:abstractNum>
  <w:abstractNum w:abstractNumId="81">
    <w:nsid w:val="4AB26E78"/>
    <w:multiLevelType w:val="hybridMultilevel"/>
    <w:lvl w:ilvl="0">
      <w:lvlJc w:val="left"/>
      <w:lvlText w:val="•"/>
      <w:numFmt w:val="bullet"/>
      <w:start w:val="1"/>
    </w:lvl>
  </w:abstractNum>
  <w:abstractNum w:abstractNumId="82">
    <w:nsid w:val="21FAA2FA"/>
    <w:multiLevelType w:val="hybridMultilevel"/>
    <w:lvl w:ilvl="0">
      <w:lvlJc w:val="left"/>
      <w:lvlText w:val="*"/>
      <w:numFmt w:val="bullet"/>
      <w:start w:val="1"/>
    </w:lvl>
  </w:abstractNum>
  <w:abstractNum w:abstractNumId="83">
    <w:nsid w:val="5451CF49"/>
    <w:multiLevelType w:val="hybridMultilevel"/>
    <w:lvl w:ilvl="0">
      <w:lvlJc w:val="left"/>
      <w:lvlText w:val="(%1)"/>
      <w:numFmt w:val="decimal"/>
      <w:start w:val="1"/>
    </w:lvl>
  </w:abstractNum>
  <w:abstractNum w:abstractNumId="84">
    <w:nsid w:val="6181EF69"/>
    <w:multiLevelType w:val="hybridMultilevel"/>
    <w:lvl w:ilvl="0">
      <w:lvlJc w:val="left"/>
      <w:lvlText w:val="•"/>
      <w:numFmt w:val="bullet"/>
      <w:start w:val="1"/>
    </w:lvl>
  </w:abstractNum>
  <w:abstractNum w:abstractNumId="85">
    <w:nsid w:val="3E6400E6"/>
    <w:multiLevelType w:val="hybridMultilevel"/>
    <w:lvl w:ilvl="0">
      <w:lvlJc w:val="left"/>
      <w:lvlText w:val="•"/>
      <w:numFmt w:val="bullet"/>
      <w:start w:val="1"/>
    </w:lvl>
  </w:abstractNum>
  <w:abstractNum w:abstractNumId="86">
    <w:nsid w:val="14217E23"/>
    <w:multiLevelType w:val="hybridMultilevel"/>
    <w:lvl w:ilvl="0">
      <w:lvlJc w:val="left"/>
      <w:lvlText w:val="•"/>
      <w:numFmt w:val="bullet"/>
      <w:start w:val="1"/>
    </w:lvl>
  </w:abstractNum>
  <w:abstractNum w:abstractNumId="87">
    <w:nsid w:val="710757D0"/>
    <w:multiLevelType w:val="hybridMultilevel"/>
    <w:lvl w:ilvl="0">
      <w:lvlJc w:val="left"/>
      <w:lvlText w:val="•"/>
      <w:numFmt w:val="bullet"/>
      <w:start w:val="1"/>
    </w:lvl>
  </w:abstractNum>
  <w:abstractNum w:abstractNumId="88">
    <w:nsid w:val="5015CD1A"/>
    <w:multiLevelType w:val="hybridMultilevel"/>
    <w:lvl w:ilvl="0">
      <w:lvlJc w:val="left"/>
      <w:lvlText w:val="•"/>
      <w:numFmt w:val="bullet"/>
      <w:start w:val="1"/>
    </w:lvl>
  </w:abstractNum>
  <w:abstractNum w:abstractNumId="89">
    <w:nsid w:val="424479DA"/>
    <w:multiLevelType w:val="hybridMultilevel"/>
    <w:lvl w:ilvl="0">
      <w:lvlJc w:val="left"/>
      <w:lvlText w:val="•"/>
      <w:numFmt w:val="bullet"/>
      <w:start w:val="1"/>
    </w:lvl>
  </w:abstractNum>
  <w:abstractNum w:abstractNumId="90">
    <w:nsid w:val="1A9A9E69"/>
    <w:multiLevelType w:val="hybridMultilevel"/>
    <w:lvl w:ilvl="0">
      <w:lvlJc w:val="left"/>
      <w:lvlText w:val="(%1)"/>
      <w:numFmt w:val="decimal"/>
      <w:start w:val="1"/>
    </w:lvl>
  </w:abstractNum>
  <w:abstractNum w:abstractNumId="91">
    <w:nsid w:val="475E256A"/>
    <w:multiLevelType w:val="hybridMultilevel"/>
    <w:lvl w:ilvl="0">
      <w:lvlJc w:val="left"/>
      <w:lvlText w:val="(%1)"/>
      <w:numFmt w:val="decimal"/>
      <w:start w:val="4"/>
    </w:lvl>
  </w:abstractNum>
  <w:abstractNum w:abstractNumId="92">
    <w:nsid w:val="368DB37E"/>
    <w:multiLevelType w:val="hybridMultilevel"/>
    <w:lvl w:ilvl="0">
      <w:lvlJc w:val="left"/>
      <w:lvlText w:val="•"/>
      <w:numFmt w:val="bullet"/>
      <w:start w:val="1"/>
    </w:lvl>
  </w:abstractNum>
  <w:abstractNum w:abstractNumId="93">
    <w:nsid w:val="6A3B714C"/>
    <w:multiLevelType w:val="hybridMultilevel"/>
    <w:lvl w:ilvl="0">
      <w:lvlJc w:val="left"/>
      <w:lvlText w:val="(%1)"/>
      <w:numFmt w:val="decimal"/>
      <w:start w:val="1"/>
    </w:lvl>
  </w:abstractNum>
  <w:abstractNum w:abstractNumId="94">
    <w:nsid w:val="327B517E"/>
    <w:multiLevelType w:val="hybridMultilevel"/>
    <w:lvl w:ilvl="0">
      <w:lvlJc w:val="left"/>
      <w:lvlText w:val="(%1)"/>
      <w:numFmt w:val="decimal"/>
      <w:start w:val="1"/>
    </w:lvl>
  </w:abstractNum>
  <w:abstractNum w:abstractNumId="95">
    <w:nsid w:val="1F461B51"/>
    <w:multiLevelType w:val="hybridMultilevel"/>
    <w:lvl w:ilvl="0">
      <w:lvlJc w:val="left"/>
      <w:lvlText w:val="(%1)"/>
      <w:numFmt w:val="decimal"/>
      <w:start w:val="3"/>
    </w:lvl>
  </w:abstractNum>
  <w:abstractNum w:abstractNumId="96">
    <w:nsid w:val="29BACF25"/>
    <w:multiLevelType w:val="hybridMultilevel"/>
    <w:lvl w:ilvl="0">
      <w:lvlJc w:val="left"/>
      <w:lvlText w:val="(%1)"/>
      <w:numFmt w:val="lowerRoman"/>
      <w:start w:val="1"/>
    </w:lvl>
  </w:abstractNum>
  <w:abstractNum w:abstractNumId="97">
    <w:nsid w:val="5D5BABB3"/>
    <w:multiLevelType w:val="hybridMultilevel"/>
    <w:lvl w:ilvl="0">
      <w:lvlJc w:val="left"/>
      <w:lvlText w:val="(%1)"/>
      <w:numFmt w:val="lowerRoman"/>
      <w:start w:val="1"/>
    </w:lvl>
  </w:abstractNum>
  <w:abstractNum w:abstractNumId="98">
    <w:nsid w:val="51BF6B48"/>
    <w:multiLevelType w:val="hybridMultilevel"/>
    <w:lvl w:ilvl="0">
      <w:lvlJc w:val="left"/>
      <w:lvlText w:val="•"/>
      <w:numFmt w:val="bullet"/>
      <w:start w:val="1"/>
    </w:lvl>
  </w:abstractNum>
  <w:abstractNum w:abstractNumId="99">
    <w:nsid w:val="7E0F6384"/>
    <w:multiLevelType w:val="hybridMultilevel"/>
    <w:lvl w:ilvl="0">
      <w:lvlJc w:val="left"/>
      <w:lvlText w:val="•"/>
      <w:numFmt w:val="bullet"/>
      <w:start w:val="1"/>
    </w:lvl>
  </w:abstractNum>
  <w:abstractNum w:abstractNumId="100">
    <w:nsid w:val="2B4B8B53"/>
    <w:multiLevelType w:val="hybridMultilevel"/>
    <w:lvl w:ilvl="0">
      <w:lvlJc w:val="left"/>
      <w:lvlText w:val="•"/>
      <w:numFmt w:val="bullet"/>
      <w:start w:val="1"/>
    </w:lvl>
  </w:abstractNum>
  <w:abstractNum w:abstractNumId="101">
    <w:nsid w:val="72E3413A"/>
    <w:multiLevelType w:val="hybridMultilevel"/>
    <w:lvl w:ilvl="0">
      <w:lvlJc w:val="left"/>
      <w:lvlText w:val="(%1)"/>
      <w:numFmt w:val="decimal"/>
      <w:start w:val="1"/>
    </w:lvl>
  </w:abstractNum>
  <w:abstractNum w:abstractNumId="102">
    <w:nsid w:val="116AE494"/>
    <w:multiLevelType w:val="hybridMultilevel"/>
    <w:lvl w:ilvl="0">
      <w:lvlJc w:val="left"/>
      <w:lvlText w:val="(%1)"/>
      <w:numFmt w:val="decimal"/>
      <w:start w:val="1"/>
    </w:lvl>
  </w:abstractNum>
  <w:abstractNum w:abstractNumId="103">
    <w:nsid w:val="3494B2FB"/>
    <w:multiLevelType w:val="hybridMultilevel"/>
    <w:lvl w:ilvl="0">
      <w:lvlJc w:val="left"/>
      <w:lvlText w:val="•"/>
      <w:numFmt w:val="bullet"/>
      <w:start w:val="1"/>
    </w:lvl>
  </w:abstractNum>
  <w:abstractNum w:abstractNumId="104">
    <w:nsid w:val="B13A31"/>
    <w:multiLevelType w:val="hybridMultilevel"/>
    <w:lvl w:ilvl="0">
      <w:lvlJc w:val="left"/>
      <w:lvlText w:val="*"/>
      <w:numFmt w:val="bullet"/>
      <w:start w:val="1"/>
    </w:lvl>
  </w:abstractNum>
  <w:abstractNum w:abstractNumId="105">
    <w:nsid w:val="64429599"/>
    <w:multiLevelType w:val="hybridMultilevel"/>
    <w:lvl w:ilvl="0">
      <w:lvlJc w:val="left"/>
      <w:lvlText w:val="(%1)"/>
      <w:numFmt w:val="decimal"/>
      <w:start w:val="1"/>
    </w:lvl>
    <w:lvl w:ilvl="1">
      <w:lvlJc w:val="left"/>
      <w:lvlText w:val="(%2)"/>
      <w:numFmt w:val="lowerLetter"/>
      <w:start w:val="2"/>
    </w:lvl>
  </w:abstractNum>
  <w:abstractNum w:abstractNumId="106">
    <w:nsid w:val="631F1690"/>
    <w:multiLevelType w:val="hybridMultilevel"/>
    <w:lvl w:ilvl="0">
      <w:lvlJc w:val="left"/>
      <w:lvlText w:val="(%1)"/>
      <w:numFmt w:val="decimal"/>
      <w:start w:val="10"/>
    </w:lvl>
    <w:lvl w:ilvl="1">
      <w:lvlJc w:val="left"/>
      <w:lvlText w:val="(%2)"/>
      <w:numFmt w:val="lowerLetter"/>
      <w:start w:val="2"/>
    </w:lvl>
  </w:abstractNum>
  <w:abstractNum w:abstractNumId="107">
    <w:nsid w:val="25973E32"/>
    <w:multiLevelType w:val="hybridMultilevel"/>
    <w:lvl w:ilvl="0">
      <w:lvlJc w:val="left"/>
      <w:lvlText w:val="%1"/>
      <w:numFmt w:val="decimal"/>
      <w:start w:val="1"/>
    </w:lvl>
    <w:lvl w:ilvl="1">
      <w:lvlJc w:val="left"/>
      <w:lvlText w:val="(%2)"/>
      <w:numFmt w:val="lowerLetter"/>
      <w:start w:val="4"/>
    </w:lvl>
  </w:abstractNum>
  <w:abstractNum w:abstractNumId="108">
    <w:nsid w:val="EAD6F57"/>
    <w:multiLevelType w:val="hybridMultilevel"/>
    <w:lvl w:ilvl="0">
      <w:lvlJc w:val="left"/>
      <w:lvlText w:val="(%1)"/>
      <w:numFmt w:val="decimal"/>
      <w:start w:val="12"/>
    </w:lvl>
    <w:lvl w:ilvl="1">
      <w:lvlJc w:val="left"/>
      <w:lvlText w:val="(%2)"/>
      <w:numFmt w:val="lowerLetter"/>
      <w:start w:val="2"/>
    </w:lvl>
  </w:abstractNum>
  <w:abstractNum w:abstractNumId="109">
    <w:nsid w:val="6EC9D844"/>
    <w:multiLevelType w:val="hybridMultilevel"/>
    <w:lvl w:ilvl="0">
      <w:lvlJc w:val="left"/>
      <w:lvlText w:val="•"/>
      <w:numFmt w:val="bullet"/>
      <w:start w:val="1"/>
    </w:lvl>
  </w:abstractNum>
  <w:abstractNum w:abstractNumId="110">
    <w:nsid w:val="5C49EAEE"/>
    <w:multiLevelType w:val="hybridMultilevel"/>
    <w:lvl w:ilvl="0">
      <w:lvlJc w:val="left"/>
      <w:lvlText w:val="•"/>
      <w:numFmt w:val="bullet"/>
      <w:start w:val="1"/>
    </w:lvl>
  </w:abstractNum>
  <w:abstractNum w:abstractNumId="111">
    <w:nsid w:val="64AF49B"/>
    <w:multiLevelType w:val="hybridMultilevel"/>
    <w:lvl w:ilvl="0">
      <w:lvlJc w:val="left"/>
      <w:lvlText w:val="•"/>
      <w:numFmt w:val="bullet"/>
      <w:start w:val="1"/>
    </w:lvl>
  </w:abstractNum>
  <w:abstractNum w:abstractNumId="112">
    <w:nsid w:val="397C46BC"/>
    <w:multiLevelType w:val="hybridMultilevel"/>
    <w:lvl w:ilvl="0">
      <w:lvlJc w:val="left"/>
      <w:lvlText w:val="•"/>
      <w:numFmt w:val="bullet"/>
      <w:start w:val="1"/>
    </w:lvl>
  </w:abstractNum>
  <w:abstractNum w:abstractNumId="113">
    <w:nsid w:val="7E448DE9"/>
    <w:multiLevelType w:val="hybridMultilevel"/>
    <w:lvl w:ilvl="0">
      <w:lvlJc w:val="left"/>
      <w:lvlText w:val="•"/>
      <w:numFmt w:val="bullet"/>
      <w:start w:val="1"/>
    </w:lvl>
  </w:abstractNum>
  <w:abstractNum w:abstractNumId="114">
    <w:nsid w:val="5A9CC3E5"/>
    <w:multiLevelType w:val="hybridMultilevel"/>
    <w:lvl w:ilvl="0">
      <w:lvlJc w:val="left"/>
      <w:lvlText w:val="•"/>
      <w:numFmt w:val="bullet"/>
      <w:start w:val="1"/>
    </w:lvl>
  </w:abstractNum>
  <w:abstractNum w:abstractNumId="115">
    <w:nsid w:val="1AFE3625"/>
    <w:multiLevelType w:val="hybridMultilevel"/>
    <w:lvl w:ilvl="0">
      <w:lvlJc w:val="left"/>
      <w:lvlText w:val="•"/>
      <w:numFmt w:val="bullet"/>
      <w:start w:val="1"/>
    </w:lvl>
  </w:abstractNum>
  <w:abstractNum w:abstractNumId="116">
    <w:nsid w:val="3CA88ECF"/>
    <w:multiLevelType w:val="hybridMultilevel"/>
    <w:lvl w:ilvl="0">
      <w:lvlJc w:val="left"/>
      <w:lvlText w:val="•"/>
      <w:numFmt w:val="bullet"/>
      <w:start w:val="1"/>
    </w:lvl>
  </w:abstractNum>
  <w:abstractNum w:abstractNumId="117">
    <w:nsid w:val="6EBE4208"/>
    <w:multiLevelType w:val="hybridMultilevel"/>
    <w:lvl w:ilvl="0">
      <w:lvlJc w:val="left"/>
      <w:lvlText w:val="•"/>
      <w:numFmt w:val="bullet"/>
      <w:start w:val="1"/>
    </w:lvl>
  </w:abstractNum>
  <w:abstractNum w:abstractNumId="118">
    <w:nsid w:val="C058DF5"/>
    <w:multiLevelType w:val="hybridMultilevel"/>
    <w:lvl w:ilvl="0">
      <w:lvlJc w:val="left"/>
      <w:lvlText w:val="•"/>
      <w:numFmt w:val="bullet"/>
      <w:start w:val="1"/>
    </w:lvl>
  </w:abstractNum>
  <w:abstractNum w:abstractNumId="119">
    <w:nsid w:val="CBE5BE9"/>
    <w:multiLevelType w:val="hybridMultilevel"/>
    <w:lvl w:ilvl="0">
      <w:lvlJc w:val="left"/>
      <w:lvlText w:val="•"/>
      <w:numFmt w:val="bullet"/>
      <w:start w:val="1"/>
    </w:lvl>
  </w:abstractNum>
  <w:abstractNum w:abstractNumId="120">
    <w:nsid w:val="3102BBE2"/>
    <w:multiLevelType w:val="hybridMultilevel"/>
    <w:lvl w:ilvl="0">
      <w:lvlJc w:val="left"/>
      <w:lvlText w:val="•"/>
      <w:numFmt w:val="bullet"/>
      <w:start w:val="1"/>
    </w:lvl>
  </w:abstractNum>
  <w:abstractNum w:abstractNumId="121">
    <w:nsid w:val="26A02C5E"/>
    <w:multiLevelType w:val="hybridMultilevel"/>
    <w:lvl w:ilvl="0">
      <w:lvlJc w:val="left"/>
      <w:lvlText w:val="•"/>
      <w:numFmt w:val="bullet"/>
      <w:start w:val="1"/>
    </w:lvl>
  </w:abstractNum>
  <w:abstractNum w:abstractNumId="122">
    <w:nsid w:val="541C8153"/>
    <w:multiLevelType w:val="hybridMultilevel"/>
    <w:lvl w:ilvl="0">
      <w:lvlJc w:val="left"/>
      <w:lvlText w:val="(%1)"/>
      <w:numFmt w:val="lowerLetter"/>
      <w:start w:val="2"/>
    </w:lvl>
  </w:abstractNum>
  <w:abstractNum w:abstractNumId="123">
    <w:nsid w:val="67906F60"/>
    <w:multiLevelType w:val="hybridMultilevel"/>
    <w:lvl w:ilvl="0">
      <w:lvlJc w:val="left"/>
      <w:lvlText w:val="•"/>
      <w:numFmt w:val="bullet"/>
      <w:start w:val="1"/>
    </w:lvl>
  </w:abstractNum>
  <w:abstractNum w:abstractNumId="124">
    <w:nsid w:val="10DB9DAA"/>
    <w:multiLevelType w:val="hybridMultilevel"/>
    <w:lvl w:ilvl="0">
      <w:lvlJc w:val="left"/>
      <w:lvlText w:val="•"/>
      <w:numFmt w:val="bullet"/>
      <w:start w:val="1"/>
    </w:lvl>
    <w:lvl w:ilvl="1">
      <w:lvlJc w:val="left"/>
      <w:lvlText w:val="•"/>
      <w:numFmt w:val="bullet"/>
      <w:start w:val="1"/>
    </w:lvl>
  </w:abstractNum>
  <w:abstractNum w:abstractNumId="125">
    <w:nsid w:val="697D2D2"/>
    <w:multiLevelType w:val="hybridMultilevel"/>
    <w:lvl w:ilvl="0">
      <w:lvlJc w:val="left"/>
      <w:lvlText w:val="(%1)"/>
      <w:numFmt w:val="lowerLetter"/>
      <w:start w:val="2"/>
    </w:lvl>
  </w:abstractNum>
  <w:abstractNum w:abstractNumId="126">
    <w:nsid w:val="6D68AB2"/>
    <w:multiLevelType w:val="hybridMultilevel"/>
    <w:lvl w:ilvl="0">
      <w:lvlJc w:val="left"/>
      <w:lvlText w:val="(%1)"/>
      <w:numFmt w:val="lowerRoman"/>
      <w:start w:val="11"/>
    </w:lvl>
  </w:abstractNum>
  <w:abstractNum w:abstractNumId="127">
    <w:nsid w:val="3A966CD0"/>
    <w:multiLevelType w:val="hybridMultilevel"/>
    <w:lvl w:ilvl="0">
      <w:lvlJc w:val="left"/>
      <w:lvlText w:val="•"/>
      <w:numFmt w:val="bullet"/>
      <w:start w:val="1"/>
    </w:lvl>
  </w:abstractNum>
  <w:abstractNum w:abstractNumId="128">
    <w:nsid w:val="63F37E85"/>
    <w:multiLevelType w:val="hybridMultilevel"/>
    <w:lvl w:ilvl="0">
      <w:lvlJc w:val="left"/>
      <w:lvlText w:val="%1."/>
      <w:numFmt w:val="decimal"/>
      <w:start w:val="1"/>
    </w:lvl>
  </w:abstractNum>
  <w:abstractNum w:abstractNumId="129">
    <w:nsid w:val="5895F5FA"/>
    <w:multiLevelType w:val="hybridMultilevel"/>
    <w:lvl w:ilvl="0">
      <w:lvlJc w:val="left"/>
      <w:lvlText w:val="%1."/>
      <w:numFmt w:val="decimal"/>
      <w:start w:val="2"/>
    </w:lvl>
  </w:abstractNum>
  <w:abstractNum w:abstractNumId="130">
    <w:nsid w:val="38A5D054"/>
    <w:multiLevelType w:val="hybridMultilevel"/>
    <w:lvl w:ilvl="0">
      <w:lvlJc w:val="left"/>
      <w:lvlText w:val="•"/>
      <w:numFmt w:val="bullet"/>
      <w:start w:val="1"/>
    </w:lvl>
  </w:abstractNum>
  <w:abstractNum w:abstractNumId="131">
    <w:nsid w:val="F3F09D8"/>
    <w:multiLevelType w:val="hybridMultilevel"/>
    <w:lvl w:ilvl="0">
      <w:lvlJc w:val="left"/>
      <w:lvlText w:val="%1."/>
      <w:numFmt w:val="decimal"/>
      <w:start w:val="5"/>
    </w:lvl>
  </w:abstractNum>
  <w:abstractNum w:abstractNumId="132">
    <w:nsid w:val="4B793735"/>
    <w:multiLevelType w:val="hybridMultilevel"/>
    <w:lvl w:ilvl="0">
      <w:lvlJc w:val="left"/>
      <w:lvlText w:val="(%1)"/>
      <w:numFmt w:val="lowerRoman"/>
      <w:start w:val="2"/>
    </w:lvl>
  </w:abstractNum>
  <w:abstractNum w:abstractNumId="133">
    <w:nsid w:val="4A10B4E8"/>
    <w:multiLevelType w:val="hybridMultilevel"/>
    <w:lvl w:ilvl="0">
      <w:lvlJc w:val="left"/>
      <w:lvlText w:val="%1."/>
      <w:numFmt w:val="decimal"/>
      <w:start w:val="6"/>
    </w:lvl>
  </w:abstractNum>
  <w:abstractNum w:abstractNumId="134">
    <w:nsid w:val="43D3BCD4"/>
    <w:multiLevelType w:val="hybridMultilevel"/>
    <w:lvl w:ilvl="0">
      <w:lvlJc w:val="left"/>
      <w:lvlText w:val="(%1)"/>
      <w:numFmt w:val="decimal"/>
      <w:start w:val="1"/>
    </w:lvl>
  </w:abstractNum>
  <w:abstractNum w:abstractNumId="135">
    <w:nsid w:val="4C2A7166"/>
    <w:multiLevelType w:val="hybridMultilevel"/>
    <w:lvl w:ilvl="0">
      <w:lvlJc w:val="left"/>
      <w:lvlText w:val="%1."/>
      <w:numFmt w:val="decimal"/>
      <w:start w:val="7"/>
    </w:lvl>
  </w:abstractNum>
  <w:abstractNum w:abstractNumId="136">
    <w:nsid w:val="2E534A82"/>
    <w:multiLevelType w:val="hybridMultilevel"/>
    <w:lvl w:ilvl="0">
      <w:lvlJc w:val="left"/>
      <w:lvlText w:val="%1."/>
      <w:numFmt w:val="decimal"/>
      <w:start w:val="8"/>
    </w:lvl>
  </w:abstractNum>
  <w:abstractNum w:abstractNumId="137">
    <w:nsid w:val="26F2D364"/>
    <w:multiLevelType w:val="hybridMultilevel"/>
    <w:lvl w:ilvl="0">
      <w:lvlJc w:val="left"/>
      <w:lvlText w:val="%1."/>
      <w:numFmt w:val="decimal"/>
      <w:start w:val="9"/>
    </w:lvl>
  </w:abstractNum>
  <w:abstractNum w:abstractNumId="138">
    <w:nsid w:val="71C1AF98"/>
    <w:multiLevelType w:val="hybridMultilevel"/>
    <w:lvl w:ilvl="0">
      <w:lvlJc w:val="left"/>
      <w:lvlText w:val="%1."/>
      <w:numFmt w:val="decimal"/>
      <w:start w:val="10"/>
    </w:lvl>
  </w:abstractNum>
  <w:abstractNum w:abstractNumId="139">
    <w:nsid w:val="3D00B9D9"/>
    <w:multiLevelType w:val="hybridMultilevel"/>
    <w:lvl w:ilvl="0">
      <w:lvlJc w:val="left"/>
      <w:lvlText w:val="%1."/>
      <w:numFmt w:val="decimal"/>
      <w:start w:val="11"/>
    </w:lvl>
  </w:abstractNum>
  <w:abstractNum w:abstractNumId="140">
    <w:nsid w:val="15BCABA8"/>
    <w:multiLevelType w:val="hybridMultilevel"/>
    <w:lvl w:ilvl="0">
      <w:lvlJc w:val="left"/>
      <w:lvlText w:val="%1."/>
      <w:numFmt w:val="decimal"/>
      <w:start w:val="12"/>
    </w:lvl>
  </w:abstractNum>
  <w:abstractNum w:abstractNumId="141">
    <w:nsid w:val="4E0B9A87"/>
    <w:multiLevelType w:val="hybridMultilevel"/>
    <w:lvl w:ilvl="0">
      <w:lvlJc w:val="left"/>
      <w:lvlText w:val="•"/>
      <w:numFmt w:val="bullet"/>
      <w:start w:val="1"/>
    </w:lvl>
  </w:abstractNum>
  <w:abstractNum w:abstractNumId="142">
    <w:nsid w:val="434BAE75"/>
    <w:multiLevelType w:val="hybridMultilevel"/>
    <w:lvl w:ilvl="0">
      <w:lvlJc w:val="left"/>
      <w:lvlText w:val="•"/>
      <w:numFmt w:val="bullet"/>
      <w:start w:val="1"/>
    </w:lvl>
  </w:abstractNum>
  <w:abstractNum w:abstractNumId="143">
    <w:nsid w:val="4F38F265"/>
    <w:multiLevelType w:val="hybridMultilevel"/>
    <w:lvl w:ilvl="0">
      <w:lvlJc w:val="left"/>
      <w:lvlText w:val="•"/>
      <w:numFmt w:val="bullet"/>
      <w:start w:val="1"/>
    </w:lvl>
  </w:abstractNum>
  <w:abstractNum w:abstractNumId="144">
    <w:nsid w:val="4C502870"/>
    <w:multiLevelType w:val="hybridMultilevel"/>
    <w:lvl w:ilvl="0">
      <w:lvlJc w:val="left"/>
      <w:lvlText w:val="%1."/>
      <w:numFmt w:val="decimal"/>
      <w:start w:val="1"/>
    </w:lvl>
  </w:abstractNum>
  <w:abstractNum w:abstractNumId="145">
    <w:nsid w:val="1DE8725A"/>
    <w:multiLevelType w:val="hybridMultilevel"/>
    <w:lvl w:ilvl="0">
      <w:lvlJc w:val="left"/>
      <w:lvlText w:val="(%1)"/>
      <w:numFmt w:val="lowerLetter"/>
      <w:start w:val="2"/>
    </w:lvl>
  </w:abstractNum>
  <w:abstractNum w:abstractNumId="146">
    <w:nsid w:val="6A37288A"/>
    <w:multiLevelType w:val="hybridMultilevel"/>
    <w:lvl w:ilvl="0">
      <w:lvlJc w:val="left"/>
      <w:lvlText w:val="(%1)"/>
      <w:numFmt w:val="lowerLetter"/>
      <w:start w:val="1"/>
    </w:lvl>
  </w:abstractNum>
  <w:abstractNum w:abstractNumId="147">
    <w:nsid w:val="8F8B73F"/>
    <w:multiLevelType w:val="hybridMultilevel"/>
    <w:lvl w:ilvl="0">
      <w:lvlJc w:val="left"/>
      <w:lvlText w:val="+"/>
      <w:numFmt w:val="bullet"/>
      <w:start w:val="1"/>
    </w:lvl>
  </w:abstractNum>
  <w:abstractNum w:abstractNumId="148">
    <w:nsid w:val="CA6B462"/>
    <w:multiLevelType w:val="hybridMultilevel"/>
    <w:lvl w:ilvl="0">
      <w:lvlJc w:val="left"/>
      <w:lvlText w:val="%1."/>
      <w:numFmt w:val="decimal"/>
      <w:start w:val="1"/>
    </w:lvl>
  </w:abstractNum>
  <w:abstractNum w:abstractNumId="149">
    <w:nsid w:val="763CB680"/>
    <w:multiLevelType w:val="hybridMultilevel"/>
    <w:lvl w:ilvl="0">
      <w:lvlJc w:val="left"/>
      <w:lvlText w:val="(%1)"/>
      <w:numFmt w:val="lowerLetter"/>
      <w:start w:val="1"/>
    </w:lvl>
  </w:abstractNum>
  <w:abstractNum w:abstractNumId="150">
    <w:nsid w:val="15B71329"/>
    <w:multiLevelType w:val="hybridMultilevel"/>
    <w:lvl w:ilvl="0">
      <w:lvlJc w:val="left"/>
      <w:lvlText w:val="%1."/>
      <w:numFmt w:val="decimal"/>
      <w:start w:val="2"/>
    </w:lvl>
  </w:abstractNum>
  <w:abstractNum w:abstractNumId="151">
    <w:nsid w:val="3DA97044"/>
    <w:multiLevelType w:val="hybridMultilevel"/>
    <w:lvl w:ilvl="0">
      <w:lvlJc w:val="left"/>
      <w:lvlText w:val="(%1)"/>
      <w:numFmt w:val="lowerLetter"/>
      <w:start w:val="1"/>
    </w:lvl>
  </w:abstractNum>
  <w:abstractNum w:abstractNumId="152">
    <w:nsid w:val="1CDCE2DE"/>
    <w:multiLevelType w:val="hybridMultilevel"/>
    <w:lvl w:ilvl="0">
      <w:lvlJc w:val="left"/>
      <w:lvlText w:val="(%1)"/>
      <w:numFmt w:val="lowerLetter"/>
      <w:start w:val="2"/>
    </w:lvl>
  </w:abstractNum>
  <w:abstractNum w:abstractNumId="153">
    <w:nsid w:val="69D3947C"/>
    <w:multiLevelType w:val="hybridMultilevel"/>
    <w:lvl w:ilvl="0">
      <w:lvlJc w:val="left"/>
      <w:lvlText w:val="(%1)"/>
      <w:numFmt w:val="lowerLetter"/>
      <w:start w:val="1"/>
    </w:lvl>
  </w:abstractNum>
  <w:abstractNum w:abstractNumId="154">
    <w:nsid w:val="2539DFA5"/>
    <w:multiLevelType w:val="hybridMultilevel"/>
    <w:lvl w:ilvl="0">
      <w:lvlJc w:val="left"/>
      <w:lvlText w:val="(%1)"/>
      <w:numFmt w:val="upperLetter"/>
      <w:start w:val="1"/>
    </w:lvl>
  </w:abstractNum>
  <w:abstractNum w:abstractNumId="155">
    <w:nsid w:val="2DB88089"/>
    <w:multiLevelType w:val="hybridMultilevel"/>
    <w:lvl w:ilvl="0">
      <w:lvlJc w:val="left"/>
      <w:lvlText w:val="%1."/>
      <w:numFmt w:val="decimal"/>
      <w:start w:val="3"/>
    </w:lvl>
  </w:abstractNum>
  <w:abstractNum w:abstractNumId="156">
    <w:nsid w:val="706B674E"/>
    <w:multiLevelType w:val="hybridMultilevel"/>
    <w:lvl w:ilvl="0">
      <w:lvlJc w:val="left"/>
      <w:lvlText w:val="(%1)"/>
      <w:numFmt w:val="lowerLetter"/>
      <w:start w:val="1"/>
    </w:lvl>
  </w:abstractNum>
  <w:abstractNum w:abstractNumId="157">
    <w:nsid w:val="2C106A57"/>
    <w:multiLevelType w:val="hybridMultilevel"/>
    <w:lvl w:ilvl="0">
      <w:lvlJc w:val="left"/>
      <w:lvlText w:val="%1."/>
      <w:numFmt w:val="decimal"/>
      <w:start w:val="4"/>
    </w:lvl>
  </w:abstractNum>
  <w:abstractNum w:abstractNumId="158">
    <w:nsid w:val="684EED59"/>
    <w:multiLevelType w:val="hybridMultilevel"/>
    <w:lvl w:ilvl="0">
      <w:lvlJc w:val="left"/>
      <w:lvlText w:val="%1."/>
      <w:numFmt w:val="decimal"/>
      <w:start w:val="5"/>
    </w:lvl>
    <w:lvl w:ilvl="1">
      <w:lvlJc w:val="left"/>
      <w:lvlText w:val="(%2)"/>
      <w:numFmt w:val="lowerLetter"/>
      <w:start w:val="1"/>
    </w:lvl>
  </w:abstractNum>
  <w:abstractNum w:abstractNumId="159">
    <w:nsid w:val="545EE5D3"/>
    <w:multiLevelType w:val="hybridMultilevel"/>
    <w:lvl w:ilvl="0">
      <w:lvlJc w:val="left"/>
      <w:lvlText w:val="(%1)"/>
      <w:numFmt w:val="lowerLetter"/>
      <w:start w:val="2"/>
    </w:lvl>
  </w:abstractNum>
  <w:abstractNum w:abstractNumId="160">
    <w:nsid w:val="4A66051"/>
    <w:multiLevelType w:val="hybridMultilevel"/>
    <w:lvl w:ilvl="0">
      <w:lvlJc w:val="left"/>
      <w:lvlText w:val="(%1)"/>
      <w:numFmt w:val="lowerLetter"/>
      <w:start w:val="1"/>
    </w:lvl>
  </w:abstractNum>
  <w:abstractNum w:abstractNumId="161">
    <w:nsid w:val="20F4BDAD"/>
    <w:multiLevelType w:val="hybridMultilevel"/>
    <w:lvl w:ilvl="0">
      <w:lvlJc w:val="left"/>
      <w:lvlText w:val="%1"/>
      <w:numFmt w:val="decimal"/>
      <w:start w:val="1"/>
    </w:lvl>
    <w:lvl w:ilvl="1">
      <w:lvlJc w:val="left"/>
      <w:lvlText w:val="(%2)"/>
      <w:numFmt w:val="lowerLetter"/>
      <w:start w:val="5"/>
    </w:lvl>
  </w:abstractNum>
  <w:abstractNum w:abstractNumId="162">
    <w:nsid w:val="639DEFAC"/>
    <w:multiLevelType w:val="hybridMultilevel"/>
    <w:lvl w:ilvl="0">
      <w:lvlJc w:val="left"/>
      <w:lvlText w:val="%1."/>
      <w:numFmt w:val="decimal"/>
      <w:start w:val="6"/>
    </w:lvl>
    <w:lvl w:ilvl="1">
      <w:lvlJc w:val="left"/>
      <w:lvlText w:val="%2"/>
      <w:numFmt w:val="lowerLetter"/>
      <w:start w:val="1"/>
    </w:lvl>
  </w:abstractNum>
  <w:abstractNum w:abstractNumId="163">
    <w:nsid w:val="501F9786"/>
    <w:multiLevelType w:val="hybridMultilevel"/>
    <w:lvl w:ilvl="0">
      <w:lvlJc w:val="left"/>
      <w:lvlText w:val="(%1)"/>
      <w:numFmt w:val="lowerLetter"/>
      <w:start w:val="1"/>
    </w:lvl>
  </w:abstractNum>
  <w:abstractNum w:abstractNumId="164">
    <w:nsid w:val="6B057295"/>
    <w:multiLevelType w:val="hybridMultilevel"/>
    <w:lvl w:ilvl="0">
      <w:lvlJc w:val="left"/>
      <w:lvlText w:val="%1"/>
      <w:numFmt w:val="decimal"/>
      <w:start w:val="1"/>
    </w:lvl>
    <w:lvl w:ilvl="1">
      <w:lvlJc w:val="left"/>
      <w:lvlText w:val="(%2)"/>
      <w:numFmt w:val="lowerLetter"/>
      <w:start w:val="2"/>
    </w:lvl>
  </w:abstractNum>
  <w:abstractNum w:abstractNumId="165">
    <w:nsid w:val="2771AC80"/>
    <w:multiLevelType w:val="hybridMultilevel"/>
    <w:lvl w:ilvl="0">
      <w:lvlJc w:val="left"/>
      <w:lvlText w:val="%1."/>
      <w:numFmt w:val="decimal"/>
      <w:start w:val="7"/>
    </w:lvl>
    <w:lvl w:ilvl="1">
      <w:lvlJc w:val="left"/>
      <w:lvlText w:val="%2"/>
      <w:numFmt w:val="lowerLetter"/>
      <w:start w:val="1"/>
    </w:lvl>
  </w:abstractNum>
  <w:abstractNum w:abstractNumId="166">
    <w:nsid w:val="1C4A08EC"/>
    <w:multiLevelType w:val="hybridMultilevel"/>
    <w:lvl w:ilvl="0">
      <w:lvlJc w:val="left"/>
      <w:lvlText w:val="(%1)"/>
      <w:numFmt w:val="lowerRoman"/>
      <w:start w:val="1"/>
    </w:lvl>
  </w:abstractNum>
  <w:abstractNum w:abstractNumId="167">
    <w:nsid w:val="1958BD17"/>
    <w:multiLevelType w:val="hybridMultilevel"/>
    <w:lvl w:ilvl="0">
      <w:lvlJc w:val="left"/>
      <w:lvlText w:val="%1."/>
      <w:numFmt w:val="decimal"/>
      <w:start w:val="8"/>
    </w:lvl>
  </w:abstractNum>
  <w:abstractNum w:abstractNumId="168">
    <w:nsid w:val="4E647FE4"/>
    <w:multiLevelType w:val="hybridMultilevel"/>
    <w:lvl w:ilvl="0">
      <w:lvlJc w:val="left"/>
      <w:lvlText w:val="%1."/>
      <w:numFmt w:val="decimal"/>
      <w:start w:val="9"/>
    </w:lvl>
    <w:lvl w:ilvl="1">
      <w:lvlJc w:val="left"/>
      <w:lvlText w:val="(%2)"/>
      <w:numFmt w:val="lowerLetter"/>
      <w:start w:val="1"/>
    </w:lvl>
  </w:abstractNum>
  <w:abstractNum w:abstractNumId="169">
    <w:nsid w:val="E0BB885"/>
    <w:multiLevelType w:val="hybridMultilevel"/>
    <w:lvl w:ilvl="0">
      <w:lvlJc w:val="left"/>
      <w:lvlText w:val="(%1)"/>
      <w:numFmt w:val="lowerLetter"/>
      <w:start w:val="2"/>
    </w:lvl>
  </w:abstractNum>
  <w:abstractNum w:abstractNumId="170">
    <w:nsid w:val="565976F1"/>
    <w:multiLevelType w:val="hybridMultilevel"/>
    <w:lvl w:ilvl="0">
      <w:lvlJc w:val="left"/>
      <w:lvlText w:val="(%1)"/>
      <w:numFmt w:val="lowerLetter"/>
      <w:start w:val="1"/>
    </w:lvl>
  </w:abstractNum>
  <w:abstractNum w:abstractNumId="171">
    <w:nsid w:val="64212B8C"/>
    <w:multiLevelType w:val="hybridMultilevel"/>
    <w:lvl w:ilvl="0">
      <w:lvlJc w:val="left"/>
      <w:lvlText w:val="(%1)"/>
      <w:numFmt w:val="lowerLetter"/>
      <w:start w:val="2"/>
    </w:lvl>
  </w:abstractNum>
  <w:abstractNum w:abstractNumId="172">
    <w:nsid w:val="5C17530C"/>
    <w:multiLevelType w:val="hybridMultilevel"/>
    <w:lvl w:ilvl="0">
      <w:lvlJc w:val="left"/>
      <w:lvlText w:val="%1."/>
      <w:numFmt w:val="decimal"/>
      <w:start w:val="10"/>
    </w:lvl>
  </w:abstractNum>
  <w:abstractNum w:abstractNumId="173">
    <w:nsid w:val="19A52566"/>
    <w:multiLevelType w:val="hybridMultilevel"/>
    <w:lvl w:ilvl="0">
      <w:lvlJc w:val="left"/>
      <w:lvlText w:val="(%1)"/>
      <w:numFmt w:val="decimal"/>
      <w:start w:val="10"/>
    </w:lvl>
    <w:lvl w:ilvl="1">
      <w:lvlJc w:val="left"/>
      <w:lvlText w:val="(%2)"/>
      <w:numFmt w:val="lowerLetter"/>
      <w:start w:val="1"/>
    </w:lvl>
  </w:abstractNum>
  <w:abstractNum w:abstractNumId="174">
    <w:nsid w:val="335A1DF1"/>
    <w:multiLevelType w:val="hybridMultilevel"/>
    <w:lvl w:ilvl="0">
      <w:lvlJc w:val="left"/>
      <w:lvlText w:val="%1."/>
      <w:numFmt w:val="decimal"/>
      <w:start w:val="11"/>
    </w:lvl>
  </w:abstractNum>
  <w:abstractNum w:abstractNumId="175">
    <w:nsid w:val="28677B7C"/>
    <w:multiLevelType w:val="hybridMultilevel"/>
    <w:lvl w:ilvl="0">
      <w:lvlJc w:val="left"/>
      <w:lvlText w:val="%1."/>
      <w:numFmt w:val="decimal"/>
      <w:start w:val="12"/>
    </w:lvl>
    <w:lvl w:ilvl="1">
      <w:lvlJc w:val="left"/>
      <w:lvlText w:val="(%2)"/>
      <w:numFmt w:val="lowerLetter"/>
      <w:start w:val="1"/>
    </w:lvl>
  </w:abstractNum>
  <w:abstractNum w:abstractNumId="176">
    <w:nsid w:val="378D97C0"/>
    <w:multiLevelType w:val="hybridMultilevel"/>
    <w:lvl w:ilvl="0">
      <w:lvlJc w:val="left"/>
      <w:lvlText w:val="(%1)"/>
      <w:numFmt w:val="lowerLetter"/>
      <w:start w:val="3"/>
    </w:lvl>
  </w:abstractNum>
  <w:abstractNum w:abstractNumId="177">
    <w:nsid w:val="1D91467C"/>
    <w:multiLevelType w:val="hybridMultilevel"/>
    <w:lvl w:ilvl="0">
      <w:lvlJc w:val="left"/>
      <w:lvlText w:val="(%1)"/>
      <w:numFmt w:val="lowerLetter"/>
      <w:start w:val="1"/>
    </w:lvl>
  </w:abstractNum>
  <w:abstractNum w:abstractNumId="178">
    <w:nsid w:val="316032BB"/>
    <w:multiLevelType w:val="hybridMultilevel"/>
    <w:lvl w:ilvl="0">
      <w:lvlJc w:val="left"/>
      <w:lvlText w:val="(%1)"/>
      <w:numFmt w:val="lowerLetter"/>
      <w:start w:val="8"/>
    </w:lvl>
  </w:abstractNum>
  <w:abstractNum w:abstractNumId="179">
    <w:nsid w:val="44344C22"/>
    <w:multiLevelType w:val="hybridMultilevel"/>
    <w:lvl w:ilvl="0">
      <w:lvlJc w:val="left"/>
      <w:lvlText w:val="%1."/>
      <w:numFmt w:val="decimal"/>
      <w:start w:val="13"/>
    </w:lvl>
  </w:abstractNum>
  <w:abstractNum w:abstractNumId="180">
    <w:nsid w:val="13CDFCFC"/>
    <w:multiLevelType w:val="hybridMultilevel"/>
    <w:lvl w:ilvl="0">
      <w:lvlJc w:val="left"/>
      <w:lvlText w:val="%1."/>
      <w:numFmt w:val="decimal"/>
      <w:start w:val="14"/>
    </w:lvl>
  </w:abstractNum>
  <w:abstractNum w:abstractNumId="181">
    <w:nsid w:val="471745E4"/>
    <w:multiLevelType w:val="hybridMultilevel"/>
    <w:lvl w:ilvl="0">
      <w:lvlJc w:val="left"/>
      <w:lvlText w:val="(%1)"/>
      <w:numFmt w:val="lowerLetter"/>
      <w:start w:val="1"/>
    </w:lvl>
  </w:abstractNum>
  <w:abstractNum w:abstractNumId="182">
    <w:nsid w:val="1DDBC66"/>
    <w:multiLevelType w:val="hybridMultilevel"/>
    <w:lvl w:ilvl="0">
      <w:lvlJc w:val="left"/>
      <w:lvlText w:val="(%1)"/>
      <w:numFmt w:val="lowerLetter"/>
      <w:start w:val="2"/>
    </w:lvl>
    <w:lvl w:ilvl="1">
      <w:lvlJc w:val="left"/>
      <w:lvlText w:val="(%2)"/>
      <w:numFmt w:val="lowerRoman"/>
      <w:start w:val="1"/>
    </w:lvl>
  </w:abstractNum>
  <w:abstractNum w:abstractNumId="183">
    <w:nsid w:val="30AADFDA"/>
    <w:multiLevelType w:val="hybridMultilevel"/>
    <w:lvl w:ilvl="0">
      <w:lvlJc w:val="left"/>
      <w:lvlText w:val="(%1)"/>
      <w:numFmt w:val="lowerLetter"/>
      <w:start w:val="4"/>
    </w:lvl>
    <w:lvl w:ilvl="1">
      <w:lvlJc w:val="left"/>
      <w:lvlText w:val="(%2)"/>
      <w:numFmt w:val="lowerRoman"/>
      <w:start w:val="1"/>
    </w:lvl>
  </w:abstractNum>
  <w:abstractNum w:abstractNumId="184">
    <w:nsid w:val="30EADA61"/>
    <w:multiLevelType w:val="hybridMultilevel"/>
    <w:lvl w:ilvl="0">
      <w:lvlJc w:val="left"/>
      <w:lvlText w:val="%1"/>
      <w:numFmt w:val="lowerLetter"/>
      <w:start w:val="1"/>
    </w:lvl>
    <w:lvl w:ilvl="1">
      <w:lvlJc w:val="left"/>
      <w:lvlText w:val="(%2)"/>
      <w:numFmt w:val="lowerRoman"/>
      <w:start w:val="1"/>
    </w:lvl>
  </w:abstractNum>
  <w:abstractNum w:abstractNumId="185">
    <w:nsid w:val="27179C0B"/>
    <w:multiLevelType w:val="hybridMultilevel"/>
    <w:lvl w:ilvl="0">
      <w:lvlJc w:val="left"/>
      <w:lvlText w:val="(%1)"/>
      <w:numFmt w:val="lowerLetter"/>
      <w:start w:val="6"/>
    </w:lvl>
    <w:lvl w:ilvl="1">
      <w:lvlJc w:val="left"/>
      <w:lvlText w:val="(%2)"/>
      <w:numFmt w:val="lowerRoman"/>
      <w:start w:val="1"/>
    </w:lvl>
  </w:abstractNum>
  <w:abstractNum w:abstractNumId="186">
    <w:nsid w:val="5E636063"/>
    <w:multiLevelType w:val="hybridMultilevel"/>
    <w:lvl w:ilvl="0">
      <w:lvlJc w:val="left"/>
      <w:lvlText w:val="(%1)"/>
      <w:numFmt w:val="lowerRoman"/>
      <w:start w:val="2"/>
    </w:lvl>
  </w:abstractNum>
  <w:abstractNum w:abstractNumId="187">
    <w:nsid w:val="215641AF"/>
    <w:multiLevelType w:val="hybridMultilevel"/>
    <w:lvl w:ilvl="0">
      <w:lvlJc w:val="left"/>
      <w:lvlText w:val="%1."/>
      <w:numFmt w:val="decimal"/>
      <w:start w:val="15"/>
    </w:lvl>
  </w:abstractNum>
  <w:abstractNum w:abstractNumId="188">
    <w:nsid w:val="53280662"/>
    <w:multiLevelType w:val="hybridMultilevel"/>
    <w:lvl w:ilvl="0">
      <w:lvlJc w:val="left"/>
      <w:lvlText w:val="%1."/>
      <w:numFmt w:val="decimal"/>
      <w:start w:val="1"/>
    </w:lvl>
  </w:abstractNum>
  <w:abstractNum w:abstractNumId="189">
    <w:nsid w:val="46B24DBC"/>
    <w:multiLevelType w:val="hybridMultilevel"/>
    <w:lvl w:ilvl="0">
      <w:lvlJc w:val="left"/>
      <w:lvlText w:val="(%1)"/>
      <w:numFmt w:val="lowerLetter"/>
      <w:start w:val="1"/>
    </w:lvl>
  </w:abstractNum>
  <w:abstractNum w:abstractNumId="190">
    <w:nsid w:val="75B52783"/>
    <w:multiLevelType w:val="hybridMultilevel"/>
    <w:lvl w:ilvl="0">
      <w:lvlJc w:val="left"/>
      <w:lvlText w:val="%1."/>
      <w:numFmt w:val="decimal"/>
      <w:start w:val="3"/>
    </w:lvl>
  </w:abstractNum>
  <w:abstractNum w:abstractNumId="191">
    <w:nsid w:val="57CE66B4"/>
    <w:multiLevelType w:val="hybridMultilevel"/>
    <w:lvl w:ilvl="0">
      <w:lvlJc w:val="left"/>
      <w:lvlText w:val="%1."/>
      <w:numFmt w:val="decimal"/>
      <w:start w:val="1"/>
    </w:lvl>
  </w:abstractNum>
  <w:abstractNum w:abstractNumId="192">
    <w:nsid w:val="67A70B69"/>
    <w:multiLevelType w:val="hybridMultilevel"/>
    <w:lvl w:ilvl="0">
      <w:lvlJc w:val="left"/>
      <w:lvlText w:val="%1."/>
      <w:numFmt w:val="decimal"/>
      <w:start w:val="2"/>
    </w:lvl>
  </w:abstractNum>
  <w:abstractNum w:abstractNumId="193">
    <w:nsid w:val="5953172F"/>
    <w:multiLevelType w:val="hybridMultilevel"/>
    <w:lvl w:ilvl="0">
      <w:lvlJc w:val="left"/>
      <w:lvlText w:val="(%1)"/>
      <w:numFmt w:val="lowerLetter"/>
      <w:start w:val="1"/>
    </w:lvl>
    <w:lvl w:ilvl="1">
      <w:lvlJc w:val="left"/>
      <w:lvlText w:val="(%2)"/>
      <w:numFmt w:val="lowerRoman"/>
      <w:start w:val="2"/>
    </w:lvl>
  </w:abstractNum>
  <w:abstractNum w:abstractNumId="194">
    <w:nsid w:val="27EDFE3A"/>
    <w:multiLevelType w:val="hybridMultilevel"/>
    <w:lvl w:ilvl="0">
      <w:lvlJc w:val="left"/>
      <w:lvlText w:val="(%1)"/>
      <w:numFmt w:val="upperLetter"/>
      <w:start w:val="26"/>
    </w:lvl>
    <w:lvl w:ilvl="1">
      <w:lvlJc w:val="left"/>
      <w:lvlText w:val="(%2)"/>
      <w:numFmt w:val="lowerLetter"/>
      <w:start w:val="3"/>
    </w:lvl>
  </w:abstractNum>
  <w:abstractNum w:abstractNumId="195">
    <w:nsid w:val="52AC7DFF"/>
    <w:multiLevelType w:val="hybridMultilevel"/>
    <w:lvl w:ilvl="0">
      <w:lvlJc w:val="left"/>
      <w:lvlText w:val="%1"/>
      <w:numFmt w:val="decimal"/>
      <w:start w:val="1"/>
    </w:lvl>
    <w:lvl w:ilvl="1">
      <w:lvlJc w:val="left"/>
      <w:lvlText w:val="(%2)"/>
      <w:numFmt w:val="lowerLetter"/>
      <w:start w:val="1"/>
    </w:lvl>
  </w:abstractNum>
  <w:abstractNum w:abstractNumId="196">
    <w:nsid w:val="C4C3AF"/>
    <w:multiLevelType w:val="hybridMultilevel"/>
    <w:lvl w:ilvl="0">
      <w:lvlJc w:val="left"/>
      <w:lvlText w:val="(%1)"/>
      <w:numFmt w:val="decimal"/>
      <w:start w:val="30"/>
    </w:lvl>
    <w:lvl w:ilvl="1">
      <w:lvlJc w:val="left"/>
      <w:lvlText w:val="(%2)"/>
      <w:numFmt w:val="lowerLetter"/>
      <w:start w:val="4"/>
    </w:lvl>
  </w:abstractNum>
  <w:abstractNum w:abstractNumId="197">
    <w:nsid w:val="44380727"/>
    <w:multiLevelType w:val="hybridMultilevel"/>
    <w:lvl w:ilvl="0">
      <w:lvlJc w:val="left"/>
      <w:lvlText w:val="(%1)"/>
      <w:numFmt w:val="lowerLetter"/>
      <w:start w:val="1"/>
    </w:lvl>
  </w:abstractNum>
  <w:abstractNum w:abstractNumId="198">
    <w:nsid w:val="6C053B16"/>
    <w:multiLevelType w:val="hybridMultilevel"/>
    <w:lvl w:ilvl="0">
      <w:lvlJc w:val="left"/>
      <w:lvlText w:val="%1."/>
      <w:numFmt w:val="decimal"/>
      <w:start w:val="3"/>
    </w:lvl>
  </w:abstractNum>
  <w:abstractNum w:abstractNumId="199">
    <w:nsid w:val="4F294393"/>
    <w:multiLevelType w:val="hybridMultilevel"/>
    <w:lvl w:ilvl="0">
      <w:lvlJc w:val="left"/>
      <w:lvlText w:val="(%1)"/>
      <w:numFmt w:val="lowerLetter"/>
      <w:start w:val="1"/>
    </w:lvl>
  </w:abstractNum>
  <w:abstractNum w:abstractNumId="200">
    <w:nsid w:val="5243BFAC"/>
    <w:multiLevelType w:val="hybridMultilevel"/>
    <w:lvl w:ilvl="0">
      <w:lvlJc w:val="left"/>
      <w:lvlText w:val="(%1)"/>
      <w:numFmt w:val="lowerLetter"/>
      <w:start w:val="1"/>
    </w:lvl>
  </w:abstractNum>
  <w:abstractNum w:abstractNumId="201">
    <w:nsid w:val="425EB207"/>
    <w:multiLevelType w:val="hybridMultilevel"/>
    <w:lvl w:ilvl="0">
      <w:lvlJc w:val="left"/>
      <w:lvlText w:val="%1."/>
      <w:numFmt w:val="decimal"/>
      <w:start w:val="4"/>
    </w:lvl>
  </w:abstractNum>
  <w:abstractNum w:abstractNumId="202">
    <w:nsid w:val="334A6F1F"/>
    <w:multiLevelType w:val="hybridMultilevel"/>
    <w:lvl w:ilvl="0">
      <w:lvlJc w:val="left"/>
      <w:lvlText w:val="%1"/>
      <w:numFmt w:val="lowerLetter"/>
      <w:start w:val="1"/>
    </w:lvl>
    <w:lvl w:ilvl="1">
      <w:lvlJc w:val="left"/>
      <w:lvlText w:val="(%2)"/>
      <w:numFmt w:val="lowerLetter"/>
      <w:start w:val="1"/>
    </w:lvl>
  </w:abstractNum>
  <w:abstractNum w:abstractNumId="203">
    <w:nsid w:val="2E5B12B8"/>
    <w:multiLevelType w:val="hybridMultilevel"/>
    <w:lvl w:ilvl="0">
      <w:lvlJc w:val="left"/>
      <w:lvlText w:val="(%1)"/>
      <w:numFmt w:val="lowerLetter"/>
      <w:start w:val="25"/>
    </w:lvl>
    <w:lvl w:ilvl="1">
      <w:lvlJc w:val="left"/>
      <w:lvlText w:val="%2"/>
      <w:numFmt w:val="lowerLetter"/>
      <w:start w:val="1"/>
    </w:lvl>
  </w:abstractNum>
  <w:abstractNum w:abstractNumId="204">
    <w:nsid w:val="5C03D76D"/>
    <w:multiLevelType w:val="hybridMultilevel"/>
    <w:lvl w:ilvl="0">
      <w:lvlJc w:val="left"/>
      <w:lvlText w:val="%1."/>
      <w:numFmt w:val="decimal"/>
      <w:start w:val="5"/>
    </w:lvl>
  </w:abstractNum>
  <w:abstractNum w:abstractNumId="205">
    <w:nsid w:val="66A48D11"/>
    <w:multiLevelType w:val="hybridMultilevel"/>
    <w:lvl w:ilvl="0">
      <w:lvlJc w:val="left"/>
      <w:lvlText w:val="(%1)"/>
      <w:numFmt w:val="lowerRoman"/>
      <w:start w:val="2"/>
    </w:lvl>
  </w:abstractNum>
  <w:abstractNum w:abstractNumId="206">
    <w:nsid w:val="56C28E34"/>
    <w:multiLevelType w:val="hybridMultilevel"/>
    <w:lvl w:ilvl="0">
      <w:lvlJc w:val="left"/>
      <w:lvlText w:val="(%1)"/>
      <w:numFmt w:val="lowerLetter"/>
      <w:start w:val="1"/>
    </w:lvl>
  </w:abstractNum>
  <w:abstractNum w:abstractNumId="207">
    <w:nsid w:val="13916F2D"/>
    <w:multiLevelType w:val="hybridMultilevel"/>
    <w:lvl w:ilvl="0">
      <w:lvlJc w:val="left"/>
      <w:lvlText w:val="%1."/>
      <w:numFmt w:val="decimal"/>
      <w:start w:val="6"/>
    </w:lvl>
    <w:lvl w:ilvl="1">
      <w:lvlJc w:val="left"/>
      <w:lvlText w:val="(%2)"/>
      <w:numFmt w:val="lowerLetter"/>
      <w:start w:val="1"/>
    </w:lvl>
  </w:abstractNum>
  <w:abstractNum w:abstractNumId="208">
    <w:nsid w:val="435D38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9">
    <w:nsid w:val="822C0E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0">
    <w:nsid w:val="57C5BB4F"/>
    <w:multiLevelType w:val="hybridMultilevel"/>
    <w:lvl w:ilvl="0">
      <w:lvlJc w:val="left"/>
      <w:lvlText w:val="(%1)"/>
      <w:numFmt w:val="lowerRoman"/>
      <w:start w:val="3"/>
    </w:lvl>
  </w:abstractNum>
  <w:abstractNum w:abstractNumId="211">
    <w:nsid w:val="1803D089"/>
    <w:multiLevelType w:val="hybridMultilevel"/>
    <w:lvl w:ilvl="0">
      <w:lvlJc w:val="left"/>
      <w:lvlText w:val="(%1)"/>
      <w:numFmt w:val="lowerLetter"/>
      <w:start w:val="2"/>
    </w:lvl>
  </w:abstractNum>
  <w:abstractNum w:abstractNumId="212">
    <w:nsid w:val="4F3A06D4"/>
    <w:multiLevelType w:val="hybridMultilevel"/>
    <w:lvl w:ilvl="0">
      <w:lvlJc w:val="left"/>
      <w:lvlText w:val="(%1)"/>
      <w:numFmt w:val="lowerLetter"/>
      <w:start w:val="1"/>
    </w:lvl>
  </w:abstractNum>
  <w:abstractNum w:abstractNumId="213">
    <w:nsid w:val="59A377B6"/>
    <w:multiLevelType w:val="hybridMultilevel"/>
    <w:lvl w:ilvl="0">
      <w:lvlJc w:val="left"/>
      <w:lvlText w:val="(%1)"/>
      <w:numFmt w:val="lowerLetter"/>
      <w:start w:val="3"/>
    </w:lvl>
  </w:abstractNum>
  <w:abstractNum w:abstractNumId="214">
    <w:nsid w:val="48AEB063"/>
    <w:multiLevelType w:val="hybridMultilevel"/>
    <w:lvl w:ilvl="0">
      <w:lvlJc w:val="left"/>
      <w:lvlText w:val="(%1)"/>
      <w:numFmt w:val="lowerLetter"/>
      <w:start w:val="2"/>
    </w:lvl>
  </w:abstractNum>
  <w:abstractNum w:abstractNumId="215">
    <w:nsid w:val="24E135"/>
    <w:multiLevelType w:val="hybridMultilevel"/>
    <w:lvl w:ilvl="0">
      <w:lvlJc w:val="left"/>
      <w:lvlText w:val="%1"/>
      <w:numFmt w:val="decimal"/>
      <w:start w:val="1"/>
    </w:lvl>
    <w:lvl w:ilvl="1">
      <w:lvlJc w:val="left"/>
      <w:lvlText w:val="(%2)"/>
      <w:numFmt w:val="lowerLetter"/>
      <w:start w:val="1"/>
    </w:lvl>
  </w:abstractNum>
  <w:abstractNum w:abstractNumId="216">
    <w:nsid w:val="BB13C1"/>
    <w:multiLevelType w:val="hybridMultilevel"/>
    <w:lvl w:ilvl="0">
      <w:lvlJc w:val="left"/>
      <w:lvlText w:val="%1."/>
      <w:numFmt w:val="decimal"/>
      <w:start w:val="7"/>
    </w:lvl>
    <w:lvl w:ilvl="1">
      <w:lvlJc w:val="left"/>
      <w:lvlText w:val="%2"/>
      <w:numFmt w:val="lowerLetter"/>
      <w:start w:val="1"/>
    </w:lvl>
  </w:abstractNum>
  <w:abstractNum w:abstractNumId="217">
    <w:nsid w:val="271210C7"/>
    <w:multiLevelType w:val="hybridMultilevel"/>
    <w:lvl w:ilvl="0">
      <w:lvlJc w:val="left"/>
      <w:lvlText w:val="(%1)"/>
      <w:numFmt w:val="lowerLetter"/>
      <w:start w:val="4"/>
    </w:lvl>
  </w:abstractNum>
  <w:abstractNum w:abstractNumId="218">
    <w:nsid w:val="217B22E4"/>
    <w:multiLevelType w:val="hybridMultilevel"/>
    <w:lvl w:ilvl="0">
      <w:lvlJc w:val="left"/>
      <w:lvlText w:val="%1."/>
      <w:numFmt w:val="decimal"/>
      <w:start w:val="8"/>
    </w:lvl>
  </w:abstractNum>
  <w:abstractNum w:abstractNumId="219">
    <w:nsid w:val="53E31A24"/>
    <w:multiLevelType w:val="hybridMultilevel"/>
    <w:lvl w:ilvl="0">
      <w:lvlJc w:val="left"/>
      <w:lvlText w:val="%1"/>
      <w:numFmt w:val="decimal"/>
      <w:start w:val="1"/>
    </w:lvl>
    <w:lvl w:ilvl="1">
      <w:lvlJc w:val="left"/>
      <w:lvlText w:val="(%2)"/>
      <w:numFmt w:val="lowerLetter"/>
      <w:start w:val="1"/>
    </w:lvl>
  </w:abstractNum>
  <w:abstractNum w:abstractNumId="220">
    <w:nsid w:val="6DC45E83"/>
    <w:multiLevelType w:val="hybridMultilevel"/>
    <w:lvl w:ilvl="0">
      <w:lvlJc w:val="left"/>
      <w:lvlText w:val="(%1)"/>
      <w:numFmt w:val="decimal"/>
      <w:start w:val="30"/>
    </w:lvl>
    <w:lvl w:ilvl="1">
      <w:lvlJc w:val="left"/>
      <w:lvlText w:val="%2"/>
      <w:numFmt w:val="lowerLetter"/>
      <w:start w:val="1"/>
    </w:lvl>
  </w:abstractNum>
  <w:abstractNum w:abstractNumId="221">
    <w:nsid w:val="17304A67"/>
    <w:multiLevelType w:val="hybridMultilevel"/>
    <w:lvl w:ilvl="0">
      <w:lvlJc w:val="left"/>
      <w:lvlText w:val="(%1)"/>
      <w:numFmt w:val="lowerLetter"/>
      <w:start w:val="1"/>
    </w:lvl>
  </w:abstractNum>
  <w:abstractNum w:abstractNumId="222">
    <w:nsid w:val="2BB180D8"/>
    <w:multiLevelType w:val="hybridMultilevel"/>
    <w:lvl w:ilvl="0">
      <w:lvlJc w:val="left"/>
      <w:lvlText w:val="(%1)"/>
      <w:numFmt w:val="lowerLetter"/>
      <w:start w:val="35"/>
    </w:lvl>
    <w:lvl w:ilvl="1">
      <w:lvlJc w:val="left"/>
      <w:lvlText w:val="(%2)"/>
      <w:numFmt w:val="lowerLetter"/>
      <w:start w:val="2"/>
    </w:lvl>
  </w:abstractNum>
  <w:abstractNum w:abstractNumId="223">
    <w:nsid w:val="556B69ED"/>
    <w:multiLevelType w:val="hybridMultilevel"/>
    <w:lvl w:ilvl="0">
      <w:lvlJc w:val="left"/>
      <w:lvlText w:val="%1."/>
      <w:numFmt w:val="decimal"/>
      <w:start w:val="9"/>
    </w:lvl>
  </w:abstractNum>
  <w:abstractNum w:abstractNumId="224">
    <w:nsid w:val="70836196"/>
    <w:multiLevelType w:val="hybridMultilevel"/>
    <w:lvl w:ilvl="0">
      <w:lvlJc w:val="left"/>
      <w:lvlText w:val="(%1)"/>
      <w:numFmt w:val="lowerLetter"/>
      <w:start w:val="1"/>
    </w:lvl>
    <w:lvl w:ilvl="1">
      <w:lvlJc w:val="left"/>
      <w:lvlText w:val="(%2)"/>
      <w:numFmt w:val="lowerRoman"/>
      <w:start w:val="1"/>
    </w:lvl>
  </w:abstractNum>
  <w:abstractNum w:abstractNumId="225">
    <w:nsid w:val="539F7F12"/>
    <w:multiLevelType w:val="hybridMultilevel"/>
    <w:lvl w:ilvl="0">
      <w:lvlJc w:val="left"/>
      <w:lvlText w:val="(%1)"/>
      <w:numFmt w:val="lowerRoman"/>
      <w:start w:val="6"/>
    </w:lvl>
  </w:abstractNum>
  <w:abstractNum w:abstractNumId="226">
    <w:nsid w:val="2817E7EC"/>
    <w:multiLevelType w:val="hybridMultilevel"/>
    <w:lvl w:ilvl="0">
      <w:lvlJc w:val="left"/>
      <w:lvlText w:val="(%1)"/>
      <w:numFmt w:val="lowerLetter"/>
      <w:start w:val="1"/>
    </w:lvl>
  </w:abstractNum>
  <w:abstractNum w:abstractNumId="227">
    <w:nsid w:val="71482545"/>
    <w:multiLevelType w:val="hybridMultilevel"/>
    <w:lvl w:ilvl="0">
      <w:lvlJc w:val="left"/>
      <w:lvlText w:val="%1."/>
      <w:numFmt w:val="decimal"/>
      <w:start w:val="10"/>
    </w:lvl>
  </w:abstractNum>
  <w:abstractNum w:abstractNumId="228">
    <w:nsid w:val="17D78639"/>
    <w:multiLevelType w:val="hybridMultilevel"/>
    <w:lvl w:ilvl="0">
      <w:lvlJc w:val="left"/>
      <w:lvlText w:val="(%1)"/>
      <w:numFmt w:val="decimal"/>
      <w:start w:val="3"/>
    </w:lvl>
  </w:abstractNum>
  <w:abstractNum w:abstractNumId="229">
    <w:nsid w:val="141D2302"/>
    <w:multiLevelType w:val="hybridMultilevel"/>
    <w:lvl w:ilvl="0">
      <w:lvlJc w:val="left"/>
      <w:lvlText w:val="%1."/>
      <w:numFmt w:val="decimal"/>
      <w:start w:val="11"/>
    </w:lvl>
  </w:abstractNum>
  <w:abstractNum w:abstractNumId="230">
    <w:nsid w:val="407168D8"/>
    <w:multiLevelType w:val="hybridMultilevel"/>
    <w:lvl w:ilvl="0">
      <w:lvlJc w:val="left"/>
      <w:lvlText w:val="%1."/>
      <w:numFmt w:val="decimal"/>
      <w:start w:val="12"/>
    </w:lvl>
  </w:abstractNum>
  <w:abstractNum w:abstractNumId="231">
    <w:nsid w:val="6A1B45E5"/>
    <w:multiLevelType w:val="hybridMultilevel"/>
    <w:lvl w:ilvl="0">
      <w:lvlJc w:val="left"/>
      <w:lvlText w:val="(%1)"/>
      <w:numFmt w:val="lowerRoman"/>
      <w:start w:val="1"/>
    </w:lvl>
  </w:abstractNum>
  <w:abstractNum w:abstractNumId="232">
    <w:nsid w:val="567BD50A"/>
    <w:multiLevelType w:val="hybridMultilevel"/>
    <w:lvl w:ilvl="0">
      <w:lvlJc w:val="left"/>
      <w:lvlText w:val="%1"/>
      <w:numFmt w:val="lowerLetter"/>
      <w:start w:val="1"/>
    </w:lvl>
    <w:lvl w:ilvl="1">
      <w:lvlJc w:val="left"/>
      <w:lvlText w:val="(%2)"/>
      <w:numFmt w:val="lowerRoman"/>
      <w:start w:val="3"/>
    </w:lvl>
  </w:abstractNum>
  <w:abstractNum w:abstractNumId="233">
    <w:nsid w:val="73BBD7F8"/>
    <w:multiLevelType w:val="hybridMultilevel"/>
    <w:lvl w:ilvl="0">
      <w:lvlJc w:val="left"/>
      <w:lvlText w:val="(%1)"/>
      <w:numFmt w:val="lowerLetter"/>
      <w:start w:val="2"/>
    </w:lvl>
    <w:lvl w:ilvl="1">
      <w:lvlJc w:val="left"/>
      <w:lvlText w:val="%2"/>
      <w:numFmt w:val="lowerRoman"/>
      <w:start w:val="1"/>
    </w:lvl>
  </w:abstractNum>
  <w:abstractNum w:abstractNumId="234">
    <w:nsid w:val="1876589D"/>
    <w:multiLevelType w:val="hybridMultilevel"/>
    <w:lvl w:ilvl="0">
      <w:lvlJc w:val="left"/>
      <w:lvlText w:val="%1."/>
      <w:numFmt w:val="decimal"/>
      <w:start w:val="13"/>
    </w:lvl>
  </w:abstractNum>
  <w:abstractNum w:abstractNumId="235">
    <w:nsid w:val="327FAC77"/>
    <w:multiLevelType w:val="hybridMultilevel"/>
    <w:lvl w:ilvl="0">
      <w:lvlJc w:val="left"/>
      <w:lvlText w:val="(%1)"/>
      <w:numFmt w:val="lowerLetter"/>
      <w:start w:val="9"/>
    </w:lvl>
  </w:abstractNum>
  <w:abstractNum w:abstractNumId="236">
    <w:nsid w:val="5A606509"/>
    <w:multiLevelType w:val="hybridMultilevel"/>
    <w:lvl w:ilvl="0">
      <w:lvlJc w:val="left"/>
      <w:lvlText w:val="(%1)"/>
      <w:numFmt w:val="lowerLetter"/>
      <w:start w:val="2"/>
    </w:lvl>
  </w:abstractNum>
  <w:abstractNum w:abstractNumId="237">
    <w:nsid w:val="6F38E6D1"/>
    <w:multiLevelType w:val="hybridMultilevel"/>
    <w:lvl w:ilvl="0">
      <w:lvlJc w:val="left"/>
      <w:lvlText w:val="(%1)"/>
      <w:numFmt w:val="lowerLetter"/>
      <w:start w:val="3"/>
    </w:lvl>
  </w:abstractNum>
  <w:abstractNum w:abstractNumId="238">
    <w:nsid w:val="46111BA5"/>
    <w:multiLevelType w:val="hybridMultilevel"/>
    <w:lvl w:ilvl="0">
      <w:lvlJc w:val="left"/>
      <w:lvlText w:val="(%1)"/>
      <w:numFmt w:val="lowerRoman"/>
      <w:start w:val="1"/>
    </w:lvl>
  </w:abstractNum>
  <w:abstractNum w:abstractNumId="239">
    <w:nsid w:val="5E963896"/>
    <w:multiLevelType w:val="hybridMultilevel"/>
    <w:lvl w:ilvl="0">
      <w:lvlJc w:val="left"/>
      <w:lvlText w:val="(%1)"/>
      <w:numFmt w:val="lowerLetter"/>
      <w:start w:val="1"/>
    </w:lvl>
  </w:abstractNum>
  <w:abstractNum w:abstractNumId="240">
    <w:nsid w:val="775BA7C1"/>
    <w:multiLevelType w:val="hybridMultilevel"/>
    <w:lvl w:ilvl="0">
      <w:lvlJc w:val="left"/>
      <w:lvlText w:val="(%1)"/>
      <w:numFmt w:val="lowerLetter"/>
      <w:start w:val="3"/>
    </w:lvl>
  </w:abstractNum>
  <w:abstractNum w:abstractNumId="241">
    <w:nsid w:val="1DD6D6F4"/>
    <w:multiLevelType w:val="hybridMultilevel"/>
    <w:lvl w:ilvl="0">
      <w:lvlJc w:val="left"/>
      <w:lvlText w:val="(%1)"/>
      <w:numFmt w:val="lowerLetter"/>
      <w:start w:val="1"/>
    </w:lvl>
  </w:abstractNum>
  <w:abstractNum w:abstractNumId="242">
    <w:nsid w:val="769A091F"/>
    <w:multiLevelType w:val="hybridMultilevel"/>
    <w:lvl w:ilvl="0">
      <w:lvlJc w:val="left"/>
      <w:lvlText w:val="(%1)"/>
      <w:numFmt w:val="lowerLetter"/>
      <w:start w:val="1"/>
    </w:lvl>
  </w:abstractNum>
  <w:abstractNum w:abstractNumId="243">
    <w:nsid w:val="4695AE95"/>
    <w:multiLevelType w:val="hybridMultilevel"/>
    <w:lvl w:ilvl="0">
      <w:lvlJc w:val="left"/>
      <w:lvlText w:val="(%1)"/>
      <w:numFmt w:val="lowerLetter"/>
      <w:start w:val="2"/>
    </w:lvl>
  </w:abstractNum>
  <w:abstractNum w:abstractNumId="244">
    <w:nsid w:val="777A4EAA"/>
    <w:multiLevelType w:val="hybridMultilevel"/>
    <w:lvl w:ilvl="0">
      <w:lvlJc w:val="left"/>
      <w:lvlText w:val="(%1)"/>
      <w:numFmt w:val="lowerRoman"/>
      <w:start w:val="1"/>
    </w:lvl>
  </w:abstractNum>
  <w:abstractNum w:abstractNumId="245">
    <w:nsid w:val="3F48B982"/>
    <w:multiLevelType w:val="hybridMultilevel"/>
    <w:lvl w:ilvl="0">
      <w:lvlJc w:val="left"/>
      <w:lvlText w:val="(%1)"/>
      <w:numFmt w:val="lowerRoman"/>
      <w:start w:val="1"/>
    </w:lvl>
  </w:abstractNum>
  <w:abstractNum w:abstractNumId="246">
    <w:nsid w:val="46BA8FCA"/>
    <w:multiLevelType w:val="hybridMultilevel"/>
    <w:lvl w:ilvl="0">
      <w:lvlJc w:val="left"/>
      <w:lvlText w:val="%1."/>
      <w:numFmt w:val="decimal"/>
      <w:start w:val="1"/>
    </w:lvl>
  </w:abstractNum>
  <w:abstractNum w:abstractNumId="247">
    <w:nsid w:val="7835626C"/>
    <w:multiLevelType w:val="hybridMultilevel"/>
    <w:lvl w:ilvl="0">
      <w:lvlJc w:val="left"/>
      <w:lvlText w:val="%1."/>
      <w:numFmt w:val="decimal"/>
      <w:start w:val="8"/>
    </w:lvl>
  </w:abstractNum>
  <w:abstractNum w:abstractNumId="248">
    <w:nsid w:val="665ACA49"/>
    <w:multiLevelType w:val="hybridMultilevel"/>
    <w:lvl w:ilvl="0">
      <w:lvlJc w:val="left"/>
      <w:lvlText w:val="*"/>
      <w:numFmt w:val="bullet"/>
      <w:start w:val="1"/>
    </w:lvl>
  </w:abstractNum>
  <w:abstractNum w:abstractNumId="249">
    <w:nsid w:val="6835B2AE"/>
    <w:multiLevelType w:val="hybridMultilevel"/>
    <w:lvl w:ilvl="0">
      <w:lvlJc w:val="left"/>
      <w:lvlText w:val="(%1)"/>
      <w:numFmt w:val="lowerLetter"/>
      <w:start w:val="2"/>
    </w:lvl>
  </w:abstractNum>
  <w:abstractNum w:abstractNumId="250">
    <w:nsid w:val="4C187C90"/>
    <w:multiLevelType w:val="hybridMultilevel"/>
    <w:lvl w:ilvl="0">
      <w:lvlJc w:val="left"/>
      <w:lvlText w:val="%1)"/>
      <w:numFmt w:val="decimal"/>
      <w:start w:val="10"/>
    </w:lvl>
  </w:abstractNum>
  <w:abstractNum w:abstractNumId="251">
    <w:nsid w:val="541F28CD"/>
    <w:multiLevelType w:val="hybridMultilevel"/>
    <w:lvl w:ilvl="0">
      <w:lvlJc w:val="left"/>
      <w:lvlText w:val="%1)"/>
      <w:numFmt w:val="decimal"/>
      <w:start w:val="3"/>
    </w:lvl>
  </w:abstractNum>
  <w:abstractNum w:abstractNumId="252">
    <w:nsid w:val="7F65FD16"/>
    <w:multiLevelType w:val="hybridMultilevel"/>
    <w:lvl w:ilvl="0">
      <w:lvlJc w:val="left"/>
      <w:lvlText w:val="%1)"/>
      <w:numFmt w:val="decimal"/>
      <w:start w:val="4"/>
    </w:lvl>
  </w:abstractNum>
  <w:abstractNum w:abstractNumId="253">
    <w:nsid w:val="77C9FD68"/>
    <w:multiLevelType w:val="hybridMultilevel"/>
    <w:lvl w:ilvl="0">
      <w:lvlJc w:val="left"/>
      <w:lvlText w:val="(%1)"/>
      <w:numFmt w:val="lowerLetter"/>
      <w:start w:val="1"/>
    </w:lvl>
  </w:abstractNum>
  <w:abstractNum w:abstractNumId="254">
    <w:nsid w:val="298A92BA"/>
    <w:multiLevelType w:val="hybridMultilevel"/>
    <w:lvl w:ilvl="0">
      <w:lvlJc w:val="left"/>
      <w:lvlText w:val="%1"/>
      <w:numFmt w:val="lowerLetter"/>
      <w:start w:val="1"/>
    </w:lvl>
    <w:lvl w:ilvl="1">
      <w:lvlJc w:val="left"/>
      <w:lvlText w:val="(%2)"/>
      <w:numFmt w:val="lowerLetter"/>
      <w:start w:val="4"/>
    </w:lvl>
  </w:abstractNum>
  <w:abstractNum w:abstractNumId="255">
    <w:nsid w:val="6FE95EAC"/>
    <w:multiLevelType w:val="hybridMultilevel"/>
    <w:lvl w:ilvl="0">
      <w:lvlJc w:val="left"/>
      <w:lvlText w:val="(%1)"/>
      <w:numFmt w:val="lowerLetter"/>
      <w:start w:val="25"/>
    </w:lvl>
    <w:lvl w:ilvl="1">
      <w:lvlJc w:val="left"/>
      <w:lvlText w:val="%2"/>
      <w:numFmt w:val="lowerLetter"/>
      <w:start w:val="1"/>
    </w:lvl>
  </w:abstractNum>
  <w:abstractNum w:abstractNumId="256">
    <w:nsid w:val="4B697C7A"/>
    <w:multiLevelType w:val="hybridMultilevel"/>
    <w:lvl w:ilvl="0">
      <w:lvlJc w:val="left"/>
      <w:lvlText w:val="(%1)"/>
      <w:numFmt w:val="lowerLetter"/>
      <w:start w:val="1"/>
    </w:lvl>
  </w:abstractNum>
  <w:abstractNum w:abstractNumId="257">
    <w:nsid w:val="51A27AA6"/>
    <w:multiLevelType w:val="hybridMultilevel"/>
    <w:lvl w:ilvl="0">
      <w:lvlJc w:val="left"/>
      <w:lvlText w:val="(%1)"/>
      <w:numFmt w:val="lowerLetter"/>
      <w:start w:val="3"/>
    </w:lvl>
  </w:abstractNum>
  <w:abstractNum w:abstractNumId="258">
    <w:nsid w:val="613183F2"/>
    <w:multiLevelType w:val="hybridMultilevel"/>
    <w:lvl w:ilvl="0">
      <w:lvlJc w:val="left"/>
      <w:lvlText w:val="(%1)"/>
      <w:numFmt w:val="lowerLetter"/>
      <w:start w:val="1"/>
    </w:lvl>
  </w:abstractNum>
  <w:abstractNum w:abstractNumId="259">
    <w:nsid w:val="634102B4"/>
    <w:multiLevelType w:val="hybridMultilevel"/>
    <w:lvl w:ilvl="0">
      <w:lvlJc w:val="left"/>
      <w:lvlText w:val="(%1)"/>
      <w:numFmt w:val="decimal"/>
      <w:start w:val="1"/>
    </w:lvl>
  </w:abstractNum>
  <w:abstractNum w:abstractNumId="260">
    <w:nsid w:val="65BF9DA8"/>
    <w:multiLevelType w:val="hybridMultilevel"/>
    <w:lvl w:ilvl="0">
      <w:lvlJc w:val="left"/>
      <w:lvlText w:val="(%1)"/>
      <w:numFmt w:val="lowerLetter"/>
      <w:start w:val="1"/>
    </w:lvl>
  </w:abstractNum>
  <w:abstractNum w:abstractNumId="261">
    <w:nsid w:val="21A2ECCA"/>
    <w:multiLevelType w:val="hybridMultilevel"/>
    <w:lvl w:ilvl="0">
      <w:lvlJc w:val="left"/>
      <w:lvlText w:val="(%1)"/>
      <w:numFmt w:val="lowerRoman"/>
      <w:start w:val="3"/>
    </w:lvl>
  </w:abstractNum>
  <w:abstractNum w:abstractNumId="262">
    <w:nsid w:val="4D5C4899"/>
    <w:multiLevelType w:val="hybridMultilevel"/>
    <w:lvl w:ilvl="0">
      <w:lvlJc w:val="left"/>
      <w:lvlText w:val="["/>
      <w:numFmt w:val="bullet"/>
      <w:start w:val="1"/>
    </w:lvl>
    <w:lvl w:ilvl="1">
      <w:lvlJc w:val="left"/>
      <w:lvlText w:val="%2."/>
      <w:numFmt w:val="decimal"/>
      <w:start w:val="2"/>
    </w:lvl>
  </w:abstractNum>
  <w:abstractNum w:abstractNumId="263">
    <w:nsid w:val="3C3B72B2"/>
    <w:multiLevelType w:val="hybridMultilevel"/>
    <w:lvl w:ilvl="0">
      <w:lvlJc w:val="left"/>
      <w:lvlText w:val="%1."/>
      <w:numFmt w:val="decimal"/>
      <w:start w:val="3"/>
    </w:lvl>
  </w:abstractNum>
  <w:abstractNum w:abstractNumId="264">
    <w:nsid w:val="155EC4C2"/>
    <w:multiLevelType w:val="hybridMultilevel"/>
    <w:lvl w:ilvl="0">
      <w:lvlJc w:val="left"/>
      <w:lvlText w:val="%1."/>
      <w:numFmt w:val="decimal"/>
      <w:start w:val="1"/>
    </w:lvl>
  </w:abstractNum>
  <w:abstractNum w:abstractNumId="265">
    <w:nsid w:val="65D2A137"/>
    <w:multiLevelType w:val="hybridMultilevel"/>
    <w:lvl w:ilvl="0">
      <w:lvlJc w:val="left"/>
      <w:lvlText w:val="(%1)"/>
      <w:numFmt w:val="lowerRoman"/>
      <w:start w:val="3"/>
    </w:lvl>
  </w:abstractNum>
  <w:abstractNum w:abstractNumId="266">
    <w:nsid w:val="6EBB1F2A"/>
    <w:multiLevelType w:val="hybridMultilevel"/>
    <w:lvl w:ilvl="0">
      <w:lvlJc w:val="left"/>
      <w:lvlText w:val="(%1)"/>
      <w:numFmt w:val="lowerLetter"/>
      <w:start w:val="3"/>
    </w:lvl>
  </w:abstractNum>
  <w:abstractNum w:abstractNumId="267">
    <w:nsid w:val="6FBF29CB"/>
    <w:multiLevelType w:val="hybridMultilevel"/>
    <w:lvl w:ilvl="0">
      <w:lvlJc w:val="left"/>
      <w:lvlText w:val="%1."/>
      <w:numFmt w:val="decimal"/>
      <w:start w:val="4"/>
    </w:lvl>
  </w:abstractNum>
  <w:abstractNum w:abstractNumId="268">
    <w:nsid w:val="550B880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2019-12-08T12:42:38Z</dcterms:created>
  <dcterms:modified xsi:type="dcterms:W3CDTF">2019-12-08T12:42:38Z</dcterms:modified>
</cp:coreProperties>
</file>