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00" w:type="dxa"/>
        <w:tblCellMar>
          <w:top w:w="0" w:type="dxa"/>
          <w:left w:w="0" w:type="dxa"/>
          <w:bottom w:w="0" w:type="dxa"/>
          <w:right w:w="0" w:type="dxa"/>
        </w:tblCellMar>
      </w:tblPr>
      <w:tr>
        <w:trPr>
          <w:trHeight w:val="222"/>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001-37985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9"/>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858 362-6295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17"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On March 3, 2026, AnaptysBio, Inc. (“AnaptysBio”) issued a press release announcing its financial results for the three months and year ended December 31, 2025. A copy of the press release is attached as Exhibit 99.1 to this Current Report on Form 8-K.</w:t>
      </w:r>
    </w:p>
    <w:p>
      <w:pPr>
        <w:spacing w:after="0" w:line="15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AnaptysBio is furnishing the Presentation, a full copy is attached hereto as Exhibit 99.2.</w:t>
      </w:r>
    </w:p>
    <w:p>
      <w:pPr>
        <w:spacing w:after="0" w:line="14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information in this Item 7.01, including Exhibit 99.2,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Title or Description</w:t>
            </w:r>
          </w:p>
        </w:tc>
      </w:tr>
      <w:tr>
        <w:trPr>
          <w:trHeight w:val="198"/>
        </w:trPr>
        <w:tc>
          <w:tcPr>
            <w:tcW w:w="14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760" w:type="dxa"/>
            <w:vAlign w:val="bottom"/>
          </w:tcPr>
          <w:p>
            <w:pPr>
              <w:ind w:left="220"/>
              <w:spacing w:after="0" w:line="179" w:lineRule="exact"/>
              <w:rPr>
                <w:sz w:val="20"/>
                <w:szCs w:val="20"/>
                <w:color w:val="auto"/>
              </w:rPr>
            </w:pPr>
            <w:r>
              <w:rPr>
                <w:rFonts w:ascii="Times New Roman" w:cs="Times New Roman" w:eastAsia="Times New Roman" w:hAnsi="Times New Roman"/>
                <w:sz w:val="20"/>
                <w:szCs w:val="20"/>
                <w:color w:val="auto"/>
              </w:rPr>
              <w:t>Press release issued by AnaptysBio, Inc. regarding its financial results for the three months and year ended December</w:t>
            </w:r>
          </w:p>
        </w:tc>
      </w:tr>
      <w:tr>
        <w:trPr>
          <w:trHeight w:val="241"/>
        </w:trPr>
        <w:tc>
          <w:tcPr>
            <w:tcW w:w="320" w:type="dxa"/>
            <w:vAlign w:val="bottom"/>
            <w:tcBorders>
              <w:top w:val="single" w:sz="8" w:color="0000FF"/>
            </w:tcBorders>
          </w:tcPr>
          <w:p>
            <w:pPr>
              <w:spacing w:after="0"/>
              <w:rPr>
                <w:sz w:val="20"/>
                <w:szCs w:val="20"/>
                <w:color w:val="auto"/>
              </w:rPr>
            </w:pPr>
          </w:p>
        </w:tc>
        <w:tc>
          <w:tcPr>
            <w:tcW w:w="1160" w:type="dxa"/>
            <w:vAlign w:val="bottom"/>
          </w:tcPr>
          <w:p>
            <w:pPr>
              <w:spacing w:after="0"/>
              <w:rPr>
                <w:sz w:val="20"/>
                <w:szCs w:val="20"/>
                <w:color w:val="auto"/>
              </w:rPr>
            </w:pPr>
          </w:p>
        </w:tc>
        <w:tc>
          <w:tcPr>
            <w:tcW w:w="97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31, 2025, dated March 3, 2026.</w:t>
            </w:r>
          </w:p>
        </w:tc>
      </w:tr>
      <w:tr>
        <w:trPr>
          <w:trHeight w:val="198"/>
        </w:trPr>
        <w:tc>
          <w:tcPr>
            <w:tcW w:w="14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p>
        </w:tc>
        <w:tc>
          <w:tcPr>
            <w:tcW w:w="9760" w:type="dxa"/>
            <w:vAlign w:val="bottom"/>
          </w:tcPr>
          <w:p>
            <w:pPr>
              <w:ind w:left="220"/>
              <w:spacing w:after="0" w:line="179" w:lineRule="exact"/>
              <w:rPr>
                <w:sz w:val="20"/>
                <w:szCs w:val="20"/>
                <w:color w:val="auto"/>
              </w:rPr>
            </w:pPr>
            <w:r>
              <w:rPr>
                <w:rFonts w:ascii="Times New Roman" w:cs="Times New Roman" w:eastAsia="Times New Roman" w:hAnsi="Times New Roman"/>
                <w:sz w:val="20"/>
                <w:szCs w:val="20"/>
                <w:color w:val="auto"/>
              </w:rPr>
              <w:t>Anaptys Corporate Presentation March 2026</w:t>
            </w:r>
          </w:p>
        </w:tc>
      </w:tr>
      <w:tr>
        <w:trPr>
          <w:trHeight w:val="270"/>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3"/>
                <w:szCs w:val="23"/>
                <w:color w:val="auto"/>
              </w:rPr>
            </w:pPr>
          </w:p>
        </w:tc>
        <w:tc>
          <w:tcPr>
            <w:tcW w:w="97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 document).</w:t>
            </w:r>
          </w:p>
        </w:tc>
      </w:tr>
      <w:tr>
        <w:trPr>
          <w:trHeight w:val="973"/>
        </w:trPr>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AnaptysBio,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March 3, 2026</w:t>
      </w:r>
      <w:r>
        <w:rPr>
          <w:sz w:val="20"/>
          <w:szCs w:val="20"/>
          <w:color w:val="auto"/>
        </w:rPr>
        <w:tab/>
      </w:r>
      <w:r>
        <w:rPr>
          <w:rFonts w:ascii="Times New Roman" w:cs="Times New Roman" w:eastAsia="Times New Roman" w:hAnsi="Times New Roman"/>
          <w:sz w:val="18"/>
          <w:szCs w:val="18"/>
          <w:color w:val="auto"/>
        </w:rPr>
        <w:t>By:</w:t>
        <w:tab/>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Dennis Mulroy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3620"/>
        <w:spacing w:after="0"/>
        <w:rPr>
          <w:sz w:val="20"/>
          <w:szCs w:val="20"/>
          <w:color w:val="auto"/>
        </w:rPr>
      </w:pPr>
      <w:r>
        <w:rPr>
          <w:rFonts w:ascii="Times New Roman" w:cs="Times New Roman" w:eastAsia="Times New Roman" w:hAnsi="Times New Roman"/>
          <w:sz w:val="20"/>
          <w:szCs w:val="20"/>
          <w:b w:val="1"/>
          <w:bCs w:val="1"/>
          <w:color w:val="auto"/>
        </w:rPr>
        <w:t>Anaptys Provides Update on Business Separation and</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Announces Fourth Quarter and Full Year 2025 Financial Results</w:t>
      </w:r>
    </w:p>
    <w:p>
      <w:pPr>
        <w:spacing w:after="0" w:line="194" w:lineRule="exact"/>
        <w:rPr>
          <w:sz w:val="20"/>
          <w:szCs w:val="20"/>
          <w:color w:val="auto"/>
        </w:rPr>
      </w:pPr>
    </w:p>
    <w:p>
      <w:pPr>
        <w:ind w:left="1120" w:right="260" w:hanging="363"/>
        <w:spacing w:after="0" w:line="269" w:lineRule="auto"/>
        <w:tabs>
          <w:tab w:leader="none" w:pos="11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Spin-off of biopharma operations into a public company to be called “First Tracks Biotherapeutics” on track for Q2 2026, potentially as early as late-April</w:t>
      </w:r>
    </w:p>
    <w:p>
      <w:pPr>
        <w:spacing w:after="0" w:line="51" w:lineRule="exact"/>
        <w:rPr>
          <w:rFonts w:ascii="Times New Roman" w:cs="Times New Roman" w:eastAsia="Times New Roman" w:hAnsi="Times New Roman"/>
          <w:sz w:val="20"/>
          <w:szCs w:val="20"/>
          <w:color w:val="auto"/>
        </w:rPr>
      </w:pPr>
    </w:p>
    <w:p>
      <w:pPr>
        <w:ind w:left="1120" w:right="280" w:hanging="363"/>
        <w:spacing w:after="0" w:line="269" w:lineRule="auto"/>
        <w:tabs>
          <w:tab w:leader="none" w:pos="11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1b enrollment ongoing in celiac disease and trial cohort initiated in eosinophilic esophagitis for ANB033, a CD122 antagonist</w:t>
      </w:r>
    </w:p>
    <w:p>
      <w:pPr>
        <w:spacing w:after="0" w:line="47" w:lineRule="exact"/>
        <w:rPr>
          <w:rFonts w:ascii="Times New Roman" w:cs="Times New Roman" w:eastAsia="Times New Roman" w:hAnsi="Times New Roman"/>
          <w:sz w:val="20"/>
          <w:szCs w:val="20"/>
          <w:color w:val="auto"/>
        </w:rPr>
      </w:pPr>
    </w:p>
    <w:p>
      <w:pPr>
        <w:ind w:left="1120" w:right="300" w:hanging="363"/>
        <w:spacing w:after="0" w:line="273" w:lineRule="auto"/>
        <w:tabs>
          <w:tab w:leader="none" w:pos="11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GSK announced strong commercial performance for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growing &gt;13% quarter-over-quarter to $343 million in Q4 2025, implying a ~$1.4 billion annualized run rate</w:t>
      </w:r>
    </w:p>
    <w:p>
      <w:pPr>
        <w:spacing w:after="0" w:line="43" w:lineRule="exact"/>
        <w:rPr>
          <w:rFonts w:ascii="Times New Roman" w:cs="Times New Roman" w:eastAsia="Times New Roman" w:hAnsi="Times New Roman"/>
          <w:sz w:val="20"/>
          <w:szCs w:val="20"/>
          <w:color w:val="auto"/>
        </w:rPr>
      </w:pPr>
    </w:p>
    <w:p>
      <w:pPr>
        <w:ind w:left="1120" w:right="40" w:hanging="363"/>
        <w:spacing w:after="0" w:line="273" w:lineRule="auto"/>
        <w:tabs>
          <w:tab w:leader="none" w:pos="11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Expect to achieve &gt;$390 million in annualized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royalties payable to Anaptys at GSK’s peak sales guidance of &gt;$2.7 billion as early as 2029</w:t>
      </w:r>
    </w:p>
    <w:p>
      <w:pPr>
        <w:spacing w:after="0" w:line="47" w:lineRule="exact"/>
        <w:rPr>
          <w:rFonts w:ascii="Times New Roman" w:cs="Times New Roman" w:eastAsia="Times New Roman" w:hAnsi="Times New Roman"/>
          <w:sz w:val="20"/>
          <w:szCs w:val="20"/>
          <w:color w:val="auto"/>
        </w:rPr>
      </w:pPr>
    </w:p>
    <w:p>
      <w:pPr>
        <w:ind w:left="1120" w:hanging="363"/>
        <w:spacing w:after="0"/>
        <w:tabs>
          <w:tab w:leader="none" w:pos="11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Year-end 2025 cash and investments of ~$311 million</w:t>
      </w:r>
    </w:p>
    <w:p>
      <w:pPr>
        <w:spacing w:after="0" w:line="2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SAN DIEGO, March 3, 2026 </w:t>
      </w:r>
      <w:r>
        <w:rPr>
          <w:rFonts w:ascii="Times New Roman" w:cs="Times New Roman" w:eastAsia="Times New Roman" w:hAnsi="Times New Roman"/>
          <w:sz w:val="20"/>
          <w:szCs w:val="20"/>
          <w:color w:val="auto"/>
        </w:rPr>
        <w:t>— AnaptysBio, Inc. (Nasdaq: ANAB), a clinical-stage biotechnology company focused on delivering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innovative immunology therapeutics, today provided an update on the potential spin-off of its biopharma operations and reported financial results for the fourth quarter and year ended Dec. 31, 2025.</w:t>
      </w:r>
    </w:p>
    <w:p>
      <w:pPr>
        <w:spacing w:after="0" w:line="18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 xml:space="preserve">“We are approaching a defining inflection point for Anaptys, as we plan to spin-off in Q2 2026 our wholly owned biopharma portfolio into a public company, to be called First Tracks Biotherapeutics, to unlock and amplify value for investors across two distinct sets of assets,” said Daniel Faga, president and chief executive officer of Anaptys. “In our royalty portfolio,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exited Q4 2025 on a ~$1.4 billion annualized run rate, reinforcing GSK’s peak sales guidance of far more than $2.7 billion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in monotherapy indications. At the same time, our biopharma portfolio is advancing multiple attractive, high-potential assets, including ANB033, which has pipeline-in-a-product potential, initially in a Phase 1b trial for both celiac disease and eosinophilic esophagitis.”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INTENT TO SEPARATE BUSINESS</w:t>
      </w:r>
    </w:p>
    <w:p>
      <w:pPr>
        <w:spacing w:after="0" w:line="22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 to separate biopharma operations from substantial royalty assets on track for Q2 2026, potentially as early as late-April</w:t>
      </w:r>
    </w:p>
    <w:p>
      <w:pPr>
        <w:spacing w:after="0" w:line="33" w:lineRule="exact"/>
        <w:rPr>
          <w:rFonts w:ascii="Times New Roman" w:cs="Times New Roman" w:eastAsia="Times New Roman" w:hAnsi="Times New Roman"/>
          <w:sz w:val="19"/>
          <w:szCs w:val="19"/>
          <w:color w:val="auto"/>
        </w:rPr>
      </w:pPr>
    </w:p>
    <w:p>
      <w:pPr>
        <w:ind w:left="1500" w:right="420" w:hanging="369"/>
        <w:spacing w:after="0" w:line="246" w:lineRule="auto"/>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to unlock potential value by creating two independent, publicly traded companies with different business objectives and opportunities</w:t>
      </w:r>
    </w:p>
    <w:p>
      <w:pPr>
        <w:spacing w:after="0" w:line="73" w:lineRule="exact"/>
        <w:rPr>
          <w:rFonts w:ascii="Times New Roman" w:cs="Times New Roman" w:eastAsia="Times New Roman" w:hAnsi="Times New Roman"/>
          <w:sz w:val="20"/>
          <w:szCs w:val="20"/>
          <w:color w:val="auto"/>
        </w:rPr>
      </w:pPr>
    </w:p>
    <w:p>
      <w:pPr>
        <w:jc w:val="both"/>
        <w:ind w:left="760" w:right="400" w:hanging="378"/>
        <w:spacing w:after="0" w:line="254"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royalty management company will initially retain the name AnaptysBio (Nasdaq: ANAB) and will manage the financial collaborations from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with GSK and imsidolimab with Vanda, with a focus on protecting and returning their value to shareholders</w:t>
      </w:r>
    </w:p>
    <w:p>
      <w:pPr>
        <w:spacing w:after="0" w:line="66" w:lineRule="exact"/>
        <w:rPr>
          <w:rFonts w:ascii="Times New Roman" w:cs="Times New Roman" w:eastAsia="Times New Roman" w:hAnsi="Times New Roman"/>
          <w:sz w:val="20"/>
          <w:szCs w:val="20"/>
          <w:color w:val="auto"/>
        </w:rPr>
      </w:pPr>
    </w:p>
    <w:p>
      <w:pPr>
        <w:ind w:left="1500" w:right="280" w:hanging="369"/>
        <w:spacing w:after="0" w:line="269" w:lineRule="auto"/>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specific decisions regarding board composition, leadership and financial operations will be disclosed at a later time, Daniel Faga is anticipated to be the initial CEO</w:t>
      </w:r>
    </w:p>
    <w:p>
      <w:pPr>
        <w:spacing w:after="0" w:line="51" w:lineRule="exact"/>
        <w:rPr>
          <w:rFonts w:ascii="Times New Roman" w:cs="Times New Roman" w:eastAsia="Times New Roman" w:hAnsi="Times New Roman"/>
          <w:sz w:val="20"/>
          <w:szCs w:val="20"/>
          <w:color w:val="auto"/>
        </w:rPr>
      </w:pPr>
    </w:p>
    <w:p>
      <w:pPr>
        <w:ind w:left="740" w:right="20" w:hanging="358"/>
        <w:spacing w:after="0" w:line="247" w:lineRule="auto"/>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Tracks Biotherapeutics, Inc. (Nasdaq: TRAX) (formerly referred to as Biopharma Co), will be a public company focused on the development and potential commercialization of innovative immunology therapeutics for autoimmune and inflammatory diseases, including ANB033, rosnilimab and ANB101</w:t>
      </w:r>
    </w:p>
    <w:p>
      <w:pPr>
        <w:ind w:left="1500" w:hanging="369"/>
        <w:spacing w:after="0"/>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10 registration statement has been publicly filed in connection with the planned spin-off</w:t>
      </w:r>
    </w:p>
    <w:p>
      <w:pPr>
        <w:spacing w:after="0" w:line="85" w:lineRule="exact"/>
        <w:rPr>
          <w:rFonts w:ascii="Times New Roman" w:cs="Times New Roman" w:eastAsia="Times New Roman" w:hAnsi="Times New Roman"/>
          <w:sz w:val="20"/>
          <w:szCs w:val="20"/>
          <w:color w:val="auto"/>
        </w:rPr>
      </w:pPr>
    </w:p>
    <w:p>
      <w:pPr>
        <w:jc w:val="both"/>
        <w:ind w:left="1500" w:right="200" w:hanging="369"/>
        <w:spacing w:after="0" w:line="254" w:lineRule="auto"/>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Initial Board of Directors for First Tracks Biotherapeutics is expected to include certain current members of Anaptys’ Board: Daniel Faga, Dennis Fenton, Ph.D., John Orwin (Chairman), John Schmid, Magda Marquet, Ph.D., Rita Jain, M.D., and Tony Ware,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82" w:right="559" w:bottom="1440" w:gutter="0" w:footer="0" w:header="0"/>
        </w:sectPr>
      </w:pPr>
    </w:p>
    <w:bookmarkStart w:id="4" w:name="page5"/>
    <w:bookmarkEnd w:id="4"/>
    <w:p>
      <w:pPr>
        <w:ind w:left="1500" w:right="180" w:hanging="369"/>
        <w:spacing w:after="0" w:line="269" w:lineRule="auto"/>
        <w:tabs>
          <w:tab w:leader="none" w:pos="15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Initial executive leadership team for First Tracks Biotherapeutics will include Daniel Faga, CEO, Paul Lizzul, CMO and Ben Stone, CBO. Additional executives will be disclosed at a later time.</w:t>
      </w:r>
    </w:p>
    <w:p>
      <w:pPr>
        <w:spacing w:after="0" w:line="51"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completion of the spin-off, First Tracks Biotherapeutics will launch with adequate capital to fund operations through significant potential product milestones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AnaptysBio (formerly referred to as “Royalty Management 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GSK </w:t>
      </w:r>
      <w:r>
        <w:rPr>
          <w:rFonts w:ascii="Times New Roman" w:cs="Times New Roman" w:eastAsia="Times New Roman" w:hAnsi="Times New Roman"/>
          <w:sz w:val="20"/>
          <w:szCs w:val="20"/>
          <w:b w:val="1"/>
          <w:bCs w:val="1"/>
          <w:i w:val="1"/>
          <w:iCs w:val="1"/>
          <w:color w:val="auto"/>
        </w:rPr>
        <w:t>Jemperli</w:t>
      </w:r>
      <w:r>
        <w:rPr>
          <w:rFonts w:ascii="Times New Roman" w:cs="Times New Roman" w:eastAsia="Times New Roman" w:hAnsi="Times New Roman"/>
          <w:sz w:val="20"/>
          <w:szCs w:val="20"/>
          <w:b w:val="1"/>
          <w:bCs w:val="1"/>
          <w:color w:val="auto"/>
        </w:rPr>
        <w:t xml:space="preserve"> Financial Collaboration</w:t>
      </w:r>
    </w:p>
    <w:p>
      <w:pPr>
        <w:spacing w:after="0" w:line="216" w:lineRule="exact"/>
        <w:rPr>
          <w:sz w:val="20"/>
          <w:szCs w:val="20"/>
          <w:color w:val="auto"/>
        </w:rPr>
      </w:pPr>
    </w:p>
    <w:p>
      <w:pPr>
        <w:ind w:left="1020" w:right="60" w:hanging="503"/>
        <w:spacing w:after="0" w:line="271"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GSK announced strong commercial performance for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($343 million/£261 million in Q4 2025 sales; $1.128 billion/£861 million in YTD 2025 sales) with &gt;13% USD and GBP quarter-over-quarter growth</w:t>
      </w:r>
      <w:r>
        <w:rPr>
          <w:rFonts w:ascii="Times New Roman" w:cs="Times New Roman" w:eastAsia="Times New Roman" w:hAnsi="Times New Roman"/>
          <w:sz w:val="26"/>
          <w:szCs w:val="26"/>
          <w:color w:val="auto"/>
          <w:vertAlign w:val="superscript"/>
        </w:rPr>
        <w:t>1</w:t>
      </w:r>
    </w:p>
    <w:p>
      <w:pPr>
        <w:spacing w:after="0" w:line="1" w:lineRule="exact"/>
        <w:rPr>
          <w:sz w:val="20"/>
          <w:szCs w:val="20"/>
          <w:color w:val="auto"/>
        </w:rPr>
      </w:pPr>
    </w:p>
    <w:p>
      <w:pPr>
        <w:ind w:left="1500" w:hanging="369"/>
        <w:spacing w:after="0"/>
        <w:tabs>
          <w:tab w:leader="none" w:pos="15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Implies a ~$1.4 billion annualized run rate</w:t>
      </w:r>
    </w:p>
    <w:p>
      <w:pPr>
        <w:spacing w:after="0" w:line="49" w:lineRule="exact"/>
        <w:rPr>
          <w:rFonts w:ascii="Times New Roman" w:cs="Times New Roman" w:eastAsia="Times New Roman" w:hAnsi="Times New Roman"/>
          <w:sz w:val="20"/>
          <w:szCs w:val="20"/>
          <w:color w:val="auto"/>
        </w:rPr>
      </w:pPr>
    </w:p>
    <w:p>
      <w:pPr>
        <w:ind w:left="1500" w:right="280" w:hanging="369"/>
        <w:spacing w:after="0" w:line="273" w:lineRule="auto"/>
        <w:tabs>
          <w:tab w:leader="none" w:pos="15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Dec. 2025, Anaptys received a one-time $75 million commercial sales milestone from GSK when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achieved $1 billion in worldwide net sales in Nov. 2025</w:t>
      </w:r>
    </w:p>
    <w:p>
      <w:pPr>
        <w:spacing w:after="0" w:line="43" w:lineRule="exact"/>
        <w:rPr>
          <w:rFonts w:ascii="Times New Roman" w:cs="Times New Roman" w:eastAsia="Times New Roman" w:hAnsi="Times New Roman"/>
          <w:sz w:val="20"/>
          <w:szCs w:val="20"/>
          <w:color w:val="auto"/>
        </w:rPr>
      </w:pPr>
    </w:p>
    <w:p>
      <w:pPr>
        <w:ind w:left="740" w:right="360" w:hanging="358"/>
        <w:spacing w:after="0" w:line="271" w:lineRule="auto"/>
        <w:tabs>
          <w:tab w:leader="none" w:pos="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Anaptys expects to achieve &gt;$390 million in annualized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royalties payable to Anaptys at GSK’s peak sales guidance of &gt;$2.7 billion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as early as 2029</w:t>
      </w:r>
    </w:p>
    <w:p>
      <w:pPr>
        <w:ind w:left="740" w:right="1020" w:hanging="358"/>
        <w:spacing w:after="0" w:line="268" w:lineRule="auto"/>
        <w:tabs>
          <w:tab w:leader="none" w:pos="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Anaptys estimates Sagard will have accrued ~$250 million in royalties and sales milestones through year-end 2025 and anticipates full paydown of $600 million non-recourse debt monetization by the end of Q2 2027</w:t>
      </w:r>
      <w:r>
        <w:rPr>
          <w:rFonts w:ascii="Times New Roman" w:cs="Times New Roman" w:eastAsia="Times New Roman" w:hAnsi="Times New Roman"/>
          <w:sz w:val="26"/>
          <w:szCs w:val="26"/>
          <w:color w:val="auto"/>
          <w:vertAlign w:val="superscript"/>
        </w:rPr>
        <w:t>3</w:t>
      </w:r>
    </w:p>
    <w:p>
      <w:pPr>
        <w:ind w:left="740" w:hanging="358"/>
        <w:spacing w:after="0"/>
        <w:tabs>
          <w:tab w:leader="none" w:pos="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Substantial GSK investment in additional monotherapy and potential combination trials for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including:</w:t>
      </w:r>
    </w:p>
    <w:p>
      <w:pPr>
        <w:spacing w:after="0" w:line="110" w:lineRule="exact"/>
        <w:rPr>
          <w:rFonts w:ascii="Times New Roman" w:cs="Times New Roman" w:eastAsia="Times New Roman" w:hAnsi="Times New Roman"/>
          <w:sz w:val="20"/>
          <w:szCs w:val="20"/>
          <w:color w:val="auto"/>
        </w:rPr>
      </w:pPr>
    </w:p>
    <w:p>
      <w:pPr>
        <w:ind w:left="1500" w:right="500" w:hanging="369"/>
        <w:spacing w:after="0" w:line="267" w:lineRule="auto"/>
        <w:tabs>
          <w:tab w:leader="none" w:pos="137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AZUR-1 – pivotal Phase 2 – dostarlimab monotherapy in untreated stage II/III dMMR/MSI-H locally advanced rectal cancer</w:t>
      </w:r>
    </w:p>
    <w:p>
      <w:pPr>
        <w:spacing w:after="0" w:line="1" w:lineRule="exact"/>
        <w:rPr>
          <w:rFonts w:ascii="Times New Roman" w:cs="Times New Roman" w:eastAsia="Times New Roman" w:hAnsi="Times New Roman"/>
          <w:sz w:val="20"/>
          <w:szCs w:val="20"/>
          <w:color w:val="auto"/>
        </w:rPr>
      </w:pPr>
    </w:p>
    <w:p>
      <w:pPr>
        <w:ind w:left="1960" w:hanging="455"/>
        <w:spacing w:after="0"/>
        <w:tabs>
          <w:tab w:leader="none" w:pos="196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expected in 2026; U.S. FDA Breakthrough Therapy Designation</w:t>
      </w:r>
    </w:p>
    <w:p>
      <w:pPr>
        <w:spacing w:after="0" w:line="107" w:lineRule="exact"/>
        <w:rPr>
          <w:rFonts w:ascii="Times New Roman" w:cs="Times New Roman" w:eastAsia="Times New Roman" w:hAnsi="Times New Roman"/>
          <w:sz w:val="20"/>
          <w:szCs w:val="20"/>
          <w:color w:val="auto"/>
        </w:rPr>
      </w:pPr>
    </w:p>
    <w:p>
      <w:pPr>
        <w:ind w:left="1960" w:right="20" w:hanging="455"/>
        <w:spacing w:after="0" w:line="250" w:lineRule="auto"/>
        <w:tabs>
          <w:tab w:leader="none" w:pos="2009"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an FDA Commissioner’s National Priority Voucher (CNPV) in Nov. 2025 allowing for only a one to two-month BLA review timeline for US FDA approval</w:t>
      </w:r>
    </w:p>
    <w:p>
      <w:pPr>
        <w:spacing w:after="0" w:line="1" w:lineRule="exact"/>
        <w:rPr>
          <w:rFonts w:ascii="Times New Roman" w:cs="Times New Roman" w:eastAsia="Times New Roman" w:hAnsi="Times New Roman"/>
          <w:sz w:val="20"/>
          <w:szCs w:val="20"/>
          <w:color w:val="auto"/>
        </w:rPr>
      </w:pPr>
    </w:p>
    <w:p>
      <w:pPr>
        <w:ind w:left="1500" w:right="180" w:hanging="369"/>
        <w:spacing w:after="0" w:line="246" w:lineRule="auto"/>
        <w:tabs>
          <w:tab w:leader="none" w:pos="137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AZUR-2 – pivotal Phase 3 – dostarlimab versus standard of care in untreated TN40 or stage III dMMR/ MSI-H resectable colon cancer</w:t>
      </w:r>
    </w:p>
    <w:p>
      <w:pPr>
        <w:spacing w:after="0" w:line="19" w:lineRule="exact"/>
        <w:rPr>
          <w:rFonts w:ascii="Times New Roman" w:cs="Times New Roman" w:eastAsia="Times New Roman" w:hAnsi="Times New Roman"/>
          <w:sz w:val="20"/>
          <w:szCs w:val="20"/>
          <w:color w:val="auto"/>
        </w:rPr>
      </w:pPr>
    </w:p>
    <w:p>
      <w:pPr>
        <w:ind w:left="1960" w:hanging="455"/>
        <w:spacing w:after="0"/>
        <w:tabs>
          <w:tab w:leader="none" w:pos="196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expected in 2028</w:t>
      </w:r>
    </w:p>
    <w:p>
      <w:pPr>
        <w:spacing w:after="0" w:line="107" w:lineRule="exact"/>
        <w:rPr>
          <w:rFonts w:ascii="Times New Roman" w:cs="Times New Roman" w:eastAsia="Times New Roman" w:hAnsi="Times New Roman"/>
          <w:sz w:val="20"/>
          <w:szCs w:val="20"/>
          <w:color w:val="auto"/>
        </w:rPr>
      </w:pPr>
    </w:p>
    <w:p>
      <w:pPr>
        <w:ind w:left="1500" w:right="780" w:hanging="369"/>
        <w:spacing w:after="0" w:line="267" w:lineRule="auto"/>
        <w:tabs>
          <w:tab w:leader="none" w:pos="137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AZUR-4 – Phase 2 – dostarlimab plus chemotherapy versus standard of care (chemotherapy) in untreated stage III MMRp/MSS resectable colon cancer</w:t>
      </w:r>
    </w:p>
    <w:p>
      <w:pPr>
        <w:spacing w:after="0" w:line="1" w:lineRule="exact"/>
        <w:rPr>
          <w:rFonts w:ascii="Times New Roman" w:cs="Times New Roman" w:eastAsia="Times New Roman" w:hAnsi="Times New Roman"/>
          <w:sz w:val="20"/>
          <w:szCs w:val="20"/>
          <w:color w:val="auto"/>
        </w:rPr>
      </w:pPr>
    </w:p>
    <w:p>
      <w:pPr>
        <w:ind w:left="2020" w:hanging="515"/>
        <w:spacing w:after="0"/>
        <w:tabs>
          <w:tab w:leader="none" w:pos="202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expected in Q4 2026</w:t>
      </w:r>
    </w:p>
    <w:p>
      <w:pPr>
        <w:spacing w:after="0" w:line="107" w:lineRule="exact"/>
        <w:rPr>
          <w:rFonts w:ascii="Times New Roman" w:cs="Times New Roman" w:eastAsia="Times New Roman" w:hAnsi="Times New Roman"/>
          <w:sz w:val="20"/>
          <w:szCs w:val="20"/>
          <w:color w:val="auto"/>
        </w:rPr>
      </w:pPr>
    </w:p>
    <w:p>
      <w:pPr>
        <w:ind w:left="1500" w:right="840" w:hanging="369"/>
        <w:spacing w:after="0" w:line="267" w:lineRule="auto"/>
        <w:tabs>
          <w:tab w:leader="none" w:pos="137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JADE – pivotal Phase 3 – dostarlimab monotherapy versus placebo in locally advanced unresected head and neck squamous cell carcinoma (PD-L1 hiPghD-L1 CPS≥1) post chemoradiation</w:t>
      </w:r>
    </w:p>
    <w:p>
      <w:pPr>
        <w:spacing w:after="0" w:line="1" w:lineRule="exact"/>
        <w:rPr>
          <w:rFonts w:ascii="Times New Roman" w:cs="Times New Roman" w:eastAsia="Times New Roman" w:hAnsi="Times New Roman"/>
          <w:sz w:val="20"/>
          <w:szCs w:val="20"/>
          <w:color w:val="auto"/>
        </w:rPr>
      </w:pPr>
    </w:p>
    <w:p>
      <w:pPr>
        <w:ind w:left="2020" w:hanging="515"/>
        <w:spacing w:after="0"/>
        <w:tabs>
          <w:tab w:leader="none" w:pos="202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expected in 2028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Vanda Imsidolimab Financial Collaboration</w:t>
      </w:r>
    </w:p>
    <w:p>
      <w:pPr>
        <w:spacing w:after="0" w:line="220" w:lineRule="exact"/>
        <w:rPr>
          <w:sz w:val="20"/>
          <w:szCs w:val="20"/>
          <w:color w:val="auto"/>
        </w:rPr>
      </w:pPr>
    </w:p>
    <w:p>
      <w:pPr>
        <w:ind w:left="740" w:right="460" w:hanging="358"/>
        <w:spacing w:after="0" w:line="269"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accepted the BLA filing for imsidolimab in generalized pustular psoriasis (GPP) in Feb. 2026 with a target action date of Dec.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Tracks Biotherapeutics (formerly referred to as “Biopharma 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ANB033 (CD122 antagonist)</w:t>
      </w:r>
    </w:p>
    <w:p>
      <w:pPr>
        <w:spacing w:after="0" w:line="220" w:lineRule="exact"/>
        <w:rPr>
          <w:sz w:val="20"/>
          <w:szCs w:val="20"/>
          <w:color w:val="auto"/>
        </w:rPr>
      </w:pPr>
    </w:p>
    <w:p>
      <w:pPr>
        <w:ind w:left="740" w:hanging="358"/>
        <w:spacing w:after="0"/>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1b trial in celiac disease ongoing</w:t>
      </w:r>
    </w:p>
    <w:p>
      <w:pPr>
        <w:spacing w:after="0" w:line="21" w:lineRule="exact"/>
        <w:rPr>
          <w:rFonts w:ascii="Times New Roman" w:cs="Times New Roman" w:eastAsia="Times New Roman" w:hAnsi="Times New Roman"/>
          <w:sz w:val="20"/>
          <w:szCs w:val="20"/>
          <w:color w:val="auto"/>
        </w:rPr>
      </w:pPr>
    </w:p>
    <w:p>
      <w:pPr>
        <w:ind w:left="1500" w:right="160" w:hanging="369"/>
        <w:spacing w:after="0" w:line="239" w:lineRule="auto"/>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60-patient trial assessing one dose level of subcutaneously administered ANB033 vs. placebo (randomized 1:1) across two different cohorts</w:t>
      </w:r>
    </w:p>
    <w:p>
      <w:pPr>
        <w:ind w:left="1500" w:hanging="369"/>
        <w:spacing w:after="0"/>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Cohort 1 (n=30) is a gluten-challenge study to assess the prevention of mucosal damage</w:t>
      </w:r>
    </w:p>
    <w:p>
      <w:pPr>
        <w:jc w:val="both"/>
        <w:ind w:left="2240" w:right="300" w:hanging="360"/>
        <w:spacing w:after="0" w:line="252" w:lineRule="auto"/>
        <w:tabs>
          <w:tab w:leader="none" w:pos="2240" w:val="left"/>
        </w:tabs>
        <w:numPr>
          <w:ilvl w:val="2"/>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Patients enrolled have a Vh:Cd ratio of &gt;2.0 are treated with ANB033 or placebo for 4 weeks, and after are administered a daily 6-gram gluten challenge at Week 4 for 14 days, and are assessed at Week 6 via biopsy</w:t>
      </w:r>
    </w:p>
    <w:p>
      <w:pPr>
        <w:ind w:left="1500" w:hanging="369"/>
        <w:spacing w:after="0"/>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Cohort 2 (n=30) is a study to assess the possibility of mucosal healing in the likely commercial population</w:t>
      </w:r>
    </w:p>
    <w:p>
      <w:pPr>
        <w:ind w:left="2240" w:right="80" w:hanging="360"/>
        <w:spacing w:after="0" w:line="239" w:lineRule="auto"/>
        <w:tabs>
          <w:tab w:leader="none" w:pos="2240"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enrolled have a Vh:Cd ratio of &lt;2.0 are treated with ANB033 or placebo for 4 weeks and are assed at Week 12 via biopsy</w:t>
      </w:r>
    </w:p>
    <w:p>
      <w:pPr>
        <w:ind w:left="1500" w:hanging="369"/>
        <w:spacing w:after="0"/>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Phase 1b data for both cohorts anticipated in Q4 2026</w:t>
      </w:r>
    </w:p>
    <w:p>
      <w:pPr>
        <w:spacing w:after="0" w:line="85"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1b trial in eosinophilic esophagitis initiated in Q1 2026</w:t>
      </w:r>
    </w:p>
    <w:p>
      <w:pPr>
        <w:spacing w:after="0" w:line="2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50-patient cohort assessing one dose level of subcutaneously administered ANB033 vs. placebo (randomized 1:1)</w:t>
      </w:r>
    </w:p>
    <w:p>
      <w:pPr>
        <w:ind w:left="1500" w:hanging="369"/>
        <w:spacing w:after="0"/>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Phase 1b data anticipated in 2027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Rosnilimab (Pathogenic T Cell Depleter)</w:t>
      </w:r>
    </w:p>
    <w:p>
      <w:pPr>
        <w:spacing w:after="0" w:line="220" w:lineRule="exact"/>
        <w:rPr>
          <w:sz w:val="20"/>
          <w:szCs w:val="20"/>
          <w:color w:val="auto"/>
        </w:rPr>
      </w:pPr>
    </w:p>
    <w:p>
      <w:pPr>
        <w:ind w:left="760" w:hanging="378"/>
        <w:spacing w:after="0" w:line="250"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Phase 2b data for rosnilimab, a pathogenic T cell depleter, in rheumatoid arthritis as a late-breaking oral presentation at American College of Rheumatology (ACR) Convergence 2025</w:t>
      </w:r>
    </w:p>
    <w:p>
      <w:pPr>
        <w:spacing w:after="0" w:line="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Presentation available on the Anaptys website at https://www.anaptysbio.com/technology/#anb030</w:t>
      </w:r>
    </w:p>
    <w:p>
      <w:pPr>
        <w:spacing w:after="0" w:line="85" w:lineRule="exact"/>
        <w:rPr>
          <w:rFonts w:ascii="Times New Roman" w:cs="Times New Roman" w:eastAsia="Times New Roman" w:hAnsi="Times New Roman"/>
          <w:sz w:val="20"/>
          <w:szCs w:val="20"/>
          <w:color w:val="auto"/>
        </w:rPr>
      </w:pPr>
    </w:p>
    <w:p>
      <w:pPr>
        <w:ind w:left="740" w:right="620" w:hanging="358"/>
        <w:spacing w:after="0" w:line="269" w:lineRule="auto"/>
        <w:tabs>
          <w:tab w:leader="none" w:pos="7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 providing an update on advancement of rosnilimab in RA, which would be funded by strategic or other outside sources of capital, in Q2 2026</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ANB101 (BDCA2 modulator)</w:t>
      </w:r>
    </w:p>
    <w:p>
      <w:pPr>
        <w:spacing w:after="0" w:line="220"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1a trial in healthy volunteers ongoing</w:t>
      </w:r>
    </w:p>
    <w:p>
      <w:pPr>
        <w:spacing w:after="0" w:line="21" w:lineRule="exact"/>
        <w:rPr>
          <w:rFonts w:ascii="Times New Roman" w:cs="Times New Roman" w:eastAsia="Times New Roman" w:hAnsi="Times New Roman"/>
          <w:sz w:val="20"/>
          <w:szCs w:val="20"/>
          <w:color w:val="auto"/>
        </w:rPr>
      </w:pPr>
    </w:p>
    <w:p>
      <w:pPr>
        <w:ind w:left="1500" w:right="500" w:hanging="369"/>
        <w:spacing w:after="0" w:line="242" w:lineRule="auto"/>
        <w:tabs>
          <w:tab w:leader="none" w:pos="15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date, ANB101’s preclinical and Phase 1a data have suggested it is a more potent antibody with longer half-life resulting in deeper and more durable PD effect of pDC depletion vs. Biogen’s </w:t>
      </w:r>
      <w:r>
        <w:rPr>
          <w:rFonts w:ascii="Times New Roman" w:cs="Times New Roman" w:eastAsia="Times New Roman" w:hAnsi="Times New Roman"/>
          <w:sz w:val="20"/>
          <w:szCs w:val="20"/>
          <w:i w:val="1"/>
          <w:iCs w:val="1"/>
          <w:color w:val="auto"/>
        </w:rPr>
        <w:t>litifilimab</w:t>
      </w:r>
      <w:r>
        <w:rPr>
          <w:rFonts w:ascii="Times New Roman" w:cs="Times New Roman" w:eastAsia="Times New Roman" w:hAnsi="Times New Roman"/>
          <w:sz w:val="20"/>
          <w:szCs w:val="20"/>
          <w:color w:val="auto"/>
        </w:rPr>
        <w:t>, a competing BDCA2 modulator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UPDATES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Position and Stock Repurchase Program</w:t>
      </w:r>
    </w:p>
    <w:p>
      <w:pPr>
        <w:spacing w:after="0" w:line="112" w:lineRule="exact"/>
        <w:rPr>
          <w:sz w:val="20"/>
          <w:szCs w:val="20"/>
          <w:color w:val="auto"/>
        </w:rPr>
      </w:pPr>
    </w:p>
    <w:p>
      <w:pPr>
        <w:ind w:left="740" w:hanging="358"/>
        <w:spacing w:after="0"/>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investments of $311.6 million as of Dec. 31, 2025</w:t>
      </w:r>
    </w:p>
    <w:p>
      <w:pPr>
        <w:spacing w:after="0" w:line="107" w:lineRule="exact"/>
        <w:rPr>
          <w:rFonts w:ascii="Times New Roman" w:cs="Times New Roman" w:eastAsia="Times New Roman" w:hAnsi="Times New Roman"/>
          <w:sz w:val="20"/>
          <w:szCs w:val="20"/>
          <w:color w:val="auto"/>
        </w:rPr>
      </w:pPr>
    </w:p>
    <w:p>
      <w:pPr>
        <w:ind w:left="740" w:right="40" w:hanging="358"/>
        <w:spacing w:after="0" w:line="269" w:lineRule="auto"/>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has repurchased a total of 3,444,079 shares of common stock (11.2% shares outstanding) with $68.6 million as of Dec. 31, 2025, from its $175.0 million Stock Repurchase Program, which expires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82"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2025 Financial Results</w:t>
      </w:r>
    </w:p>
    <w:p>
      <w:pPr>
        <w:spacing w:after="0" w:line="220" w:lineRule="exact"/>
        <w:rPr>
          <w:sz w:val="20"/>
          <w:szCs w:val="20"/>
          <w:color w:val="auto"/>
        </w:rPr>
      </w:pPr>
    </w:p>
    <w:p>
      <w:pPr>
        <w:ind w:left="760" w:right="20" w:hanging="378"/>
        <w:spacing w:after="0" w:line="249"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Cash, cash equivalents and investments totaled $311.6 million as of Dec. 31, 2025, compared to $420.8 million as of Dec. 31, 2024, for a decrease of $109.2 million due primarily to $130.6 million used for operating activities and $68.6 million in shares repurchased offset by $75.0 million received from GSK for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total sales for 2025 exceeding $1.0 billion and $15.0 million received from Vanda Pharmaceuticals for the license of imsidolimab.</w:t>
      </w:r>
    </w:p>
    <w:p>
      <w:pPr>
        <w:spacing w:after="0" w:line="71" w:lineRule="exact"/>
        <w:rPr>
          <w:rFonts w:ascii="Times New Roman" w:cs="Times New Roman" w:eastAsia="Times New Roman" w:hAnsi="Times New Roman"/>
          <w:sz w:val="18"/>
          <w:szCs w:val="18"/>
          <w:color w:val="auto"/>
        </w:rPr>
      </w:pPr>
    </w:p>
    <w:p>
      <w:pPr>
        <w:ind w:left="760" w:hanging="378"/>
        <w:spacing w:after="0" w:line="245"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Collaboration revenue was $108.2 million and $234.6 million for the three and twelve months ended Dec. 31, 2025, compared to $43.1 million and $91.3 million for the three and twelve months ended Dec. 31, 2024. The increase was due primarily to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total sales for 2025 exceeding $1.0 billion which earned one-time $50 million and $75 million commercial sales milestones under our license agreement with GSK,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royalties increased 89% from $17.3 million to $32.7 million and 103% from $47.4 million to $96.0 million for the three and twelve months ended Dec. 31, 2025, and $9.7 million in revenue recognized for the Vanda license agreement.</w:t>
      </w:r>
    </w:p>
    <w:p>
      <w:pPr>
        <w:spacing w:after="0" w:line="76" w:lineRule="exact"/>
        <w:rPr>
          <w:rFonts w:ascii="Times New Roman" w:cs="Times New Roman" w:eastAsia="Times New Roman" w:hAnsi="Times New Roman"/>
          <w:sz w:val="18"/>
          <w:szCs w:val="18"/>
          <w:color w:val="auto"/>
        </w:rPr>
      </w:pPr>
    </w:p>
    <w:p>
      <w:pPr>
        <w:ind w:left="760" w:right="80" w:hanging="378"/>
        <w:spacing w:after="0" w:line="245"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Research and development expenses were $25.6 million and $136.0 million for the three and twelve months ended Dec. 31, 2025, compared to $42.6 million and $163.8 million for the three and twelve months ended Dec. 31, 2024. The decrease for the three and twelve months ended Dec. 31, 2025, was primarily due to decreased development costs for ANB032, rosnilimab, and imsidolimab, offset by increased costs relating to the Phase 1 trials for ANB033 and ANB101. The R&amp;D non-cash, stock-based compensation expense was $3.8 million and $17.1 million for the three and twelve months ended Dec. 31, 2025, as compared to $3.9 million and $14.8 million in the same period in 2024.</w:t>
      </w:r>
    </w:p>
    <w:p>
      <w:pPr>
        <w:spacing w:after="0" w:line="184" w:lineRule="exact"/>
        <w:rPr>
          <w:rFonts w:ascii="Times New Roman" w:cs="Times New Roman" w:eastAsia="Times New Roman" w:hAnsi="Times New Roman"/>
          <w:sz w:val="18"/>
          <w:szCs w:val="18"/>
          <w:color w:val="auto"/>
        </w:rPr>
      </w:pPr>
    </w:p>
    <w:p>
      <w:pPr>
        <w:ind w:left="760" w:right="80" w:hanging="378"/>
        <w:spacing w:after="0" w:line="24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General and administrative expenses were $15.8 million and $50.7 million for the three and twelve months ended Dec. 31, 2025, compared to $10.2 million and $42.4 million for the three and twelve months ended Dec. 31, 2024. The increase was due primarily to legal costs including the separation of the company and transaction costs associated with the Vanda Pharmaceuticals license agreement. The G&amp;A non-cash, stock-based compensation expense was $4.7 million and $18.9 million for the three and twelve months ended Dec. 31, 2025, as compared to $4.3 million and $19.2 million in the same period in 2024.</w:t>
      </w:r>
    </w:p>
    <w:p>
      <w:pPr>
        <w:spacing w:after="0" w:line="184" w:lineRule="exact"/>
        <w:rPr>
          <w:rFonts w:ascii="Times New Roman" w:cs="Times New Roman" w:eastAsia="Times New Roman" w:hAnsi="Times New Roman"/>
          <w:sz w:val="18"/>
          <w:szCs w:val="18"/>
          <w:color w:val="auto"/>
        </w:rPr>
      </w:pPr>
    </w:p>
    <w:p>
      <w:pPr>
        <w:ind w:left="760" w:right="120" w:hanging="378"/>
        <w:spacing w:after="0" w:line="254"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Net income was $49.6 million for the three months ended Dec. 31, 2025, or a net income per share of $1.79 and a net loss of $13.2 million for the twelve months ended Dec. 31, 2025, or a net loss per share of $0.46, compared to a net loss of $21.8 million and $145.2 million for the three and twelve months ended Dec. 31, 2024, or a net loss per share of $0.72 and $5.12.</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Anaptys</w:t>
      </w:r>
    </w:p>
    <w:p>
      <w:pPr>
        <w:spacing w:after="0" w:line="220"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Anaptys is a clinical-stage biotechnology company focused on delivering innovative immunology therapeutics for autoimmune and inflammatory diseases. The company’s pipeline includes rosnilimab, a pathogenic T cell depleter, which has completed a Phase 2b trial for rheumatoid arthritis; ANB033, a CD122 antagonist, in a Phase 1b trial for celiac disease and eosinophilic esophagitis; and ANB101, a BDCA2 modulator, in a Phase 1a trial. Anaptys has also discovered and out-licensed in financial collaborations multiple therapeutic antibodies, including a PD-1 antagonist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(dostarlimab-gxly)) to GSK and an IL-36R antagonist (imsidolimab) to Vanda Pharmaceuticals. To learn more, visit </w:t>
      </w:r>
      <w:r>
        <w:rPr>
          <w:rFonts w:ascii="Times New Roman" w:cs="Times New Roman" w:eastAsia="Times New Roman" w:hAnsi="Times New Roman"/>
          <w:sz w:val="20"/>
          <w:szCs w:val="20"/>
          <w:u w:val="single" w:color="auto"/>
          <w:color w:val="0563C1"/>
        </w:rPr>
        <w:t>www.AnaptysBio.com</w:t>
      </w:r>
      <w:r>
        <w:rPr>
          <w:rFonts w:ascii="Times New Roman" w:cs="Times New Roman" w:eastAsia="Times New Roman" w:hAnsi="Times New Roman"/>
          <w:sz w:val="20"/>
          <w:szCs w:val="20"/>
          <w:color w:val="auto"/>
        </w:rPr>
        <w:t xml:space="preserve"> or follow us on </w:t>
      </w:r>
      <w:r>
        <w:rPr>
          <w:rFonts w:ascii="Times New Roman" w:cs="Times New Roman" w:eastAsia="Times New Roman" w:hAnsi="Times New Roman"/>
          <w:sz w:val="20"/>
          <w:szCs w:val="20"/>
          <w:u w:val="single" w:color="auto"/>
          <w:color w:val="0563C1"/>
        </w:rPr>
        <w:t>LinkedIn</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auto"/>
        </w:rPr>
        <w:t>Anaptys recently announced the intent to separate its biopharma operations from its substantial royalty assets by year-end 2026, enabling investors to align their investment philosophies and portfolio allocation with the strategic opportunities and financial objectives of each company. Learn more at https://ir.anaptysbio.com/news-releases/news-release-details/anaptys-announces-intent-separate-biopharma-operations.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“safe harbor” provisions of the Private Securities Litigation Reform Act of 1995, including, but not limited to: the timing of the release of data from the Company’s clinical trials, including initial data from ANB033's Phase 1b clinical trial in celiac disease and initial data from ANB033's Phase 1b clinical trial in eosinophilic esophagitis; expectations regarding the structure, infrastructure, timing and taxation of the proposed separation of companies; timing of paydown of financial obligations to Sagard; whether any partnership with rosnilimab will take place; the potential to receive any royalties or milestone payments from the Vanda Pharmaceuticals license agreement; the potential to receive any additional milestones or royalties from the GSK collaboration and timing therefor; and the projected cash runway for First Tracks Biotherapeutics.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the ability to effect the separation of companies as described herein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Montemarano</w:t>
      </w:r>
    </w:p>
    <w:p>
      <w:pPr>
        <w:spacing w:after="0"/>
        <w:rPr>
          <w:sz w:val="20"/>
          <w:szCs w:val="20"/>
          <w:color w:val="auto"/>
        </w:rPr>
      </w:pPr>
      <w:r>
        <w:rPr>
          <w:rFonts w:ascii="Times New Roman" w:cs="Times New Roman" w:eastAsia="Times New Roman" w:hAnsi="Times New Roman"/>
          <w:sz w:val="20"/>
          <w:szCs w:val="20"/>
          <w:color w:val="auto"/>
        </w:rPr>
        <w:t>Executive Director, Investor Relations</w:t>
      </w:r>
    </w:p>
    <w:p>
      <w:pPr>
        <w:spacing w:after="0"/>
        <w:rPr>
          <w:sz w:val="20"/>
          <w:szCs w:val="20"/>
          <w:color w:val="auto"/>
        </w:rPr>
      </w:pPr>
      <w:r>
        <w:rPr>
          <w:rFonts w:ascii="Times New Roman" w:cs="Times New Roman" w:eastAsia="Times New Roman" w:hAnsi="Times New Roman"/>
          <w:sz w:val="20"/>
          <w:szCs w:val="20"/>
          <w:color w:val="auto"/>
        </w:rPr>
        <w:t>858.732.0178</w:t>
      </w:r>
    </w:p>
    <w:p>
      <w:pPr>
        <w:ind w:left="60"/>
        <w:spacing w:after="0"/>
        <w:rPr>
          <w:sz w:val="20"/>
          <w:szCs w:val="20"/>
          <w:color w:val="auto"/>
        </w:rPr>
      </w:pPr>
      <w:r>
        <w:rPr>
          <w:rFonts w:ascii="Times New Roman" w:cs="Times New Roman" w:eastAsia="Times New Roman" w:hAnsi="Times New Roman"/>
          <w:sz w:val="20"/>
          <w:szCs w:val="20"/>
          <w:color w:val="0070C0"/>
        </w:rPr>
        <w:t>investors@anaptysbio.com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-24765</wp:posOffset>
            </wp:positionV>
            <wp:extent cx="1361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07"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GSK Q4 2025 earnings call, 2/4/2026</w:t>
      </w:r>
    </w:p>
    <w:p>
      <w:pPr>
        <w:spacing w:after="0" w:line="49" w:lineRule="exact"/>
        <w:rPr>
          <w:rFonts w:ascii="Times New Roman" w:cs="Times New Roman" w:eastAsia="Times New Roman" w:hAnsi="Times New Roman"/>
          <w:sz w:val="20"/>
          <w:szCs w:val="20"/>
          <w:color w:val="auto"/>
        </w:rPr>
      </w:pPr>
    </w:p>
    <w:p>
      <w:pPr>
        <w:jc w:val="both"/>
        <w:ind w:left="380" w:right="500" w:hanging="372"/>
        <w:spacing w:after="0" w:line="256"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CEO Emma Walmsley, 2025 JP Morgan CEO Series fireside chat, 9/11/2025, </w:t>
      </w:r>
      <w:r>
        <w:rPr>
          <w:rFonts w:ascii="Times New Roman" w:cs="Times New Roman" w:eastAsia="Times New Roman" w:hAnsi="Times New Roman"/>
          <w:sz w:val="20"/>
          <w:szCs w:val="20"/>
          <w:i w:val="1"/>
          <w:iCs w:val="1"/>
          <w:color w:val="auto"/>
        </w:rPr>
        <w:t>“there's no change to our peak year sales overall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ambition for Jemperli, that's for sure, which is far more than £2 billion.”</w:t>
      </w:r>
      <w:r>
        <w:rPr>
          <w:rFonts w:ascii="Times New Roman" w:cs="Times New Roman" w:eastAsia="Times New Roman" w:hAnsi="Times New Roman"/>
          <w:sz w:val="20"/>
          <w:szCs w:val="20"/>
          <w:color w:val="auto"/>
        </w:rPr>
        <w:t>; Converted from GBP to USD using Q3 2025 average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exchange rate (1.35x)</w:t>
      </w:r>
    </w:p>
    <w:p>
      <w:pPr>
        <w:spacing w:after="0" w:line="6" w:lineRule="exact"/>
        <w:rPr>
          <w:rFonts w:ascii="Times New Roman" w:cs="Times New Roman" w:eastAsia="Times New Roman" w:hAnsi="Times New Roman"/>
          <w:sz w:val="20"/>
          <w:szCs w:val="20"/>
          <w:color w:val="auto"/>
        </w:rPr>
      </w:pPr>
    </w:p>
    <w:p>
      <w:pPr>
        <w:ind w:left="380" w:right="20" w:hanging="372"/>
        <w:spacing w:after="0" w:line="300"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~$250 million accrued to Sagard accruals by YE 2025 and assumes a ~10% quarter-over-quarter growth rate for </w:t>
      </w:r>
      <w:r>
        <w:rPr>
          <w:rFonts w:ascii="Times New Roman" w:cs="Times New Roman" w:eastAsia="Times New Roman" w:hAnsi="Times New Roman"/>
          <w:sz w:val="19"/>
          <w:szCs w:val="19"/>
          <w:i w:val="1"/>
          <w:iCs w:val="1"/>
          <w:color w:val="auto"/>
        </w:rPr>
        <w:t>Jemperli</w:t>
      </w:r>
      <w:r>
        <w:rPr>
          <w:rFonts w:ascii="Times New Roman" w:cs="Times New Roman" w:eastAsia="Times New Roman" w:hAnsi="Times New Roman"/>
          <w:sz w:val="19"/>
          <w:szCs w:val="19"/>
          <w:color w:val="auto"/>
        </w:rPr>
        <w:t xml:space="preserve"> from Q4’25 through Q2’27 and milestone payments associated with filing ($5mm) and approval ($10mm) of dMMR rectal approval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82" w:right="5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ind w:left="4060"/>
        <w:spacing w:after="0"/>
        <w:rPr>
          <w:sz w:val="20"/>
          <w:szCs w:val="20"/>
          <w:color w:val="auto"/>
        </w:rPr>
      </w:pPr>
      <w:r>
        <w:rPr>
          <w:rFonts w:ascii="Times New Roman" w:cs="Times New Roman" w:eastAsia="Times New Roman" w:hAnsi="Times New Roman"/>
          <w:sz w:val="20"/>
          <w:szCs w:val="20"/>
          <w:b w:val="1"/>
          <w:bCs w:val="1"/>
          <w:color w:val="auto"/>
        </w:rPr>
        <w:t>(in thousands, except par value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52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238,196</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123,080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collaborative partners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40,765</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262,293</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Pr>
          <w:p>
            <w:pPr>
              <w:spacing w:after="0"/>
              <w:rPr>
                <w:sz w:val="18"/>
                <w:szCs w:val="18"/>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431,876</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35,470</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364,395</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483,834</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45,428</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353,426</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and no shares, issued or outstanding at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 shares authorized, 28,019 shares and 30,473 shares issued</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at December 31, 2025 and December 31, 2024, respectively</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0"/>
                <w:szCs w:val="20"/>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829,860</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(772,559)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(759,327)</w:t>
            </w:r>
          </w:p>
        </w:tc>
      </w:tr>
      <w:tr>
        <w:trPr>
          <w:trHeight w:val="209"/>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364,395</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483,834</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26"/>
        </w:trPr>
        <w:tc>
          <w:tcPr>
            <w:tcW w:w="7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-4319905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-3462655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-1799590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108,249</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43,113</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234,603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91,280</w:t>
            </w:r>
          </w:p>
        </w:tc>
        <w:tc>
          <w:tcPr>
            <w:tcW w:w="120" w:type="dxa"/>
            <w:vAlign w:val="bottom"/>
            <w:shd w:val="clear" w:color="auto" w:fill="CFF0FC"/>
          </w:tcPr>
          <w:p>
            <w:pPr>
              <w:spacing w:after="0"/>
              <w:rPr>
                <w:sz w:val="18"/>
                <w:szCs w:val="18"/>
                <w:color w:val="auto"/>
              </w:rPr>
            </w:pPr>
          </w:p>
        </w:tc>
      </w:tr>
      <w:tr>
        <w:trPr>
          <w:trHeight w:val="209"/>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25,559</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135,970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163,840</w:t>
            </w: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50,737</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42,389</w:t>
            </w:r>
          </w:p>
        </w:tc>
        <w:tc>
          <w:tcPr>
            <w:tcW w:w="120" w:type="dxa"/>
            <w:vAlign w:val="bottom"/>
          </w:tcPr>
          <w:p>
            <w:pPr>
              <w:spacing w:after="0"/>
              <w:rPr>
                <w:sz w:val="18"/>
                <w:szCs w:val="18"/>
                <w:color w:val="auto"/>
              </w:rPr>
            </w:pPr>
          </w:p>
        </w:tc>
      </w:tr>
      <w:tr>
        <w:trPr>
          <w:trHeight w:val="210"/>
        </w:trPr>
        <w:tc>
          <w:tcPr>
            <w:tcW w:w="47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186,707</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(114,949)</w:t>
            </w: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120" w:type="dxa"/>
            <w:vAlign w:val="bottom"/>
          </w:tcPr>
          <w:p>
            <w:pPr>
              <w:spacing w:after="0"/>
              <w:rPr>
                <w:sz w:val="18"/>
                <w:szCs w:val="18"/>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(19,711)</w:t>
            </w: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(17,404)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(79,893)</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(50,087)</w:t>
            </w: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(17,206)</w:t>
            </w: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(60,964)</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(30,279)</w:t>
            </w:r>
          </w:p>
        </w:tc>
      </w:tr>
      <w:tr>
        <w:trPr>
          <w:trHeight w:val="20"/>
        </w:trPr>
        <w:tc>
          <w:tcPr>
            <w:tcW w:w="47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Gain (loss) before income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49,695</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(13,068)</w:t>
            </w:r>
          </w:p>
        </w:tc>
        <w:tc>
          <w:tcPr>
            <w:tcW w:w="4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(145,228)</w:t>
            </w: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7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(13,232)</w:t>
            </w:r>
          </w:p>
        </w:tc>
        <w:tc>
          <w:tcPr>
            <w:tcW w:w="4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(145,231)</w:t>
            </w: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gain on available for sale securities</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(22,238)</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(13,561)</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(144,129)</w:t>
            </w:r>
          </w:p>
        </w:tc>
      </w:tr>
      <w:tr>
        <w:trPr>
          <w:trHeight w:val="197"/>
        </w:trPr>
        <w:tc>
          <w:tcPr>
            <w:tcW w:w="4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3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(0.72)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(0.46)</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7"/>
                <w:szCs w:val="17"/>
                <w:color w:val="auto"/>
              </w:rPr>
            </w:pPr>
          </w:p>
        </w:tc>
        <w:tc>
          <w:tcPr>
            <w:tcW w:w="54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(0.46)</w:t>
            </w:r>
          </w:p>
        </w:tc>
        <w:tc>
          <w:tcPr>
            <w:tcW w:w="42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(5.12)</w:t>
            </w:r>
          </w:p>
        </w:tc>
      </w:tr>
      <w:tr>
        <w:trPr>
          <w:trHeight w:val="20"/>
        </w:trPr>
        <w:tc>
          <w:tcPr>
            <w:tcW w:w="4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28,758</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12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76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31,343</w:t>
            </w:r>
          </w:p>
        </w:tc>
        <w:tc>
          <w:tcPr>
            <w:tcW w:w="2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30,448</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28,758</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28,382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162"/>
        </w:trPr>
        <w:tc>
          <w:tcPr>
            <w:tcW w:w="4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-3985260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-3985260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-3985260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-3985260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-3419475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-3419475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-3419475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-3419475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-2571115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-2571115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-2571115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-2571115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-2287905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-2287905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-2287905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-2287905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-1713865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-1696720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-1713865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-1696720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-1713865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-1696720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-1414145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-1396365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-1414145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-1396365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-1414145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-1396365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-1414145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-788035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-770890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-788035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-770890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-788035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-770890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-788035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5682615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20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20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5614035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516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5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5605780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434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4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5596890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345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34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5648325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85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85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5640070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77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7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5622925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605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5640070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77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7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5614035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516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5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5648325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85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85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5656580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5605145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434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4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5631180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688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68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5596890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345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34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5614035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516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5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5596890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345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34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5605145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434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4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5614035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516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5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5639435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77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7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5631180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688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68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5596890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345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34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5614035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516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5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5656580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5665470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03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0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5622290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605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5631180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688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68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5665470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03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03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5691505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291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29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5682615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20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20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5674360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12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12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5648325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85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85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5622925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605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5614035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516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5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5665470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031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0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5640070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77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7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5622925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605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60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5640070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77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7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5640070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77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7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5648325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85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85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5665470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031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0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5648325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85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85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5674360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12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12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5674360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12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12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5665470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031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0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5665470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031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0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5691505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291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29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5648325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859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85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5674360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12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12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5665470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031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0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5665470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031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03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5640070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77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7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5648325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86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86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5674360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12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12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5665470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6037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03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5640070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77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7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5657215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94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94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5648325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4585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585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2026-03-03T15:36:33Z</dcterms:created>
  <dcterms:modified xsi:type="dcterms:W3CDTF">2026-03-03T15:36:33Z</dcterms:modified>
</cp:coreProperties>
</file>