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-195580</wp:posOffset>
            </wp:positionV>
            <wp:extent cx="262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165735</wp:posOffset>
            </wp:positionV>
            <wp:extent cx="262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187325</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460"/>
        <w:spacing w:after="0"/>
        <w:tabs>
          <w:tab w:leader="none" w:pos="6760" w:val="left"/>
          <w:tab w:leader="none" w:pos="7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-5080</wp:posOffset>
            </wp:positionV>
            <wp:extent cx="1323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182880</wp:posOffset>
            </wp:positionV>
            <wp:extent cx="262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ANAPTYSBIO, INC.</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182880</wp:posOffset>
            </wp:positionV>
            <wp:extent cx="262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040" w:type="dxa"/>
            <w:vAlign w:val="bottom"/>
            <w:gridSpan w:val="2"/>
          </w:tcPr>
          <w:p>
            <w:pPr>
              <w:jc w:val="center"/>
              <w:ind w:left="201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gridSpan w:val="2"/>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78"/>
        </w:trPr>
        <w:tc>
          <w:tcPr>
            <w:tcW w:w="4040" w:type="dxa"/>
            <w:vAlign w:val="bottom"/>
            <w:gridSpan w:val="2"/>
          </w:tcPr>
          <w:p>
            <w:pPr>
              <w:jc w:val="center"/>
              <w:ind w:left="199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60" w:type="dxa"/>
            <w:vAlign w:val="bottom"/>
          </w:tcPr>
          <w:p>
            <w:pPr>
              <w:jc w:val="center"/>
              <w:ind w:right="229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gridSpan w:val="2"/>
          </w:tcPr>
          <w:p>
            <w:pPr>
              <w:jc w:val="center"/>
              <w:ind w:left="19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20" w:type="dxa"/>
            <w:vAlign w:val="bottom"/>
            <w:gridSpan w:val="2"/>
          </w:tcPr>
          <w:p>
            <w:pPr>
              <w:jc w:val="center"/>
              <w:ind w:right="205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10421 Pacific Center Court, Suite 200</w:t>
            </w: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4"/>
        </w:trPr>
        <w:tc>
          <w:tcPr>
            <w:tcW w:w="3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San Diego, CA 92121</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90"/>
        </w:trPr>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6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96"/>
        </w:trPr>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2"/>
          </w:tcPr>
          <w:p>
            <w:pPr>
              <w:jc w:val="center"/>
              <w:ind w:left="102"/>
              <w:spacing w:after="0"/>
              <w:rPr>
                <w:sz w:val="20"/>
                <w:szCs w:val="20"/>
                <w:color w:val="auto"/>
              </w:rPr>
            </w:pPr>
            <w:r>
              <w:rPr>
                <w:rFonts w:ascii="Times New Roman" w:cs="Times New Roman" w:eastAsia="Times New Roman" w:hAnsi="Times New Roman"/>
                <w:sz w:val="18"/>
                <w:szCs w:val="18"/>
                <w:b w:val="1"/>
                <w:bCs w:val="1"/>
                <w:color w:val="auto"/>
                <w:w w:val="99"/>
              </w:rPr>
              <w:t>(858) 362-6295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90"/>
        </w:trPr>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53"/>
        </w:trPr>
        <w:tc>
          <w:tcPr>
            <w:tcW w:w="3660" w:type="dxa"/>
            <w:vAlign w:val="bottom"/>
          </w:tcPr>
          <w:p>
            <w:pPr>
              <w:spacing w:after="0"/>
              <w:rPr>
                <w:sz w:val="22"/>
                <w:szCs w:val="22"/>
                <w:color w:val="auto"/>
              </w:rPr>
            </w:pPr>
          </w:p>
        </w:tc>
        <w:tc>
          <w:tcPr>
            <w:tcW w:w="480" w:type="dxa"/>
            <w:vAlign w:val="bottom"/>
            <w:tcBorders>
              <w:bottom w:val="single" w:sz="8" w:color="auto"/>
            </w:tcBorders>
            <w:gridSpan w:val="2"/>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spacing w:after="0"/>
              <w:rPr>
                <w:sz w:val="22"/>
                <w:szCs w:val="22"/>
                <w:color w:val="auto"/>
              </w:rPr>
            </w:pPr>
          </w:p>
        </w:tc>
        <w:tc>
          <w:tcPr>
            <w:tcW w:w="3660" w:type="dxa"/>
            <w:vAlign w:val="bottom"/>
          </w:tcPr>
          <w:p>
            <w:pPr>
              <w:spacing w:after="0"/>
              <w:rPr>
                <w:sz w:val="22"/>
                <w:szCs w:val="22"/>
                <w:color w:val="auto"/>
              </w:rPr>
            </w:pPr>
          </w:p>
        </w:tc>
      </w:tr>
      <w:tr>
        <w:trPr>
          <w:trHeight w:val="318"/>
        </w:trPr>
        <w:tc>
          <w:tcPr>
            <w:tcW w:w="114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43"/>
        </w:trPr>
        <w:tc>
          <w:tcPr>
            <w:tcW w:w="404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2"/>
          </w:tcPr>
          <w:p>
            <w:pPr>
              <w:spacing w:after="0"/>
              <w:rPr>
                <w:sz w:val="21"/>
                <w:szCs w:val="21"/>
                <w:color w:val="auto"/>
              </w:rPr>
            </w:pPr>
          </w:p>
        </w:tc>
      </w:tr>
      <w:tr>
        <w:trPr>
          <w:trHeight w:val="237"/>
        </w:trPr>
        <w:tc>
          <w:tcPr>
            <w:tcW w:w="4040" w:type="dxa"/>
            <w:vAlign w:val="bottom"/>
            <w:tcBorders>
              <w:left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00" w:type="dxa"/>
            <w:vAlign w:val="bottom"/>
          </w:tcPr>
          <w:p>
            <w:pPr>
              <w:spacing w:after="0"/>
              <w:rPr>
                <w:sz w:val="20"/>
                <w:szCs w:val="20"/>
                <w:color w:val="auto"/>
              </w:rPr>
            </w:pPr>
          </w:p>
        </w:tc>
        <w:tc>
          <w:tcPr>
            <w:tcW w:w="3920" w:type="dxa"/>
            <w:vAlign w:val="bottom"/>
            <w:tcBorders>
              <w:right w:val="single" w:sz="8" w:color="auto"/>
            </w:tcBorders>
            <w:gridSpan w:val="2"/>
          </w:tcPr>
          <w:p>
            <w:pPr>
              <w:jc w:val="center"/>
              <w:ind w:right="239"/>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040" w:type="dxa"/>
            <w:vAlign w:val="bottom"/>
            <w:tcBorders>
              <w:left w:val="single" w:sz="8" w:color="auto"/>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37"/>
        </w:trPr>
        <w:tc>
          <w:tcPr>
            <w:tcW w:w="4040" w:type="dxa"/>
            <w:vAlign w:val="bottom"/>
            <w:tcBorders>
              <w:left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366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7"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w:t>
            </w:r>
          </w:p>
        </w:tc>
        <w:tc>
          <w:tcPr>
            <w:tcW w:w="50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ectPr>
          <w:pgSz w:w="11900" w:h="16838" w:orient="portrait"/>
          <w:cols w:equalWidth="0" w:num="1">
            <w:col w:w="11440"/>
          </w:cols>
          <w:pgMar w:left="240" w:top="480" w:right="219" w:bottom="1440" w:gutter="0" w:footer="0" w:header="0"/>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ind w:right="252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 As of May 3, 2019, there were 27,023,725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163830</wp:posOffset>
            </wp:positionV>
            <wp:extent cx="2624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280"/>
          </w:cols>
          <w:pgMar w:left="240" w:top="418"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1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940" w:type="dxa"/>
            <w:vAlign w:val="bottom"/>
            <w:gridSpan w:val="9"/>
          </w:tcPr>
          <w:p>
            <w:pPr>
              <w:jc w:val="center"/>
              <w:ind w:right="2000"/>
              <w:spacing w:after="0"/>
              <w:rPr>
                <w:sz w:val="20"/>
                <w:szCs w:val="20"/>
                <w:color w:val="auto"/>
              </w:rPr>
            </w:pPr>
            <w:r>
              <w:rPr>
                <w:rFonts w:ascii="Times New Roman" w:cs="Times New Roman" w:eastAsia="Times New Roman" w:hAnsi="Times New Roman"/>
                <w:sz w:val="22"/>
                <w:szCs w:val="22"/>
                <w:b w:val="1"/>
                <w:bCs w:val="1"/>
                <w:color w:val="auto"/>
                <w:w w:val="98"/>
              </w:rPr>
              <w:t>ANAPTYSBIO, INC.</w:t>
            </w:r>
          </w:p>
        </w:tc>
      </w:tr>
      <w:tr>
        <w:trPr>
          <w:trHeight w:val="287"/>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40" w:type="dxa"/>
            <w:vAlign w:val="bottom"/>
            <w:gridSpan w:val="9"/>
          </w:tcPr>
          <w:p>
            <w:pPr>
              <w:jc w:val="center"/>
              <w:ind w:right="198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r>
      <w:tr>
        <w:trPr>
          <w:trHeight w:val="893"/>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40" w:type="dxa"/>
            <w:vAlign w:val="bottom"/>
            <w:gridSpan w:val="9"/>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r>
      <w:tr>
        <w:trPr>
          <w:trHeight w:val="405"/>
        </w:trPr>
        <w:tc>
          <w:tcPr>
            <w:tcW w:w="1380" w:type="dxa"/>
            <w:vAlign w:val="bottom"/>
          </w:tcPr>
          <w:p>
            <w:pPr>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w:t>
              </w:r>
            </w:hyperlink>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Financial Statements (unaudited)</w:t>
              </w:r>
            </w:hyperlink>
          </w:p>
        </w:tc>
      </w:tr>
      <w:tr>
        <w:trPr>
          <w:trHeight w:val="20"/>
        </w:trPr>
        <w:tc>
          <w:tcPr>
            <w:tcW w:w="1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31"/>
        </w:trPr>
        <w:tc>
          <w:tcPr>
            <w:tcW w:w="1380" w:type="dxa"/>
            <w:vAlign w:val="bottom"/>
          </w:tcPr>
          <w:p>
            <w:pPr>
              <w:spacing w:after="0"/>
              <w:rPr>
                <w:sz w:val="24"/>
                <w:szCs w:val="24"/>
                <w:color w:val="auto"/>
              </w:rPr>
            </w:pPr>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as of March 31, 2019 and December 31, 2018</w:t>
              </w:r>
            </w:hyperlink>
          </w:p>
        </w:tc>
      </w:tr>
      <w:tr>
        <w:trPr>
          <w:trHeight w:val="20"/>
        </w:trPr>
        <w:tc>
          <w:tcPr>
            <w:tcW w:w="1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31"/>
        </w:trPr>
        <w:tc>
          <w:tcPr>
            <w:tcW w:w="1380" w:type="dxa"/>
            <w:vAlign w:val="bottom"/>
          </w:tcPr>
          <w:p>
            <w:pPr>
              <w:spacing w:after="0"/>
              <w:rPr>
                <w:sz w:val="24"/>
                <w:szCs w:val="24"/>
                <w:color w:val="auto"/>
              </w:rPr>
            </w:pPr>
          </w:p>
        </w:tc>
        <w:tc>
          <w:tcPr>
            <w:tcW w:w="8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Operations and Comprehensive Loss for the Three Months Ended March 31, 2019 and</w:t>
              </w:r>
            </w:hyperlink>
          </w:p>
        </w:tc>
      </w:tr>
      <w:tr>
        <w:trPr>
          <w:trHeight w:val="196"/>
        </w:trPr>
        <w:tc>
          <w:tcPr>
            <w:tcW w:w="13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2018</w:t>
              </w:r>
            </w:hyperlink>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31"/>
        </w:trPr>
        <w:tc>
          <w:tcPr>
            <w:tcW w:w="1380" w:type="dxa"/>
            <w:vAlign w:val="bottom"/>
          </w:tcPr>
          <w:p>
            <w:pPr>
              <w:spacing w:after="0"/>
              <w:rPr>
                <w:sz w:val="24"/>
                <w:szCs w:val="24"/>
                <w:color w:val="auto"/>
              </w:rPr>
            </w:pPr>
          </w:p>
        </w:tc>
        <w:tc>
          <w:tcPr>
            <w:tcW w:w="68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Stockholder’s Equity for the Three Months Ended March 31, 2019</w:t>
              </w:r>
            </w:hyperlink>
          </w:p>
        </w:tc>
        <w:tc>
          <w:tcPr>
            <w:tcW w:w="1440" w:type="dxa"/>
            <w:vAlign w:val="bottom"/>
            <w:gridSpan w:val="2"/>
          </w:tcPr>
          <w:p>
            <w:pPr>
              <w:spacing w:after="0"/>
              <w:rPr>
                <w:sz w:val="24"/>
                <w:szCs w:val="24"/>
                <w:color w:val="auto"/>
              </w:rPr>
            </w:pPr>
          </w:p>
        </w:tc>
      </w:tr>
      <w:tr>
        <w:trPr>
          <w:trHeight w:val="331"/>
        </w:trPr>
        <w:tc>
          <w:tcPr>
            <w:tcW w:w="1380" w:type="dxa"/>
            <w:vAlign w:val="bottom"/>
          </w:tcPr>
          <w:p>
            <w:pPr>
              <w:spacing w:after="0"/>
              <w:rPr>
                <w:sz w:val="24"/>
                <w:szCs w:val="24"/>
                <w:color w:val="auto"/>
              </w:rPr>
            </w:pPr>
          </w:p>
        </w:tc>
        <w:tc>
          <w:tcPr>
            <w:tcW w:w="68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Stockholder’s Equity for the Three Months Ended March 31, 2018</w:t>
              </w:r>
            </w:hyperlink>
          </w:p>
        </w:tc>
        <w:tc>
          <w:tcPr>
            <w:tcW w:w="1440" w:type="dxa"/>
            <w:vAlign w:val="bottom"/>
            <w:gridSpan w:val="2"/>
          </w:tcPr>
          <w:p>
            <w:pPr>
              <w:spacing w:after="0"/>
              <w:rPr>
                <w:sz w:val="24"/>
                <w:szCs w:val="24"/>
                <w:color w:val="auto"/>
              </w:rPr>
            </w:pPr>
          </w:p>
        </w:tc>
      </w:tr>
      <w:tr>
        <w:trPr>
          <w:trHeight w:val="331"/>
        </w:trPr>
        <w:tc>
          <w:tcPr>
            <w:tcW w:w="1380" w:type="dxa"/>
            <w:vAlign w:val="bottom"/>
          </w:tcPr>
          <w:p>
            <w:pPr>
              <w:spacing w:after="0"/>
              <w:rPr>
                <w:sz w:val="24"/>
                <w:szCs w:val="24"/>
                <w:color w:val="auto"/>
              </w:rPr>
            </w:pPr>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Cash Flows for the Three Months Ended March 31, 2019 and 2018</w:t>
              </w:r>
            </w:hyperlink>
          </w:p>
        </w:tc>
      </w:tr>
      <w:tr>
        <w:trPr>
          <w:trHeight w:val="331"/>
        </w:trPr>
        <w:tc>
          <w:tcPr>
            <w:tcW w:w="1380" w:type="dxa"/>
            <w:vAlign w:val="bottom"/>
          </w:tcPr>
          <w:p>
            <w:pPr>
              <w:spacing w:after="0"/>
              <w:rPr>
                <w:sz w:val="24"/>
                <w:szCs w:val="24"/>
                <w:color w:val="auto"/>
              </w:rPr>
            </w:pPr>
          </w:p>
        </w:tc>
        <w:tc>
          <w:tcPr>
            <w:tcW w:w="684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the Unaudited Consolidated Financial Statements</w:t>
              </w:r>
            </w:hyperlink>
          </w:p>
        </w:tc>
        <w:tc>
          <w:tcPr>
            <w:tcW w:w="142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331"/>
        </w:trPr>
        <w:tc>
          <w:tcPr>
            <w:tcW w:w="1380" w:type="dxa"/>
            <w:vAlign w:val="bottom"/>
          </w:tcPr>
          <w:p>
            <w:pPr>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Item 2.</w:t>
              </w:r>
            </w:hyperlink>
          </w:p>
        </w:tc>
        <w:tc>
          <w:tcPr>
            <w:tcW w:w="6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800" w:type="dxa"/>
            <w:vAlign w:val="bottom"/>
            <w:gridSpan w:val="3"/>
          </w:tcPr>
          <w:p>
            <w:pPr>
              <w:spacing w:after="0"/>
              <w:rPr>
                <w:sz w:val="24"/>
                <w:szCs w:val="24"/>
                <w:color w:val="auto"/>
              </w:rPr>
            </w:pPr>
          </w:p>
        </w:tc>
      </w:tr>
      <w:tr>
        <w:trPr>
          <w:trHeight w:val="331"/>
        </w:trPr>
        <w:tc>
          <w:tcPr>
            <w:tcW w:w="1380" w:type="dxa"/>
            <w:vAlign w:val="bottom"/>
          </w:tcPr>
          <w:p>
            <w:pPr>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Item 3.</w:t>
              </w:r>
            </w:hyperlink>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Quantitative and Qualitative Disclosures About Market Risk</w:t>
              </w:r>
            </w:hyperlink>
          </w:p>
        </w:tc>
        <w:tc>
          <w:tcPr>
            <w:tcW w:w="3900" w:type="dxa"/>
            <w:vAlign w:val="bottom"/>
            <w:gridSpan w:val="5"/>
          </w:tcPr>
          <w:p>
            <w:pPr>
              <w:spacing w:after="0"/>
              <w:rPr>
                <w:sz w:val="24"/>
                <w:szCs w:val="24"/>
                <w:color w:val="auto"/>
              </w:rPr>
            </w:pPr>
          </w:p>
        </w:tc>
      </w:tr>
      <w:tr>
        <w:trPr>
          <w:trHeight w:val="331"/>
        </w:trPr>
        <w:tc>
          <w:tcPr>
            <w:tcW w:w="1380" w:type="dxa"/>
            <w:vAlign w:val="bottom"/>
          </w:tcPr>
          <w:p>
            <w:pPr>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Item 4.</w:t>
              </w:r>
            </w:hyperlink>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r>
      <w:tr>
        <w:trPr>
          <w:trHeight w:val="696"/>
        </w:trPr>
        <w:tc>
          <w:tcPr>
            <w:tcW w:w="13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940" w:type="dxa"/>
            <w:vAlign w:val="bottom"/>
            <w:gridSpan w:val="9"/>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r>
      <w:tr>
        <w:trPr>
          <w:trHeight w:val="554"/>
        </w:trPr>
        <w:tc>
          <w:tcPr>
            <w:tcW w:w="1380" w:type="dxa"/>
            <w:vAlign w:val="bottom"/>
          </w:tcPr>
          <w:p>
            <w:pPr>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1.</w:t>
              </w:r>
            </w:hyperlink>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r>
      <w:tr>
        <w:trPr>
          <w:trHeight w:val="331"/>
        </w:trPr>
        <w:tc>
          <w:tcPr>
            <w:tcW w:w="1380" w:type="dxa"/>
            <w:vAlign w:val="bottom"/>
          </w:tcPr>
          <w:p>
            <w:pPr>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1A.</w:t>
              </w:r>
            </w:hyperlink>
          </w:p>
        </w:tc>
        <w:tc>
          <w:tcPr>
            <w:tcW w:w="9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3"/>
          </w:tcPr>
          <w:p>
            <w:pPr>
              <w:spacing w:after="0"/>
              <w:rPr>
                <w:sz w:val="24"/>
                <w:szCs w:val="24"/>
                <w:color w:val="auto"/>
              </w:rPr>
            </w:pPr>
          </w:p>
        </w:tc>
        <w:tc>
          <w:tcPr>
            <w:tcW w:w="6940" w:type="dxa"/>
            <w:vAlign w:val="bottom"/>
            <w:gridSpan w:val="11"/>
          </w:tcPr>
          <w:p>
            <w:pPr>
              <w:spacing w:after="0"/>
              <w:rPr>
                <w:sz w:val="24"/>
                <w:szCs w:val="24"/>
                <w:color w:val="auto"/>
              </w:rPr>
            </w:pPr>
          </w:p>
        </w:tc>
      </w:tr>
      <w:tr>
        <w:trPr>
          <w:trHeight w:val="331"/>
        </w:trPr>
        <w:tc>
          <w:tcPr>
            <w:tcW w:w="1380" w:type="dxa"/>
            <w:vAlign w:val="bottom"/>
          </w:tcPr>
          <w:p>
            <w:pPr>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2.</w:t>
              </w:r>
            </w:hyperlink>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Unregistered Sales of Equity Securities and Use of Proceeds</w:t>
              </w:r>
            </w:hyperlink>
          </w:p>
        </w:tc>
      </w:tr>
      <w:tr>
        <w:trPr>
          <w:trHeight w:val="331"/>
        </w:trPr>
        <w:tc>
          <w:tcPr>
            <w:tcW w:w="1380" w:type="dxa"/>
            <w:vAlign w:val="bottom"/>
          </w:tcPr>
          <w:p>
            <w:pPr>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3.</w:t>
              </w:r>
            </w:hyperlink>
          </w:p>
        </w:tc>
        <w:tc>
          <w:tcPr>
            <w:tcW w:w="23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3920" w:type="dxa"/>
            <w:vAlign w:val="bottom"/>
            <w:gridSpan w:val="6"/>
          </w:tcPr>
          <w:p>
            <w:pPr>
              <w:spacing w:after="0"/>
              <w:rPr>
                <w:sz w:val="24"/>
                <w:szCs w:val="24"/>
                <w:color w:val="auto"/>
              </w:rPr>
            </w:pPr>
          </w:p>
        </w:tc>
      </w:tr>
      <w:tr>
        <w:trPr>
          <w:trHeight w:val="331"/>
        </w:trPr>
        <w:tc>
          <w:tcPr>
            <w:tcW w:w="1380" w:type="dxa"/>
            <w:vAlign w:val="bottom"/>
          </w:tcPr>
          <w:p>
            <w:pPr>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Item 4.</w:t>
              </w:r>
            </w:hyperlink>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Mine Safety Disclosures</w:t>
              </w:r>
            </w:hyperlink>
          </w:p>
        </w:tc>
      </w:tr>
      <w:tr>
        <w:trPr>
          <w:trHeight w:val="331"/>
        </w:trPr>
        <w:tc>
          <w:tcPr>
            <w:tcW w:w="1380" w:type="dxa"/>
            <w:vAlign w:val="bottom"/>
          </w:tcPr>
          <w:p>
            <w:pPr>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Item 5.</w:t>
              </w:r>
            </w:hyperlink>
          </w:p>
        </w:tc>
        <w:tc>
          <w:tcPr>
            <w:tcW w:w="176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Other Information</w:t>
              </w:r>
            </w:hyperlink>
          </w:p>
        </w:tc>
        <w:tc>
          <w:tcPr>
            <w:tcW w:w="6500" w:type="dxa"/>
            <w:vAlign w:val="bottom"/>
            <w:gridSpan w:val="10"/>
          </w:tcPr>
          <w:p>
            <w:pPr>
              <w:spacing w:after="0"/>
              <w:rPr>
                <w:sz w:val="24"/>
                <w:szCs w:val="24"/>
                <w:color w:val="auto"/>
              </w:rPr>
            </w:pPr>
          </w:p>
        </w:tc>
      </w:tr>
      <w:tr>
        <w:trPr>
          <w:trHeight w:val="331"/>
        </w:trPr>
        <w:tc>
          <w:tcPr>
            <w:tcW w:w="1380" w:type="dxa"/>
            <w:vAlign w:val="bottom"/>
          </w:tcPr>
          <w:p>
            <w:pPr>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Item 6.</w:t>
              </w:r>
            </w:hyperlink>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62">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4"/>
          </w:tcPr>
          <w:p>
            <w:pPr>
              <w:spacing w:after="0"/>
              <w:rPr>
                <w:sz w:val="24"/>
                <w:szCs w:val="24"/>
                <w:color w:val="auto"/>
              </w:rPr>
            </w:pPr>
          </w:p>
        </w:tc>
        <w:tc>
          <w:tcPr>
            <w:tcW w:w="6960" w:type="dxa"/>
            <w:vAlign w:val="bottom"/>
            <w:gridSpan w:val="12"/>
          </w:tcPr>
          <w:p>
            <w:pPr>
              <w:spacing w:after="0"/>
              <w:rPr>
                <w:sz w:val="24"/>
                <w:szCs w:val="24"/>
                <w:color w:val="auto"/>
              </w:rPr>
            </w:pPr>
          </w:p>
        </w:tc>
      </w:tr>
      <w:tr>
        <w:trPr>
          <w:trHeight w:val="331"/>
        </w:trPr>
        <w:tc>
          <w:tcPr>
            <w:tcW w:w="1380" w:type="dxa"/>
            <w:vAlign w:val="bottom"/>
          </w:tcPr>
          <w:p>
            <w:pPr>
              <w:spacing w:after="0"/>
              <w:rPr>
                <w:sz w:val="24"/>
                <w:szCs w:val="24"/>
                <w:color w:val="auto"/>
              </w:rPr>
            </w:pPr>
          </w:p>
        </w:tc>
        <w:tc>
          <w:tcPr>
            <w:tcW w:w="9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Exhibit Index</w:t>
              </w:r>
            </w:hyperlink>
          </w:p>
        </w:tc>
        <w:tc>
          <w:tcPr>
            <w:tcW w:w="7280" w:type="dxa"/>
            <w:vAlign w:val="bottom"/>
            <w:gridSpan w:val="13"/>
          </w:tcPr>
          <w:p>
            <w:pPr>
              <w:spacing w:after="0"/>
              <w:rPr>
                <w:sz w:val="24"/>
                <w:szCs w:val="24"/>
                <w:color w:val="auto"/>
              </w:rPr>
            </w:pPr>
          </w:p>
        </w:tc>
      </w:tr>
      <w:tr>
        <w:trPr>
          <w:trHeight w:val="331"/>
        </w:trPr>
        <w:tc>
          <w:tcPr>
            <w:tcW w:w="13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Signatures</w:t>
              </w:r>
            </w:hyperlink>
          </w:p>
        </w:tc>
        <w:tc>
          <w:tcPr>
            <w:tcW w:w="7500" w:type="dxa"/>
            <w:vAlign w:val="bottom"/>
            <w:gridSpan w:val="1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-4870450</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-4424680</wp:posOffset>
            </wp:positionV>
            <wp:extent cx="724662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600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-3841115</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-3395345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-2949575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-2503805</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-2125980</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-1697355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-1251585</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-805180</wp:posOffset>
            </wp:positionV>
            <wp:extent cx="72466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-359410</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34290</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p>
      <w:pPr>
        <w:spacing w:after="0" w:line="360"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2</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3</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4</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5</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6</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19</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26</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58</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58</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59</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59</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59</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59</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3">
        <w:r>
          <w:rPr>
            <w:rFonts w:ascii="Times New Roman" w:cs="Times New Roman" w:eastAsia="Times New Roman" w:hAnsi="Times New Roman"/>
            <w:sz w:val="18"/>
            <w:szCs w:val="18"/>
            <w:color w:val="auto"/>
          </w:rPr>
          <w:t>60</w:t>
        </w:r>
      </w:hyperlink>
    </w:p>
    <w:p>
      <w:pPr>
        <w:sectPr>
          <w:pgSz w:w="11900" w:h="16838" w:orient="portrait"/>
          <w:cols w:equalWidth="0" w:num="2">
            <w:col w:w="9640" w:space="560"/>
            <w:col w:w="1000"/>
          </w:cols>
          <w:pgMar w:left="280" w:top="365" w:right="41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42"/>
        </w:trPr>
        <w:tc>
          <w:tcPr>
            <w:tcW w:w="8120" w:type="dxa"/>
            <w:vAlign w:val="bottom"/>
            <w:tcBorders>
              <w:bottom w:val="single" w:sz="8" w:color="CFF0FC"/>
            </w:tcBorders>
            <w:shd w:val="clear" w:color="auto" w:fill="CFF0FC"/>
          </w:tcPr>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105,853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113,596</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Australian tax incentive receivable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309,812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313,486</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6,960</w:t>
            </w:r>
          </w:p>
        </w:tc>
      </w:tr>
      <w:tr>
        <w:trPr>
          <w:trHeight w:val="33"/>
        </w:trPr>
        <w:tc>
          <w:tcPr>
            <w:tcW w:w="8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421,942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434,216</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1,445</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Long-term investments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68,551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73,128</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r>
      <w:tr>
        <w:trPr>
          <w:trHeight w:val="217"/>
        </w:trPr>
        <w:tc>
          <w:tcPr>
            <w:tcW w:w="8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494,226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508,997</w:t>
            </w:r>
          </w:p>
        </w:tc>
      </w:tr>
      <w:tr>
        <w:trPr>
          <w:trHeight w:val="73"/>
        </w:trPr>
        <w:tc>
          <w:tcPr>
            <w:tcW w:w="8120" w:type="dxa"/>
            <w:vAlign w:val="bottom"/>
            <w:tcBorders>
              <w:bottom w:val="single" w:sz="8" w:color="CFF0FC"/>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204"/>
        </w:trPr>
        <w:tc>
          <w:tcPr>
            <w:tcW w:w="8120" w:type="dxa"/>
            <w:vAlign w:val="bottom"/>
            <w:tcBorders>
              <w:bottom w:val="single" w:sz="8" w:color="CFF0FC"/>
            </w:tcBorders>
            <w:shd w:val="clear" w:color="auto" w:fill="CFF0FC"/>
          </w:tcPr>
          <w:p>
            <w:pPr>
              <w:ind w:left="39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9,072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5,443</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8,761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6,488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7,574</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r>
      <w:tr>
        <w:trPr>
          <w:trHeight w:val="33"/>
        </w:trPr>
        <w:tc>
          <w:tcPr>
            <w:tcW w:w="8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24,754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21,836</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29"/>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March 31, 2019 and</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0"/>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December 31, 2018, respectively</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Common stock, $0.001 par value, 500,000 shares authorized, 27,006 shares and 26,922 shares issued and outstanding at</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3"/>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March 31, 2019 and December 31, 2018, respectively</w:t>
            </w:r>
          </w:p>
        </w:tc>
        <w:tc>
          <w:tcPr>
            <w:tcW w:w="2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636,692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633,251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(146,690)</w:t>
            </w:r>
          </w:p>
        </w:tc>
      </w:tr>
      <w:tr>
        <w:trPr>
          <w:trHeight w:val="33"/>
        </w:trPr>
        <w:tc>
          <w:tcPr>
            <w:tcW w:w="8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468,155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486,365</w:t>
            </w:r>
          </w:p>
        </w:tc>
      </w:tr>
      <w:tr>
        <w:trPr>
          <w:trHeight w:val="217"/>
        </w:trPr>
        <w:tc>
          <w:tcPr>
            <w:tcW w:w="8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494,226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508,997</w:t>
            </w: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5"/>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Collaboration revenue</w:t>
            </w:r>
          </w:p>
        </w:tc>
        <w:tc>
          <w:tcPr>
            <w:tcW w:w="980" w:type="dxa"/>
            <w:vAlign w:val="bottom"/>
            <w:tcBorders>
              <w:bottom w:val="single" w:sz="8" w:color="CFF0FC"/>
            </w:tcBorders>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20,631</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11,810</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3,947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24,772</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15,757</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Loss from operations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(24,772)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2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 income</w:t>
            </w:r>
          </w:p>
        </w:tc>
        <w:tc>
          <w:tcPr>
            <w:tcW w:w="9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2,988</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1,185</w:t>
            </w:r>
          </w:p>
        </w:tc>
        <w:tc>
          <w:tcPr>
            <w:tcW w:w="0" w:type="dxa"/>
            <w:vAlign w:val="bottom"/>
          </w:tcPr>
          <w:p>
            <w:pPr>
              <w:spacing w:after="0"/>
              <w:rPr>
                <w:sz w:val="1"/>
                <w:szCs w:val="1"/>
                <w:color w:val="auto"/>
              </w:rPr>
            </w:pPr>
          </w:p>
        </w:tc>
      </w:tr>
      <w:tr>
        <w:trPr>
          <w:trHeight w:val="237"/>
        </w:trPr>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9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2,675</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(22,097)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(22,078)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2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Unrealized income (loss) on available for sale securities, net of tax of $115 and $0, respectively</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Comprehensive loss</w:t>
            </w:r>
          </w:p>
        </w:tc>
        <w:tc>
          <w:tcPr>
            <w:tcW w:w="980" w:type="dxa"/>
            <w:vAlign w:val="bottom"/>
            <w:tcBorders>
              <w:bottom w:val="single" w:sz="8" w:color="CFF0FC"/>
            </w:tcBorders>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(21,651)</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(15,887)</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bottom w:val="single" w:sz="8" w:color="CFF0FC"/>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12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980" w:type="dxa"/>
            <w:vAlign w:val="bottom"/>
            <w:tcBorders>
              <w:bottom w:val="single" w:sz="8" w:color="CFF0FC"/>
            </w:tcBorders>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bottom w:val="single" w:sz="8" w:color="CFF0FC"/>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12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98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26,981</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23,801</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December 31, 2018</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issued under employee stock plans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Comprehensive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March 31, 2019</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9"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6" w:lineRule="exact"/>
        <w:rPr>
          <w:sz w:val="20"/>
          <w:szCs w:val="20"/>
          <w:color w:val="auto"/>
        </w:rPr>
      </w:pPr>
    </w:p>
    <w:tbl>
      <w:tblPr>
        <w:tblLayout w:type="fixed"/>
        <w:tblInd w:w="1120" w:type="dxa"/>
        <w:tblCellMar>
          <w:top w:w="0" w:type="dxa"/>
          <w:left w:w="0" w:type="dxa"/>
          <w:bottom w:w="0" w:type="dxa"/>
          <w:right w:w="0" w:type="dxa"/>
        </w:tblCellMar>
      </w:tblPr>
      <w:tr>
        <w:trPr>
          <w:trHeight w:val="164"/>
        </w:trPr>
        <w:tc>
          <w:tcPr>
            <w:tcW w:w="1880" w:type="dxa"/>
            <w:vAlign w:val="bottom"/>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99"/>
        </w:trPr>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tcPr>
          <w:p>
            <w:pPr>
              <w:jc w:val="center"/>
              <w:ind w:right="340"/>
              <w:spacing w:after="0" w:line="100"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00" w:type="dxa"/>
            <w:vAlign w:val="bottom"/>
          </w:tcPr>
          <w:p>
            <w:pPr>
              <w:spacing w:after="0"/>
              <w:rPr>
                <w:sz w:val="8"/>
                <w:szCs w:val="8"/>
                <w:color w:val="auto"/>
              </w:rPr>
            </w:pPr>
          </w:p>
        </w:tc>
        <w:tc>
          <w:tcPr>
            <w:tcW w:w="124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w w:val="99"/>
              </w:rPr>
              <w:t>Comprehensive (Loss)</w:t>
            </w:r>
          </w:p>
        </w:tc>
        <w:tc>
          <w:tcPr>
            <w:tcW w:w="200" w:type="dxa"/>
            <w:vAlign w:val="bottom"/>
          </w:tcPr>
          <w:p>
            <w:pPr>
              <w:spacing w:after="0"/>
              <w:rPr>
                <w:sz w:val="8"/>
                <w:szCs w:val="8"/>
                <w:color w:val="auto"/>
              </w:rPr>
            </w:pPr>
          </w:p>
        </w:tc>
        <w:tc>
          <w:tcPr>
            <w:tcW w:w="1160" w:type="dxa"/>
            <w:vAlign w:val="bottom"/>
            <w:gridSpan w:val="2"/>
          </w:tcPr>
          <w:p>
            <w:pPr>
              <w:jc w:val="center"/>
              <w:ind w:right="300"/>
              <w:spacing w:after="0" w:line="10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0" w:type="dxa"/>
            <w:vAlign w:val="bottom"/>
          </w:tcPr>
          <w:p>
            <w:pPr>
              <w:spacing w:after="0"/>
              <w:rPr>
                <w:sz w:val="8"/>
                <w:szCs w:val="8"/>
                <w:color w:val="auto"/>
              </w:rPr>
            </w:pPr>
          </w:p>
        </w:tc>
        <w:tc>
          <w:tcPr>
            <w:tcW w:w="1040" w:type="dxa"/>
            <w:vAlign w:val="bottom"/>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42"/>
        </w:trPr>
        <w:tc>
          <w:tcPr>
            <w:tcW w:w="9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0" w:type="dxa"/>
            <w:vAlign w:val="bottom"/>
          </w:tcPr>
          <w:p>
            <w:pPr>
              <w:spacing w:after="0"/>
              <w:rPr>
                <w:sz w:val="12"/>
                <w:szCs w:val="12"/>
                <w:color w:val="auto"/>
              </w:rPr>
            </w:pPr>
          </w:p>
        </w:tc>
        <w:tc>
          <w:tcPr>
            <w:tcW w:w="1040" w:type="dxa"/>
            <w:vAlign w:val="bottom"/>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4"/>
        </w:trPr>
        <w:tc>
          <w:tcPr>
            <w:tcW w:w="80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auto"/>
              </w:rPr>
              <w:t>26,922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0"/>
                <w:szCs w:val="20"/>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auto"/>
              </w:rPr>
              <w:t>633,251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(146,690)</w:t>
            </w:r>
          </w:p>
        </w:tc>
        <w:tc>
          <w:tcPr>
            <w:tcW w:w="120" w:type="dxa"/>
            <w:vAlign w:val="bottom"/>
          </w:tcPr>
          <w:p>
            <w:pPr>
              <w:spacing w:after="0"/>
              <w:rPr>
                <w:sz w:val="20"/>
                <w:szCs w:val="20"/>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486,365</w:t>
            </w:r>
          </w:p>
        </w:tc>
      </w:tr>
      <w:tr>
        <w:trPr>
          <w:trHeight w:val="270"/>
        </w:trPr>
        <w:tc>
          <w:tcPr>
            <w:tcW w:w="80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auto"/>
              </w:rPr>
              <w:t>574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574</w:t>
            </w:r>
          </w:p>
        </w:tc>
      </w:tr>
      <w:tr>
        <w:trPr>
          <w:trHeight w:val="270"/>
        </w:trPr>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auto"/>
              </w:rPr>
              <w:t>2,867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2,867</w:t>
            </w:r>
          </w:p>
        </w:tc>
      </w:tr>
      <w:tr>
        <w:trPr>
          <w:trHeight w:val="270"/>
        </w:trPr>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427</w:t>
            </w:r>
          </w:p>
        </w:tc>
      </w:tr>
      <w:tr>
        <w:trPr>
          <w:trHeight w:val="280"/>
        </w:trPr>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(22,078)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(22,078)</w:t>
            </w:r>
          </w:p>
        </w:tc>
      </w:tr>
      <w:tr>
        <w:trPr>
          <w:trHeight w:val="237"/>
        </w:trPr>
        <w:tc>
          <w:tcPr>
            <w:tcW w:w="8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rPr>
              <w:t>27,006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color w:val="auto"/>
              </w:rPr>
              <w:t>636,692</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(168,768)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468,155</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-1045845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-702310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-359410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5"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2360" w:space="720"/>
            <w:col w:w="8300"/>
          </w:cols>
          <w:pgMar w:left="280" w:top="360"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December 31, 2017</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issued under employee stock plans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Warrants exercised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Comprehensive loss,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March 31, 2018</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9"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64"/>
        </w:trPr>
        <w:tc>
          <w:tcPr>
            <w:tcW w:w="1880" w:type="dxa"/>
            <w:vAlign w:val="bottom"/>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99"/>
        </w:trPr>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tcPr>
          <w:p>
            <w:pPr>
              <w:jc w:val="center"/>
              <w:ind w:right="340"/>
              <w:spacing w:after="0" w:line="100"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20" w:type="dxa"/>
            <w:vAlign w:val="bottom"/>
          </w:tcPr>
          <w:p>
            <w:pPr>
              <w:spacing w:after="0"/>
              <w:rPr>
                <w:sz w:val="8"/>
                <w:szCs w:val="8"/>
                <w:color w:val="auto"/>
              </w:rPr>
            </w:pPr>
          </w:p>
        </w:tc>
        <w:tc>
          <w:tcPr>
            <w:tcW w:w="122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8"/>
                <w:szCs w:val="8"/>
                <w:color w:val="auto"/>
              </w:rPr>
            </w:pPr>
          </w:p>
        </w:tc>
        <w:tc>
          <w:tcPr>
            <w:tcW w:w="1160" w:type="dxa"/>
            <w:vAlign w:val="bottom"/>
            <w:gridSpan w:val="2"/>
          </w:tcPr>
          <w:p>
            <w:pPr>
              <w:jc w:val="center"/>
              <w:ind w:right="300"/>
              <w:spacing w:after="0" w:line="10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0" w:type="dxa"/>
            <w:vAlign w:val="bottom"/>
          </w:tcPr>
          <w:p>
            <w:pPr>
              <w:spacing w:after="0"/>
              <w:rPr>
                <w:sz w:val="8"/>
                <w:szCs w:val="8"/>
                <w:color w:val="auto"/>
              </w:rPr>
            </w:pPr>
          </w:p>
        </w:tc>
        <w:tc>
          <w:tcPr>
            <w:tcW w:w="1040" w:type="dxa"/>
            <w:vAlign w:val="bottom"/>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42"/>
        </w:trPr>
        <w:tc>
          <w:tcPr>
            <w:tcW w:w="9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Comprehensive Loss</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0" w:type="dxa"/>
            <w:vAlign w:val="bottom"/>
          </w:tcPr>
          <w:p>
            <w:pPr>
              <w:spacing w:after="0"/>
              <w:rPr>
                <w:sz w:val="12"/>
                <w:szCs w:val="12"/>
                <w:color w:val="auto"/>
              </w:rPr>
            </w:pPr>
          </w:p>
        </w:tc>
        <w:tc>
          <w:tcPr>
            <w:tcW w:w="1040" w:type="dxa"/>
            <w:vAlign w:val="bottom"/>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4"/>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23,791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20"/>
                <w:szCs w:val="20"/>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393,017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(85,034)</w:t>
            </w:r>
          </w:p>
        </w:tc>
        <w:tc>
          <w:tcPr>
            <w:tcW w:w="120" w:type="dxa"/>
            <w:vAlign w:val="bottom"/>
          </w:tcPr>
          <w:p>
            <w:pPr>
              <w:spacing w:after="0"/>
              <w:rPr>
                <w:sz w:val="20"/>
                <w:szCs w:val="20"/>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307,581</w:t>
            </w:r>
          </w:p>
        </w:tc>
      </w:tr>
      <w:tr>
        <w:trPr>
          <w:trHeight w:val="270"/>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72</w:t>
            </w:r>
          </w:p>
        </w:tc>
      </w:tr>
      <w:tr>
        <w:trPr>
          <w:trHeight w:val="270"/>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75</w:t>
            </w:r>
          </w:p>
        </w:tc>
      </w:tr>
      <w:tr>
        <w:trPr>
          <w:trHeight w:val="270"/>
        </w:trPr>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2,260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2,260</w:t>
            </w:r>
          </w:p>
        </w:tc>
      </w:tr>
      <w:tr>
        <w:trPr>
          <w:trHeight w:val="270"/>
        </w:trPr>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r>
      <w:tr>
        <w:trPr>
          <w:trHeight w:val="280"/>
        </w:trPr>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(15,086)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(15,086)</w:t>
            </w:r>
          </w:p>
        </w:tc>
      </w:tr>
      <w:tr>
        <w:trPr>
          <w:trHeight w:val="237"/>
        </w:trPr>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color w:val="auto"/>
              </w:rPr>
              <w:t>23,817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395,424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(801)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(100,120)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294,527</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-1217295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-874395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-530860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-187960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5"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2360" w:space="720"/>
            <w:col w:w="8300"/>
          </w:cols>
          <w:pgMar w:left="280" w:top="36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7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60"/>
        </w:trPr>
        <w:tc>
          <w:tcPr>
            <w:tcW w:w="790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(22,078)</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(15,086)</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2,867</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2,260</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Accretion of discount on investments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156</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9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Australian tax incentive receivable</w:t>
            </w:r>
          </w:p>
        </w:tc>
        <w:tc>
          <w:tcPr>
            <w:tcW w:w="10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7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4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5,076</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(16,099)</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(12,478)</w:t>
            </w:r>
          </w:p>
        </w:tc>
      </w:tr>
      <w:tr>
        <w:trPr>
          <w:trHeight w:val="33"/>
        </w:trPr>
        <w:tc>
          <w:tcPr>
            <w:tcW w:w="790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7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60"/>
        </w:trPr>
        <w:tc>
          <w:tcPr>
            <w:tcW w:w="790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 of investments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(79,763)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(32,203)</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Sales and maturities of investments</w:t>
            </w:r>
          </w:p>
        </w:tc>
        <w:tc>
          <w:tcPr>
            <w:tcW w:w="10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89,600</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34,581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33"/>
        </w:trPr>
        <w:tc>
          <w:tcPr>
            <w:tcW w:w="790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Net provided by investing activities</w:t>
            </w:r>
          </w:p>
        </w:tc>
        <w:tc>
          <w:tcPr>
            <w:tcW w:w="10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9,657</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2,146</w:t>
            </w:r>
          </w:p>
        </w:tc>
      </w:tr>
      <w:tr>
        <w:trPr>
          <w:trHeight w:val="20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60"/>
        </w:trPr>
        <w:tc>
          <w:tcPr>
            <w:tcW w:w="7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Proceeds from issuance of common stock, upon the exercise of stock options</w:t>
            </w:r>
          </w:p>
        </w:tc>
        <w:tc>
          <w:tcPr>
            <w:tcW w:w="10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issuance of common stock, upon the exercise of warrants</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10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for offering costs, net</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33"/>
        </w:trPr>
        <w:tc>
          <w:tcPr>
            <w:tcW w:w="790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w:t>
            </w:r>
          </w:p>
        </w:tc>
      </w:tr>
      <w:tr>
        <w:trPr>
          <w:trHeight w:val="217"/>
        </w:trPr>
        <w:tc>
          <w:tcPr>
            <w:tcW w:w="790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04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113,656</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81,249</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105,913</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69,534</w:t>
            </w:r>
          </w:p>
        </w:tc>
      </w:tr>
      <w:tr>
        <w:trPr>
          <w:trHeight w:val="73"/>
        </w:trPr>
        <w:tc>
          <w:tcPr>
            <w:tcW w:w="7900" w:type="dxa"/>
            <w:vAlign w:val="bottom"/>
            <w:tcBorders>
              <w:bottom w:val="single" w:sz="8" w:color="CFF0FC"/>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31"/>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4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accrued for property and equipment</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the natural process of antibody generation. We currently generate revenue from milestones achieved under our collaborative research and development arrangements.</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Since our inception, we have devoted our primary effort to raising capital and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Management believes its currently available resources will provide sufficient funds to enable the Company to meet its operating plans for at least the next twelve months. The accompanying consolidated financial statements do not include any adjustments that might be necessary if we are unable to continue as a going concern.</w:t>
      </w:r>
    </w:p>
    <w:p>
      <w:pPr>
        <w:spacing w:after="0" w:line="289" w:lineRule="exact"/>
        <w:rPr>
          <w:sz w:val="20"/>
          <w:szCs w:val="20"/>
          <w:color w:val="auto"/>
        </w:rPr>
      </w:pPr>
    </w:p>
    <w:p>
      <w:pPr>
        <w:ind w:left="260" w:right="7860" w:hanging="252"/>
        <w:spacing w:after="0" w:line="378" w:lineRule="auto"/>
        <w:tabs>
          <w:tab w:leader="none" w:pos="19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or the SEC. Certain information and note disclosures normally included in annual financial statements prepared in accordance with U.S. generally accepted accounting principles, or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Also, certain reclassifications have been made to 2018 financial information to conform to the current year presentation of long-term liabilities on the Consolidated Balance Sheets. Operating results for the three months ended March 31, 2019 are not necessarily indicative of the results that may be expected for the year ending December 31, 2019. The financial statements should be read in conjunction with our audited financial statements for the year ended December 31, 2018, included in our Annual Form 10-K.</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620" w:firstLine="446"/>
        <w:spacing w:after="0" w:line="313"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446"/>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40" w:firstLine="554"/>
        <w:spacing w:after="0" w:line="258" w:lineRule="auto"/>
        <w:rPr>
          <w:sz w:val="20"/>
          <w:szCs w:val="20"/>
          <w:color w:val="auto"/>
        </w:rPr>
      </w:pPr>
      <w:r>
        <w:rPr>
          <w:rFonts w:ascii="Times New Roman" w:cs="Times New Roman" w:eastAsia="Times New Roman" w:hAnsi="Times New Roman"/>
          <w:sz w:val="18"/>
          <w:szCs w:val="18"/>
          <w:color w:val="auto"/>
        </w:rPr>
        <w:t>Prior to January 1, 2019, we recorded our leases in accordance with ASC 840, Leases, and all current leases were classified as operating leases. Rent expense was recognized on a straight-line basis over the terms of the leases and, accordingly, we recorded the cumulative difference between cash rent payments and the recognition of rent expense as a deferred rent liability. When an operating lease included lease incentives, such as a rent abatements or leasehold improvement allowances, or required fixed escalations of the minimum lease payments, the aggregate rental expense, including such incentives or increases, was recognized on a straight-line basis over the term of the lease.</w:t>
      </w:r>
    </w:p>
    <w:p>
      <w:pPr>
        <w:spacing w:after="0" w:line="184" w:lineRule="exact"/>
        <w:rPr>
          <w:sz w:val="20"/>
          <w:szCs w:val="20"/>
          <w:color w:val="auto"/>
        </w:rPr>
      </w:pPr>
    </w:p>
    <w:p>
      <w:pPr>
        <w:ind w:right="20" w:firstLine="554"/>
        <w:spacing w:after="0" w:line="255" w:lineRule="auto"/>
        <w:rPr>
          <w:sz w:val="20"/>
          <w:szCs w:val="20"/>
          <w:color w:val="auto"/>
        </w:rPr>
      </w:pPr>
      <w:r>
        <w:rPr>
          <w:rFonts w:ascii="Times New Roman" w:cs="Times New Roman" w:eastAsia="Times New Roman" w:hAnsi="Times New Roman"/>
          <w:sz w:val="18"/>
          <w:szCs w:val="18"/>
          <w:color w:val="auto"/>
        </w:rPr>
        <w:t>Effective January 1, 2019, we adopted ASU 2016-02, ASC 842, Leases, under which all outstanding leases continued to be classified as operating leases.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right-of-use, or “ROU”, asset. Operating lease ROU assets and operating lease liabilities are recognized based on the present value of the future minimum lease payments over the lease term at the date of adoption of ASC 842, or the lease commencement date. As our leases do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72" w:lineRule="exact"/>
        <w:rPr>
          <w:sz w:val="20"/>
          <w:szCs w:val="20"/>
          <w:color w:val="auto"/>
        </w:rPr>
      </w:pPr>
    </w:p>
    <w:p>
      <w:pPr>
        <w:ind w:right="46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86"/>
        </w:trPr>
        <w:tc>
          <w:tcPr>
            <w:tcW w:w="812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980" w:type="dxa"/>
            <w:vAlign w:val="bottom"/>
          </w:tcPr>
          <w:p>
            <w:pPr>
              <w:spacing w:after="0"/>
              <w:rPr>
                <w:sz w:val="21"/>
                <w:szCs w:val="21"/>
                <w:color w:val="auto"/>
              </w:rPr>
            </w:pPr>
          </w:p>
        </w:tc>
        <w:tc>
          <w:tcPr>
            <w:tcW w:w="13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or FASB, issued Accounting Standard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requires that lessees recognize a right-of-use, or “ROU”, asset and a related lease liability on the balance sheet for all leases with a term longer than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months. Topic 842 was subsequently amended by ASU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xml:space="preserve">; ASU 2018-10, </w:t>
      </w:r>
      <w:r>
        <w:rPr>
          <w:rFonts w:ascii="Times New Roman" w:cs="Times New Roman" w:eastAsia="Times New Roman" w:hAnsi="Times New Roman"/>
          <w:sz w:val="18"/>
          <w:szCs w:val="18"/>
          <w:i w:val="1"/>
          <w:iCs w:val="1"/>
          <w:color w:val="auto"/>
        </w:rPr>
        <w:t>Codification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Topic 842, Leases</w:t>
      </w:r>
      <w:r>
        <w:rPr>
          <w:rFonts w:ascii="Times New Roman" w:cs="Times New Roman" w:eastAsia="Times New Roman" w:hAnsi="Times New Roman"/>
          <w:sz w:val="18"/>
          <w:szCs w:val="18"/>
          <w:color w:val="auto"/>
        </w:rPr>
        <w:t>; ASU 2018-11,</w:t>
      </w:r>
      <w:r>
        <w:rPr>
          <w:rFonts w:ascii="Times New Roman" w:cs="Times New Roman" w:eastAsia="Times New Roman" w:hAnsi="Times New Roman"/>
          <w:sz w:val="18"/>
          <w:szCs w:val="18"/>
          <w:i w:val="1"/>
          <w:iCs w:val="1"/>
          <w:color w:val="auto"/>
        </w:rPr>
        <w:t xml:space="preserve"> Targeted Improvements; </w:t>
      </w:r>
      <w:r>
        <w:rPr>
          <w:rFonts w:ascii="Times New Roman" w:cs="Times New Roman" w:eastAsia="Times New Roman" w:hAnsi="Times New Roman"/>
          <w:sz w:val="18"/>
          <w:szCs w:val="18"/>
          <w:color w:val="auto"/>
        </w:rPr>
        <w:t>and ASU 2019-01,</w:t>
      </w:r>
      <w:r>
        <w:rPr>
          <w:rFonts w:ascii="Times New Roman" w:cs="Times New Roman" w:eastAsia="Times New Roman" w:hAnsi="Times New Roman"/>
          <w:sz w:val="18"/>
          <w:szCs w:val="18"/>
          <w:i w:val="1"/>
          <w:iCs w:val="1"/>
          <w:color w:val="auto"/>
        </w:rPr>
        <w:t xml:space="preserve"> Leases (Topic 842): Codification Improvements</w:t>
      </w:r>
      <w:r>
        <w:rPr>
          <w:rFonts w:ascii="Times New Roman" w:cs="Times New Roman" w:eastAsia="Times New Roman" w:hAnsi="Times New Roman"/>
          <w:sz w:val="18"/>
          <w:szCs w:val="18"/>
          <w:color w:val="auto"/>
        </w:rPr>
        <w:t>. ASU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became effective for our annual reporting period beginning January 1, 2019, including interim periods thereafter. A modified retrospective transition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approach is required, applying the new standard to all leases existing at the date of initial application. An entity may choose to use either (i) its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 the beginning of the earliest comparative period presented in the financial statements as its date of initial application. We adopted this standard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2019 and used the effective date as our date of initial application. Upon adoption, we elected the package of transition practical expedients,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allowed us to carry forward prior conclusions related to whether any expired or existing contracts are or contain leases, the lease classification for any expired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existing leases and initial direct costs for existing leases. We also made an accounting policy election to not recognize leases with an initial term of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or less within our consolidated balance sheets and to recognize those lease payments on a straight-line basis in our consolidated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over the lease term. Adoption of the new standard resulted in the recording of operating lease ROU assets and lease liabilities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million and $2.3 million as of January 1, 2019, respectively related to our real estate leases. Adoption of this new standard did not have a material impact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consolidated statements of operations or cash flows.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68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Balance Sheet Accounts and Supplemental Disclosures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Borders>
              <w:top w:val="single" w:sz="8" w:color="auto"/>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20" w:type="dxa"/>
            <w:vAlign w:val="bottom"/>
            <w:tcBorders>
              <w:top w:val="single" w:sz="8" w:color="auto"/>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research, development and manufacturing expenses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6,014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8,761</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260" w:right="7080" w:hanging="252"/>
        <w:spacing w:after="0" w:line="378" w:lineRule="auto"/>
        <w:tabs>
          <w:tab w:leader="none" w:pos="19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Collaborative Research and Development Agreements </w:t>
      </w:r>
      <w:r>
        <w:rPr>
          <w:rFonts w:ascii="Times New Roman" w:cs="Times New Roman" w:eastAsia="Times New Roman" w:hAnsi="Times New Roman"/>
          <w:sz w:val="18"/>
          <w:szCs w:val="18"/>
          <w:b w:val="1"/>
          <w:bCs w:val="1"/>
          <w:i w:val="1"/>
          <w:iCs w:val="1"/>
          <w:color w:val="auto"/>
        </w:rPr>
        <w:t>TESARO Collaboration</w:t>
      </w:r>
    </w:p>
    <w:p>
      <w:pPr>
        <w:ind w:right="260" w:firstLine="446"/>
        <w:spacing w:after="0" w:line="255"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or the TESARO Agreement, with TESARO, Inc. and TESARO Development, Inc., or collectively, TESARO, an oncology-focused biopharmaceutical company now a part of GlaxoSmithKline.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81" w:lineRule="exact"/>
        <w:rPr>
          <w:sz w:val="20"/>
          <w:szCs w:val="20"/>
          <w:color w:val="auto"/>
        </w:rPr>
      </w:pPr>
    </w:p>
    <w:p>
      <w:pPr>
        <w:ind w:right="120" w:firstLine="446"/>
        <w:spacing w:after="0" w:line="253" w:lineRule="auto"/>
        <w:rPr>
          <w:sz w:val="20"/>
          <w:szCs w:val="20"/>
          <w:color w:val="auto"/>
        </w:rPr>
      </w:pPr>
      <w:r>
        <w:rPr>
          <w:rFonts w:ascii="Times New Roman" w:cs="Times New Roman" w:eastAsia="Times New Roman" w:hAnsi="Times New Roman"/>
          <w:sz w:val="18"/>
          <w:szCs w:val="18"/>
          <w:color w:val="auto"/>
        </w:rPr>
        <w:t xml:space="preserve">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Prior to the adoption of Accounting Standards Codification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 (</w:t>
      </w:r>
      <w:r>
        <w:rPr>
          <w:rFonts w:ascii="Times New Roman" w:cs="Times New Roman" w:eastAsia="Times New Roman" w:hAnsi="Times New Roman"/>
          <w:sz w:val="18"/>
          <w:szCs w:val="18"/>
          <w:color w:val="auto"/>
        </w:rPr>
        <w:t>or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we determined that the upfront license fees and research funding under the agreement, as amended,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 and have since been recognized in full.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84" w:right="239" w:bottom="1440" w:gutter="0" w:footer="0" w:header="0"/>
        </w:sectPr>
      </w:pPr>
    </w:p>
    <w:bookmarkStart w:id="11" w:name="page12"/>
    <w:bookmarkEnd w:id="11"/>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assessed this arrangement in accordance with ASC 606 and concluded that the contract counterparty, TESARO, is a customer. We identified the following material promises under the TESARO Agreement: (1) the licenses under certain patent rights relating to six discovery programs (four targets) and transfer of certain development and regulatory information, (2) R&amp;D services and (3) Joint Steering Committee meetings. We considered the research and discovery capabilities of TESARO for these specific programs, TESARO’s inability to sub-license,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8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As of March 31, 2019, the transaction price includes the upfront payment, research reimbursement revenue, and milestones earned to date, which are allocated in their entirety to the single performance obligation.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the licensees’ efforts. Any consideration related to sales-based milestones, including royalties, will be recognized when the related sales occur as they were determined to relate predominantly to the IP license granted to TESARO and therefore have also been excluded from the transaction price. We will re-evaluate the variable transaction price in each reporting period and as uncertain events are resolved or other changes in circumstances occur.</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Milestones recognized through March 31, 2019 under the TESARO Agreement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4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Anti-PD-1</w:t>
            </w:r>
          </w:p>
        </w:tc>
        <w:tc>
          <w:tcPr>
            <w:tcW w:w="2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Anti-TIM-3</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Anti-LAG-3</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(TSR042/Dostarlimab)</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(TSR022)</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(TSR033)</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5"/>
        </w:trPr>
        <w:tc>
          <w:tcPr>
            <w:tcW w:w="43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820" w:type="dxa"/>
            <w:vAlign w:val="bottom"/>
            <w:vMerge w:val="continue"/>
          </w:tcPr>
          <w:p>
            <w:pPr>
              <w:spacing w:after="0"/>
              <w:rPr>
                <w:sz w:val="16"/>
                <w:szCs w:val="16"/>
                <w:color w:val="auto"/>
              </w:rPr>
            </w:pPr>
          </w:p>
        </w:tc>
        <w:tc>
          <w:tcPr>
            <w:tcW w:w="15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820" w:type="dxa"/>
            <w:vAlign w:val="bottom"/>
            <w:vMerge w:val="continue"/>
          </w:tcPr>
          <w:p>
            <w:pPr>
              <w:spacing w:after="0"/>
              <w:rPr>
                <w:sz w:val="16"/>
                <w:szCs w:val="16"/>
                <w:color w:val="auto"/>
              </w:rPr>
            </w:pPr>
          </w:p>
        </w:tc>
        <w:tc>
          <w:tcPr>
            <w:tcW w:w="14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374"/>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 xml:space="preserve">Initiated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studies using good laboratory practices</w:t>
            </w: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$1.0M</w:t>
            </w:r>
          </w:p>
        </w:tc>
        <w:tc>
          <w:tcPr>
            <w:tcW w:w="13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rPr>
              <w:t>Q2'15</w:t>
            </w:r>
          </w:p>
        </w:tc>
        <w:tc>
          <w:tcPr>
            <w:tcW w:w="820" w:type="dxa"/>
            <w:vAlign w:val="bottom"/>
            <w:vMerge w:val="restart"/>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$1.0M</w:t>
            </w:r>
          </w:p>
        </w:tc>
        <w:tc>
          <w:tcPr>
            <w:tcW w:w="1560" w:type="dxa"/>
            <w:vAlign w:val="bottom"/>
            <w:gridSpan w:val="2"/>
            <w:vMerge w:val="restart"/>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Q4'15</w:t>
            </w:r>
          </w:p>
        </w:tc>
        <w:tc>
          <w:tcPr>
            <w:tcW w:w="820" w:type="dxa"/>
            <w:vAlign w:val="bottom"/>
            <w:vMerge w:val="restart"/>
            <w:shd w:val="clear" w:color="auto" w:fill="CFF0FC"/>
          </w:tcPr>
          <w:p>
            <w:pPr>
              <w:jc w:val="center"/>
              <w:ind w:left="208"/>
              <w:spacing w:after="0"/>
              <w:rPr>
                <w:sz w:val="20"/>
                <w:szCs w:val="20"/>
                <w:color w:val="auto"/>
              </w:rPr>
            </w:pPr>
            <w:r>
              <w:rPr>
                <w:rFonts w:ascii="Times New Roman" w:cs="Times New Roman" w:eastAsia="Times New Roman" w:hAnsi="Times New Roman"/>
                <w:sz w:val="14"/>
                <w:szCs w:val="14"/>
                <w:color w:val="auto"/>
              </w:rPr>
              <w:t>$1.0M</w:t>
            </w:r>
          </w:p>
        </w:tc>
        <w:tc>
          <w:tcPr>
            <w:tcW w:w="1440" w:type="dxa"/>
            <w:vAlign w:val="bottom"/>
            <w:vMerge w:val="restart"/>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Q3'16</w:t>
            </w:r>
          </w:p>
        </w:tc>
        <w:tc>
          <w:tcPr>
            <w:tcW w:w="0" w:type="dxa"/>
            <w:vAlign w:val="bottom"/>
          </w:tcPr>
          <w:p>
            <w:pPr>
              <w:spacing w:after="0"/>
              <w:rPr>
                <w:sz w:val="1"/>
                <w:szCs w:val="1"/>
                <w:color w:val="auto"/>
              </w:rPr>
            </w:pPr>
          </w:p>
        </w:tc>
      </w:tr>
      <w:tr>
        <w:trPr>
          <w:trHeight w:val="198"/>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(GLPs)</w:t>
            </w:r>
          </w:p>
        </w:tc>
        <w:tc>
          <w:tcPr>
            <w:tcW w:w="1100" w:type="dxa"/>
            <w:vAlign w:val="bottom"/>
            <w:vMerge w:val="continue"/>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560" w:type="dxa"/>
            <w:vAlign w:val="bottom"/>
            <w:gridSpan w:val="2"/>
            <w:vMerge w:val="continue"/>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4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 clearance from the FDA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$4.0M</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Q1'16</w:t>
            </w:r>
          </w:p>
        </w:tc>
        <w:tc>
          <w:tcPr>
            <w:tcW w:w="8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$4.0M</w:t>
            </w:r>
          </w:p>
        </w:tc>
        <w:tc>
          <w:tcPr>
            <w:tcW w:w="15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Q2'16</w:t>
            </w:r>
          </w:p>
        </w:tc>
        <w:tc>
          <w:tcPr>
            <w:tcW w:w="8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$4.0M</w:t>
            </w:r>
          </w:p>
        </w:tc>
        <w:tc>
          <w:tcPr>
            <w:tcW w:w="14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Q2'17</w:t>
            </w:r>
          </w:p>
        </w:tc>
        <w:tc>
          <w:tcPr>
            <w:tcW w:w="0" w:type="dxa"/>
            <w:vAlign w:val="bottom"/>
          </w:tcPr>
          <w:p>
            <w:pPr>
              <w:spacing w:after="0"/>
              <w:rPr>
                <w:sz w:val="1"/>
                <w:szCs w:val="1"/>
                <w:color w:val="auto"/>
              </w:rPr>
            </w:pPr>
          </w:p>
        </w:tc>
      </w:tr>
      <w:tr>
        <w:trPr>
          <w:trHeight w:val="275"/>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Phase 2 clinical trial initiation</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$3.0M</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rPr>
              <w:t>Q2'17</w:t>
            </w:r>
          </w:p>
        </w:tc>
        <w:tc>
          <w:tcPr>
            <w:tcW w:w="820" w:type="dxa"/>
            <w:vAlign w:val="bottom"/>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$3.0M</w:t>
            </w:r>
          </w:p>
        </w:tc>
        <w:tc>
          <w:tcPr>
            <w:tcW w:w="156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Q4'17</w:t>
            </w:r>
          </w:p>
        </w:tc>
        <w:tc>
          <w:tcPr>
            <w:tcW w:w="82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6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Phase 3 clinical trial initiation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Q3'18</w:t>
            </w:r>
          </w:p>
        </w:tc>
        <w:tc>
          <w:tcPr>
            <w:tcW w:w="8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Milestones achieved during the discovery period were recognized as revenue pro-rata through December 31, 2016. Milestones achieved during fiscal</w:t>
      </w:r>
    </w:p>
    <w:p>
      <w:pPr>
        <w:spacing w:after="0" w:line="27"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recognized no revenue under this agreement during the three months ended March 31, 2019 and 2018.</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Antibody Generation Agreement with Celgene Corporation</w:t>
      </w:r>
    </w:p>
    <w:p>
      <w:pPr>
        <w:spacing w:after="0" w:line="121" w:lineRule="exact"/>
        <w:rPr>
          <w:sz w:val="20"/>
          <w:szCs w:val="20"/>
          <w:color w:val="auto"/>
        </w:rPr>
      </w:pPr>
    </w:p>
    <w:p>
      <w:pPr>
        <w:jc w:val="both"/>
        <w:ind w:right="220" w:firstLine="446"/>
        <w:spacing w:after="0" w:line="261" w:lineRule="auto"/>
        <w:rPr>
          <w:sz w:val="20"/>
          <w:szCs w:val="20"/>
          <w:color w:val="auto"/>
        </w:rPr>
      </w:pPr>
      <w:r>
        <w:rPr>
          <w:rFonts w:ascii="Times New Roman" w:cs="Times New Roman" w:eastAsia="Times New Roman" w:hAnsi="Times New Roman"/>
          <w:sz w:val="18"/>
          <w:szCs w:val="18"/>
          <w:color w:val="auto"/>
        </w:rPr>
        <w:t>In December 2011, we entered into a license and collaboration agreement with Celgene, or the Celgene Agreement,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72" w:lineRule="exact"/>
        <w:rPr>
          <w:sz w:val="20"/>
          <w:szCs w:val="20"/>
          <w:color w:val="auto"/>
        </w:rPr>
      </w:pPr>
    </w:p>
    <w:p>
      <w:pPr>
        <w:ind w:right="240" w:firstLine="446"/>
        <w:spacing w:after="0" w:line="266" w:lineRule="auto"/>
        <w:rPr>
          <w:sz w:val="20"/>
          <w:szCs w:val="20"/>
          <w:color w:val="auto"/>
        </w:rPr>
      </w:pPr>
      <w:r>
        <w:rPr>
          <w:rFonts w:ascii="Times New Roman" w:cs="Times New Roman" w:eastAsia="Times New Roman" w:hAnsi="Times New Roman"/>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68"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We assessed this arrangement in accordance with ASC 606 and concluded that the contract counterparty, Celgene, is a customer. We identified the following material promises under the Celgene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Celgene, Celgene’s inability to sub-license the four targets, and the fact that the discovery and optimization of these antibodies is proprietary and could not, at the time of the contract inception, be provided by other vendors, to conclude that the license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72" w:right="239" w:bottom="1440" w:gutter="0" w:footer="0" w:header="0"/>
        </w:sectPr>
      </w:pPr>
    </w:p>
    <w:bookmarkStart w:id="12" w:name="page13"/>
    <w:bookmarkEnd w:id="12"/>
    <w:p>
      <w:pPr>
        <w:ind w:right="340"/>
        <w:spacing w:after="0" w:line="266" w:lineRule="auto"/>
        <w:rPr>
          <w:sz w:val="20"/>
          <w:szCs w:val="20"/>
          <w:color w:val="auto"/>
        </w:rPr>
      </w:pPr>
      <w:r>
        <w:rPr>
          <w:rFonts w:ascii="Times New Roman" w:cs="Times New Roman" w:eastAsia="Times New Roman" w:hAnsi="Times New Roman"/>
          <w:sz w:val="18"/>
          <w:szCs w:val="18"/>
          <w:color w:val="auto"/>
        </w:rPr>
        <w:t>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68"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As of March 31, 2019, the transaction price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the licensees’ efforts. Any consideration related to sales-based milestones, including royalties, will be recognized when the related sales occur as they were determined to relate predominantly to the IP license granted to Celgene and therefore have also been excluded from the transaction price. We will re-evaluate the transaction price in each reporting period and as uncertain events are resolved or other changes in circumstances occur.</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Milestones achieved through March 31, 2019 under the Celgene Agreement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4980" w:type="dxa"/>
            <w:vAlign w:val="bottom"/>
            <w:gridSpan w:val="2"/>
          </w:tcPr>
          <w:p>
            <w:pPr>
              <w:jc w:val="center"/>
              <w:ind w:left="2608"/>
              <w:spacing w:after="0"/>
              <w:rPr>
                <w:sz w:val="20"/>
                <w:szCs w:val="20"/>
                <w:color w:val="auto"/>
              </w:rPr>
            </w:pPr>
            <w:r>
              <w:rPr>
                <w:rFonts w:ascii="Times New Roman" w:cs="Times New Roman" w:eastAsia="Times New Roman" w:hAnsi="Times New Roman"/>
                <w:sz w:val="14"/>
                <w:szCs w:val="14"/>
                <w:b w:val="1"/>
                <w:bCs w:val="1"/>
                <w:color w:val="auto"/>
              </w:rPr>
              <w:t>Anti-PD-1</w:t>
            </w:r>
          </w:p>
        </w:tc>
        <w:tc>
          <w:tcPr>
            <w:tcW w:w="0" w:type="dxa"/>
            <w:vAlign w:val="bottom"/>
          </w:tcPr>
          <w:p>
            <w:pPr>
              <w:spacing w:after="0"/>
              <w:rPr>
                <w:sz w:val="1"/>
                <w:szCs w:val="1"/>
                <w:color w:val="auto"/>
              </w:rPr>
            </w:pPr>
          </w:p>
        </w:tc>
      </w:tr>
      <w:tr>
        <w:trPr>
          <w:trHeight w:val="195"/>
        </w:trPr>
        <w:tc>
          <w:tcPr>
            <w:tcW w:w="644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2"/>
          </w:tcPr>
          <w:p>
            <w:pPr>
              <w:jc w:val="center"/>
              <w:ind w:left="2628"/>
              <w:spacing w:after="0"/>
              <w:rPr>
                <w:sz w:val="20"/>
                <w:szCs w:val="20"/>
                <w:color w:val="auto"/>
              </w:rPr>
            </w:pPr>
            <w:r>
              <w:rPr>
                <w:rFonts w:ascii="Times New Roman" w:cs="Times New Roman" w:eastAsia="Times New Roman" w:hAnsi="Times New Roman"/>
                <w:sz w:val="14"/>
                <w:szCs w:val="14"/>
                <w:b w:val="1"/>
                <w:bCs w:val="1"/>
                <w:color w:val="auto"/>
              </w:rPr>
              <w:t>(CC-90006)</w:t>
            </w:r>
          </w:p>
        </w:tc>
        <w:tc>
          <w:tcPr>
            <w:tcW w:w="0" w:type="dxa"/>
            <w:vAlign w:val="bottom"/>
          </w:tcPr>
          <w:p>
            <w:pPr>
              <w:spacing w:after="0"/>
              <w:rPr>
                <w:sz w:val="1"/>
                <w:szCs w:val="1"/>
                <w:color w:val="auto"/>
              </w:rPr>
            </w:pPr>
          </w:p>
        </w:tc>
      </w:tr>
      <w:tr>
        <w:trPr>
          <w:trHeight w:val="149"/>
        </w:trPr>
        <w:tc>
          <w:tcPr>
            <w:tcW w:w="6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3840" w:type="dxa"/>
            <w:vAlign w:val="bottom"/>
            <w:vMerge w:val="restart"/>
          </w:tcPr>
          <w:p>
            <w:pPr>
              <w:jc w:val="center"/>
              <w:ind w:left="27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5"/>
        </w:trPr>
        <w:tc>
          <w:tcPr>
            <w:tcW w:w="6440" w:type="dxa"/>
            <w:vAlign w:val="bottom"/>
            <w:vMerge w:val="continue"/>
          </w:tcPr>
          <w:p>
            <w:pPr>
              <w:spacing w:after="0"/>
              <w:rPr>
                <w:sz w:val="16"/>
                <w:szCs w:val="16"/>
                <w:color w:val="auto"/>
              </w:rPr>
            </w:pPr>
          </w:p>
        </w:tc>
        <w:tc>
          <w:tcPr>
            <w:tcW w:w="3840" w:type="dxa"/>
            <w:vAlign w:val="bottom"/>
            <w:vMerge w:val="continue"/>
          </w:tcPr>
          <w:p>
            <w:pPr>
              <w:spacing w:after="0"/>
              <w:rPr>
                <w:sz w:val="16"/>
                <w:szCs w:val="16"/>
                <w:color w:val="auto"/>
              </w:rPr>
            </w:pPr>
          </w:p>
        </w:tc>
        <w:tc>
          <w:tcPr>
            <w:tcW w:w="11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424"/>
        </w:trPr>
        <w:tc>
          <w:tcPr>
            <w:tcW w:w="6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 xml:space="preserve">Completion of first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studies using GLPs</w:t>
            </w:r>
          </w:p>
        </w:tc>
        <w:tc>
          <w:tcPr>
            <w:tcW w:w="3840" w:type="dxa"/>
            <w:vAlign w:val="bottom"/>
            <w:shd w:val="clear" w:color="auto" w:fill="CFF0FC"/>
          </w:tcPr>
          <w:p>
            <w:pPr>
              <w:jc w:val="center"/>
              <w:ind w:left="2748"/>
              <w:spacing w:after="0"/>
              <w:rPr>
                <w:sz w:val="20"/>
                <w:szCs w:val="20"/>
                <w:color w:val="auto"/>
              </w:rPr>
            </w:pPr>
            <w:r>
              <w:rPr>
                <w:rFonts w:ascii="Times New Roman" w:cs="Times New Roman" w:eastAsia="Times New Roman" w:hAnsi="Times New Roman"/>
                <w:sz w:val="14"/>
                <w:szCs w:val="14"/>
                <w:color w:val="auto"/>
              </w:rPr>
              <w:t>$0.5M</w:t>
            </w:r>
          </w:p>
        </w:tc>
        <w:tc>
          <w:tcPr>
            <w:tcW w:w="1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Q2'16</w:t>
            </w:r>
          </w:p>
        </w:tc>
        <w:tc>
          <w:tcPr>
            <w:tcW w:w="0" w:type="dxa"/>
            <w:vAlign w:val="bottom"/>
          </w:tcPr>
          <w:p>
            <w:pPr>
              <w:spacing w:after="0"/>
              <w:rPr>
                <w:sz w:val="1"/>
                <w:szCs w:val="1"/>
                <w:color w:val="auto"/>
              </w:rPr>
            </w:pPr>
          </w:p>
        </w:tc>
      </w:tr>
      <w:tr>
        <w:trPr>
          <w:trHeight w:val="193"/>
        </w:trPr>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Phase 1 clinical trial initiation</w:t>
            </w:r>
          </w:p>
        </w:tc>
        <w:tc>
          <w:tcPr>
            <w:tcW w:w="3840" w:type="dxa"/>
            <w:vAlign w:val="bottom"/>
          </w:tcPr>
          <w:p>
            <w:pPr>
              <w:jc w:val="center"/>
              <w:ind w:left="2748"/>
              <w:spacing w:after="0"/>
              <w:rPr>
                <w:sz w:val="20"/>
                <w:szCs w:val="20"/>
                <w:color w:val="auto"/>
              </w:rPr>
            </w:pPr>
            <w:r>
              <w:rPr>
                <w:rFonts w:ascii="Times New Roman" w:cs="Times New Roman" w:eastAsia="Times New Roman" w:hAnsi="Times New Roman"/>
                <w:sz w:val="14"/>
                <w:szCs w:val="14"/>
                <w:color w:val="auto"/>
              </w:rPr>
              <w:t>$1.0M</w:t>
            </w:r>
          </w:p>
        </w:tc>
        <w:tc>
          <w:tcPr>
            <w:tcW w:w="1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Q4'16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from future contingent milestone payments are recognized upon determination that a significant reversal of revenue would not be probable.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is generally received within 30 days of milestone achievement.</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revenue recognized under this agreement during the three months ended March 31, 2019 and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 Payable</w:t>
      </w:r>
    </w:p>
    <w:p>
      <w:pPr>
        <w:spacing w:after="0" w:line="121" w:lineRule="exact"/>
        <w:rPr>
          <w:sz w:val="20"/>
          <w:szCs w:val="20"/>
          <w:color w:val="auto"/>
        </w:rPr>
      </w:pPr>
    </w:p>
    <w:p>
      <w:pPr>
        <w:ind w:right="280" w:firstLine="446"/>
        <w:spacing w:after="0" w:line="266" w:lineRule="auto"/>
        <w:rPr>
          <w:sz w:val="20"/>
          <w:szCs w:val="20"/>
          <w:color w:val="auto"/>
        </w:rPr>
      </w:pPr>
      <w:r>
        <w:rPr>
          <w:rFonts w:ascii="Times New Roman" w:cs="Times New Roman" w:eastAsia="Times New Roman" w:hAnsi="Times New Roman"/>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68"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 (iii) amend the interest rate for each Term Loan. The Term B Loans and the Term C Loans were drawn on December 30, 2016, and Term A, B and C Loans are now collectively referred to as the Term Loans. Principal repayments began in February 2018, and as of March 31, 2019, there are 10 monthly principal and interest payments remaining on the Term Loans, with final maturity in January 2020. The Term Loans bear interest equal to the greater of 3-month U.S. LIBOR plus 6.37% or 7.3%. The interest rate was 8.99% as of March 31, 2019.</w:t>
      </w:r>
    </w:p>
    <w:p>
      <w:pPr>
        <w:spacing w:after="0" w:line="77"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The costs incurred to issue the Term Loans were deferred and are included in the discount to the carrying value of the Term Loans in the accompanying balance sheet. The Term Loans also include a final payment fee of $0.8 million due at the earlier of prepayment or the maturity date of the Term Loans. The deferred costs and the final payment fee are being amortized to interest expense over the expected term of the Term A Loans using the effective interest method.</w:t>
      </w:r>
    </w:p>
    <w:p>
      <w:pPr>
        <w:spacing w:after="0" w:line="72" w:lineRule="exact"/>
        <w:rPr>
          <w:sz w:val="20"/>
          <w:szCs w:val="20"/>
          <w:color w:val="auto"/>
        </w:rPr>
      </w:pPr>
    </w:p>
    <w:p>
      <w:pPr>
        <w:jc w:val="both"/>
        <w:ind w:right="320" w:firstLine="446"/>
        <w:spacing w:after="0" w:line="266" w:lineRule="auto"/>
        <w:rPr>
          <w:sz w:val="20"/>
          <w:szCs w:val="20"/>
          <w:color w:val="auto"/>
        </w:rPr>
      </w:pPr>
      <w:r>
        <w:rPr>
          <w:rFonts w:ascii="Times New Roman" w:cs="Times New Roman" w:eastAsia="Times New Roman" w:hAnsi="Times New Roman"/>
          <w:sz w:val="18"/>
          <w:szCs w:val="18"/>
          <w:color w:val="auto"/>
        </w:rPr>
        <w:t>As of March 31, 2019, the carrying amount of the Term Loans was $6.5 million, which includes amortized final payment fees of $0.2 million and is classified as current liabilities as of March 31, 2019. The effective interest rate on the Term Loans at March 31, 2019 was 13.38%. As of March 31, 2019, future principal maturities of the Term Loans were $5.6 million and $0.6 million during the remainder of 2019 and 2020,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72" w:right="239" w:bottom="1440" w:gutter="0" w:footer="0" w:header="0"/>
        </w:sectPr>
      </w:pPr>
    </w:p>
    <w:bookmarkStart w:id="13" w:name="page14"/>
    <w:bookmarkEnd w:id="13"/>
    <w:p>
      <w:pPr>
        <w:ind w:right="700" w:firstLine="446"/>
        <w:spacing w:after="0" w:line="282" w:lineRule="auto"/>
        <w:rPr>
          <w:sz w:val="20"/>
          <w:szCs w:val="20"/>
          <w:color w:val="auto"/>
        </w:rPr>
      </w:pPr>
      <w:r>
        <w:rPr>
          <w:rFonts w:ascii="Times New Roman" w:cs="Times New Roman" w:eastAsia="Times New Roman" w:hAnsi="Times New Roman"/>
          <w:sz w:val="18"/>
          <w:szCs w:val="18"/>
          <w:color w:val="auto"/>
        </w:rPr>
        <w:t>The Term Loans are secured by a first priority interest in most of our assets, excluding intellectual property. As of March 31, 2019, we were in compliance with the covenants contained in the Loan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 and Available for Sale Investments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restricted cash, short-term and long-term investments, receivables, accounts payable, and notes payable. Certain of our financial assets and liabilities have been recorded at fair value in the consolidated balance sheet in accordance with the accounting standards for fair value measurements.</w:t>
      </w:r>
    </w:p>
    <w:p>
      <w:pPr>
        <w:spacing w:after="0" w:line="6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therefore requiring an entity to develop its own assumptions.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Market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 Observable</w:t>
            </w: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6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6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5160" w:type="dxa"/>
            <w:vAlign w:val="bottom"/>
            <w:tcBorders>
              <w:top w:val="single" w:sz="8" w:color="CFF0FC"/>
            </w:tcBorders>
            <w:gridSpan w:val="4"/>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At March 31, 2019</w:t>
            </w:r>
          </w:p>
        </w:tc>
        <w:tc>
          <w:tcPr>
            <w:tcW w:w="28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420" w:type="dxa"/>
            <w:vAlign w:val="bottom"/>
            <w:tcBorders>
              <w:top w:val="single" w:sz="8" w:color="auto"/>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344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22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26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5"/>
                <w:szCs w:val="25"/>
                <w:color w:val="auto"/>
                <w:vertAlign w:val="superscript"/>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93,082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93,082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5"/>
                <w:szCs w:val="25"/>
                <w:color w:val="auto"/>
                <w:vertAlign w:val="superscript"/>
              </w:rPr>
              <w:t>(1)</w:t>
            </w:r>
          </w:p>
        </w:tc>
        <w:tc>
          <w:tcPr>
            <w:tcW w:w="28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5,762</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148,155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148,155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5"/>
                <w:szCs w:val="25"/>
                <w:color w:val="auto"/>
                <w:vertAlign w:val="superscript"/>
              </w:rPr>
              <w:t>(2)</w:t>
            </w:r>
          </w:p>
        </w:tc>
        <w:tc>
          <w:tcPr>
            <w:tcW w:w="28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(1)(2)</w:t>
            </w:r>
          </w:p>
        </w:tc>
        <w:tc>
          <w:tcPr>
            <w:tcW w:w="2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82,079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82,079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5"/>
                <w:szCs w:val="25"/>
                <w:color w:val="auto"/>
                <w:vertAlign w:val="superscript"/>
              </w:rPr>
              <w:t>(1)(2)</w:t>
            </w:r>
          </w:p>
        </w:tc>
        <w:tc>
          <w:tcPr>
            <w:tcW w:w="28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151,104</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151,104</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At December 31, 2018</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5"/>
                <w:szCs w:val="25"/>
                <w:color w:val="auto"/>
                <w:vertAlign w:val="superscript"/>
              </w:rPr>
              <w:t>(1)</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87,213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87,213</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7,967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(2)</w:t>
            </w:r>
          </w:p>
        </w:tc>
        <w:tc>
          <w:tcPr>
            <w:tcW w:w="28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164,245</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164,245</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FF0FC"/>
          </w:tcPr>
          <w:p>
            <w:pPr>
              <w:spacing w:after="0"/>
              <w:rPr>
                <w:sz w:val="23"/>
                <w:szCs w:val="23"/>
                <w:color w:val="auto"/>
              </w:rPr>
            </w:pPr>
          </w:p>
        </w:tc>
        <w:tc>
          <w:tcPr>
            <w:tcW w:w="5120" w:type="dxa"/>
            <w:vAlign w:val="bottom"/>
            <w:gridSpan w:val="3"/>
            <w:shd w:val="clear" w:color="auto" w:fill="CFF0FC"/>
          </w:tcPr>
          <w:p>
            <w:pPr>
              <w:ind w:left="20"/>
              <w:spacing w:after="0" w:line="270"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(1)(2)</w:t>
            </w:r>
          </w:p>
        </w:tc>
        <w:tc>
          <w:tcPr>
            <w:tcW w:w="2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81,296</w:t>
            </w:r>
          </w:p>
        </w:tc>
        <w:tc>
          <w:tcPr>
            <w:tcW w:w="1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81,296</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5"/>
                <w:szCs w:val="25"/>
                <w:color w:val="auto"/>
                <w:vertAlign w:val="superscript"/>
              </w:rPr>
              <w:t>(1)(2)</w:t>
            </w:r>
          </w:p>
        </w:tc>
        <w:tc>
          <w:tcPr>
            <w:tcW w:w="2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153,983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153,983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0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14" w:name="page15"/>
    <w:bookmarkEnd w:id="14"/>
    <w:p>
      <w:pPr>
        <w:ind w:left="460" w:hanging="452"/>
        <w:spacing w:after="0"/>
        <w:tabs>
          <w:tab w:leader="none" w:pos="4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Included in cash and cash equivalents, and restricted cash in the accompanying consolidated balance sheets.</w:t>
      </w:r>
    </w:p>
    <w:p>
      <w:pPr>
        <w:spacing w:after="0" w:line="28" w:lineRule="exact"/>
        <w:rPr>
          <w:rFonts w:ascii="Times New Roman" w:cs="Times New Roman" w:eastAsia="Times New Roman" w:hAnsi="Times New Roman"/>
          <w:sz w:val="25"/>
          <w:szCs w:val="25"/>
          <w:color w:val="auto"/>
          <w:vertAlign w:val="superscript"/>
        </w:rPr>
      </w:pPr>
    </w:p>
    <w:p>
      <w:pPr>
        <w:ind w:left="460" w:hanging="452"/>
        <w:spacing w:after="0" w:line="186" w:lineRule="auto"/>
        <w:tabs>
          <w:tab w:leader="none" w:pos="46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Included in short-term or long-term investments in the accompanying consolidated balance sheets depending on the respective maturity date.</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97" w:lineRule="exact"/>
        <w:rPr>
          <w:sz w:val="20"/>
          <w:szCs w:val="20"/>
          <w:color w:val="auto"/>
        </w:rPr>
      </w:pPr>
    </w:p>
    <w:p>
      <w:pPr>
        <w:ind w:right="160" w:firstLine="44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our other financial instruments estimated as of March 31, 2019 and December 31, 2018 are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20" w:type="dxa"/>
            <w:vAlign w:val="bottom"/>
            <w:tcBorders>
              <w:bottom w:val="single" w:sz="8" w:color="auto"/>
            </w:tcBorders>
          </w:tcPr>
          <w:p>
            <w:pPr>
              <w:spacing w:after="0"/>
              <w:rPr>
                <w:sz w:val="16"/>
                <w:szCs w:val="16"/>
                <w:color w:val="auto"/>
              </w:rPr>
            </w:pPr>
          </w:p>
        </w:tc>
      </w:tr>
      <w:tr>
        <w:trPr>
          <w:trHeight w:val="163"/>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spacing w:after="0"/>
              <w:rPr>
                <w:sz w:val="16"/>
                <w:szCs w:val="16"/>
                <w:color w:val="auto"/>
              </w:rPr>
            </w:pPr>
          </w:p>
        </w:tc>
        <w:tc>
          <w:tcPr>
            <w:tcW w:w="10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42"/>
        </w:trPr>
        <w:tc>
          <w:tcPr>
            <w:tcW w:w="5160" w:type="dxa"/>
            <w:vAlign w:val="bottom"/>
            <w:tcBorders>
              <w:top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6,488</w:t>
            </w:r>
          </w:p>
        </w:tc>
        <w:tc>
          <w:tcPr>
            <w:tcW w:w="120" w:type="dxa"/>
            <w:vAlign w:val="bottom"/>
            <w:tcBorders>
              <w:top w:val="single" w:sz="8" w:color="CFF0FC"/>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8,806</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notes payable:</w:t>
      </w:r>
    </w:p>
    <w:p>
      <w:pPr>
        <w:spacing w:after="0" w:line="115"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—We use the income approach to value the aforementioned debt instrument. We use a present value calculation to discount principal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74" w:lineRule="exact"/>
        <w:rPr>
          <w:sz w:val="20"/>
          <w:szCs w:val="20"/>
          <w:color w:val="auto"/>
        </w:rPr>
      </w:pPr>
    </w:p>
    <w:p>
      <w:pPr>
        <w:ind w:right="560" w:firstLine="528"/>
        <w:spacing w:after="0" w:line="282"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Australian tax incentive receivable, accounts payable, and accrued expenses approximate fair value due to their short-term nature.</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Available for Sale Investments</w:t>
      </w:r>
    </w:p>
    <w:p>
      <w:pPr>
        <w:spacing w:after="0" w:line="121" w:lineRule="exact"/>
        <w:rPr>
          <w:sz w:val="20"/>
          <w:szCs w:val="20"/>
          <w:color w:val="auto"/>
        </w:rPr>
      </w:pPr>
    </w:p>
    <w:p>
      <w:pPr>
        <w:ind w:right="80" w:firstLine="459"/>
        <w:spacing w:after="0" w:line="261" w:lineRule="auto"/>
        <w:rPr>
          <w:sz w:val="20"/>
          <w:szCs w:val="20"/>
          <w:color w:val="auto"/>
        </w:rPr>
      </w:pPr>
      <w:r>
        <w:rPr>
          <w:rFonts w:ascii="Times New Roman" w:cs="Times New Roman" w:eastAsia="Times New Roman" w:hAnsi="Times New Roman"/>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March 31, 2019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69"/>
        </w:trPr>
        <w:tc>
          <w:tcPr>
            <w:tcW w:w="516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82,023</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82,079</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150,963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151,104</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148,008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148,155</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386,142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386,516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-25400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43053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-205105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-205105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43053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-899795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-899795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-899795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 w:lineRule="exact"/>
        <w:rPr>
          <w:sz w:val="20"/>
          <w:szCs w:val="20"/>
          <w:color w:val="auto"/>
        </w:rPr>
      </w:pPr>
    </w:p>
    <w:p>
      <w:pPr>
        <w:ind w:left="460" w:right="12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agency securities, $68.0 million have maturity dates of less than one year and $14.1 million have a maturity date of between one to two years as of March 31, 2019.</w:t>
      </w:r>
    </w:p>
    <w:p>
      <w:pPr>
        <w:spacing w:after="0" w:line="37" w:lineRule="exact"/>
        <w:rPr>
          <w:rFonts w:ascii="Times New Roman" w:cs="Times New Roman" w:eastAsia="Times New Roman" w:hAnsi="Times New Roman"/>
          <w:sz w:val="25"/>
          <w:szCs w:val="25"/>
          <w:color w:val="auto"/>
          <w:vertAlign w:val="superscript"/>
        </w:rPr>
      </w:pPr>
    </w:p>
    <w:p>
      <w:pPr>
        <w:ind w:left="460" w:right="12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certificates of deposit, $0.2 million have a maturity date of less than one year and $4.9 million have a maturity date of between one to two years as of March 31, 2019.</w:t>
      </w:r>
    </w:p>
    <w:p>
      <w:pPr>
        <w:spacing w:after="0" w:line="37" w:lineRule="exact"/>
        <w:rPr>
          <w:rFonts w:ascii="Times New Roman" w:cs="Times New Roman" w:eastAsia="Times New Roman" w:hAnsi="Times New Roman"/>
          <w:sz w:val="25"/>
          <w:szCs w:val="25"/>
          <w:color w:val="auto"/>
          <w:vertAlign w:val="superscript"/>
        </w:rPr>
      </w:pPr>
    </w:p>
    <w:p>
      <w:pPr>
        <w:ind w:left="460" w:right="22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commercial and corporate obligations, $121.5 million have maturity dates of less than one year and $29.6 million have a maturity date of between one to two years as of March 31, 2019.</w:t>
      </w:r>
    </w:p>
    <w:p>
      <w:pPr>
        <w:spacing w:after="0" w:line="37" w:lineRule="exact"/>
        <w:rPr>
          <w:rFonts w:ascii="Times New Roman" w:cs="Times New Roman" w:eastAsia="Times New Roman" w:hAnsi="Times New Roman"/>
          <w:sz w:val="25"/>
          <w:szCs w:val="25"/>
          <w:color w:val="auto"/>
          <w:vertAlign w:val="superscript"/>
        </w:rPr>
      </w:pPr>
    </w:p>
    <w:p>
      <w:pPr>
        <w:ind w:left="460" w:right="8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U.S. Treasury securities $128.2 million have maturity dates of less than one year and $19.9 million have a maturity date of between one to two years as of March 31, 2019.</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3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60" w:firstLine="446"/>
        <w:spacing w:after="0" w:line="282" w:lineRule="auto"/>
        <w:rPr>
          <w:sz w:val="20"/>
          <w:szCs w:val="20"/>
          <w:color w:val="auto"/>
        </w:rPr>
      </w:pPr>
      <w:r>
        <w:rPr>
          <w:rFonts w:ascii="Times New Roman" w:cs="Times New Roman" w:eastAsia="Times New Roman" w:hAnsi="Times New Roman"/>
          <w:sz w:val="18"/>
          <w:szCs w:val="18"/>
          <w:color w:val="auto"/>
        </w:rPr>
        <w:t>Of the 500,000,000 shares of common stock authorized, 27,006,293 shares were issued and outstanding as of March 31, 2019. Common stock reserved for future issuance upon the exercise, issuance or conversion of the respective equity instruments at March 31,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2,545,544</w:t>
            </w:r>
          </w:p>
        </w:tc>
      </w:tr>
      <w:tr>
        <w:trPr>
          <w:trHeight w:val="27"/>
        </w:trPr>
        <w:tc>
          <w:tcPr>
            <w:tcW w:w="98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Reserved For:</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57"/>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2017</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2,620,336</w:t>
            </w:r>
          </w:p>
        </w:tc>
      </w:tr>
      <w:tr>
        <w:trPr>
          <w:trHeight w:val="27"/>
        </w:trPr>
        <w:tc>
          <w:tcPr>
            <w:tcW w:w="6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2017</w:t>
            </w:r>
          </w:p>
        </w:tc>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725,132</w:t>
            </w:r>
          </w:p>
        </w:tc>
      </w:tr>
      <w:tr>
        <w:trPr>
          <w:trHeight w:val="237"/>
        </w:trPr>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140" w:type="dxa"/>
            <w:vAlign w:val="bottom"/>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5,891,012</w:t>
            </w:r>
          </w:p>
        </w:tc>
      </w:tr>
      <w:tr>
        <w:trPr>
          <w:trHeight w:val="27"/>
        </w:trPr>
        <w:tc>
          <w:tcPr>
            <w:tcW w:w="6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21"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1,076,877 shares as of January 1, 2019.</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269,219 shares as of January 1, 2019.</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right="280" w:firstLine="446"/>
        <w:spacing w:after="0" w:line="266" w:lineRule="auto"/>
        <w:rPr>
          <w:sz w:val="20"/>
          <w:szCs w:val="20"/>
          <w:color w:val="auto"/>
        </w:rPr>
      </w:pPr>
      <w:r>
        <w:rPr>
          <w:rFonts w:ascii="Times New Roman" w:cs="Times New Roman" w:eastAsia="Times New Roman" w:hAnsi="Times New Roman"/>
          <w:sz w:val="18"/>
          <w:szCs w:val="18"/>
          <w:color w:val="auto"/>
        </w:rPr>
        <w:t>Stock options granted to employees generally vest over a four-year period while stock options granted to directors vest over a one year period. Each have a maximum term of ten years from the date of grant, subject to earlier cancellation prior to vesting upon cessation of service to us. A summary of the activity related to stock option awards during the three months ended March 31, 2019 is as follows: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684"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16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2,152,455</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516,300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Exercises</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(84,471)</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2,545,544</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102,787</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 at March 31, 2019</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vMerge w:val="continue"/>
          </w:tcPr>
          <w:p>
            <w:pPr>
              <w:spacing w:after="0"/>
              <w:rPr>
                <w:sz w:val="21"/>
                <w:szCs w:val="21"/>
                <w:color w:val="auto"/>
              </w:rPr>
            </w:pPr>
          </w:p>
        </w:tc>
        <w:tc>
          <w:tcPr>
            <w:tcW w:w="1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1,329,165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76,301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6.25</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4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68.34</w:t>
            </w:r>
          </w:p>
        </w:tc>
      </w:tr>
      <w:tr>
        <w:trPr>
          <w:trHeight w:val="27"/>
        </w:trPr>
        <w:tc>
          <w:tcPr>
            <w:tcW w:w="79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144" w:lineRule="exact"/>
        <w:rPr>
          <w:sz w:val="20"/>
          <w:szCs w:val="20"/>
          <w:color w:val="auto"/>
        </w:rPr>
      </w:pPr>
    </w:p>
    <w:p>
      <w:pPr>
        <w:ind w:right="120" w:firstLine="446"/>
        <w:spacing w:after="0" w:line="256" w:lineRule="auto"/>
        <w:rPr>
          <w:sz w:val="20"/>
          <w:szCs w:val="20"/>
          <w:color w:val="auto"/>
        </w:rPr>
      </w:pPr>
      <w:r>
        <w:rPr>
          <w:rFonts w:ascii="Times New Roman" w:cs="Times New Roman" w:eastAsia="Times New Roman" w:hAnsi="Times New Roman"/>
          <w:sz w:val="18"/>
          <w:szCs w:val="18"/>
          <w:color w:val="auto"/>
        </w:rPr>
        <w:t>We determine the appropriate risk free interest rate, expected term for employee stock-based awards, contractual term for non-employee stock-based awards, and volatility assumptions. The weighted-average expected option term for employee and non-employee stock based awards reflects the application of the simplified method, which defines the life as the average of the contractual term of the options and the weighted average vesting period for all option tranches. Estimated volatility incorporates historical volatility of our stock price as well as similar entities whose share prices are publicly available. The risk 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80" w:lineRule="exact"/>
        <w:rPr>
          <w:sz w:val="20"/>
          <w:szCs w:val="20"/>
          <w:color w:val="auto"/>
        </w:rPr>
      </w:pPr>
    </w:p>
    <w:p>
      <w:pPr>
        <w:ind w:right="900" w:firstLine="446"/>
        <w:spacing w:after="0" w:line="282" w:lineRule="auto"/>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consolidated statements of operations and comprehensive loss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r>
      <w:tr>
        <w:trPr>
          <w:trHeight w:val="195"/>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756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1,504</w:t>
            </w:r>
          </w:p>
        </w:tc>
      </w:tr>
      <w:tr>
        <w:trPr>
          <w:trHeight w:val="27"/>
        </w:trPr>
        <w:tc>
          <w:tcPr>
            <w:tcW w:w="81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2,260</w:t>
            </w: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540" w:firstLine="446"/>
        <w:spacing w:after="0" w:line="282" w:lineRule="auto"/>
        <w:rPr>
          <w:sz w:val="20"/>
          <w:szCs w:val="20"/>
          <w:color w:val="auto"/>
        </w:rPr>
      </w:pPr>
      <w:r>
        <w:rPr>
          <w:rFonts w:ascii="Times New Roman" w:cs="Times New Roman" w:eastAsia="Times New Roman" w:hAnsi="Times New Roman"/>
          <w:sz w:val="18"/>
          <w:szCs w:val="18"/>
          <w:color w:val="auto"/>
        </w:rPr>
        <w:t>At March 31, 2019, there was $44.6 million of unrecognized compensation cost related to unvested stock option awards, which is expected to be recognized over a remaining weighted average vesting period of 2.78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3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9. Australia Research and Development Tax Incentive</w:t>
      </w:r>
    </w:p>
    <w:p>
      <w:pPr>
        <w:spacing w:after="0" w:line="121"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Our Australian subsidiary, which conducts core research and development activities on our behalf, is eligible to receive a 43.5% refundable tax incentive for qualified research and development activities during fiscal 2019 and fiscal 2018. For the three months ended March 31, 2019, there were no eligible expenditures incurred in Australia, therefore no tax incentive receivable was recorded. For the three months ended March 31, 2018, we recorded a less than $0.1 million reduction to research and development expenses in the consolidated statements of operations and comprehensive loss. As of March 31, 2019 our tax incentive receivable from the Australian government related to fiscal 2018 was $0.2 million. We received no cash during the three months ended March 31, 2019 and 2018 related to the tax incentive.</w:t>
      </w:r>
    </w:p>
    <w:p>
      <w:pPr>
        <w:spacing w:after="0" w:line="292" w:lineRule="exact"/>
        <w:rPr>
          <w:sz w:val="20"/>
          <w:szCs w:val="20"/>
          <w:color w:val="auto"/>
        </w:rPr>
      </w:pPr>
    </w:p>
    <w:p>
      <w:pPr>
        <w:ind w:left="300" w:right="8600" w:hanging="292"/>
        <w:spacing w:after="0" w:line="378" w:lineRule="auto"/>
        <w:tabs>
          <w:tab w:leader="none" w:pos="28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Operating Leases</w:t>
      </w: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two non-cancellable office leases with remaining lease terms of approximately 2.5 years, each of which are classified as operating leases. Only one of our leases has remaining renewal options, which includes three options to renew for one additional year. The exercise of lease renewal options is at our sole discretion, which we currently do not anticipate exercising and as such were not recognized as part of our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balance sheet includes our ROU assets and lease liabilities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ROU assets</w:t>
            </w:r>
          </w:p>
        </w:tc>
        <w:tc>
          <w:tcPr>
            <w:tcW w:w="3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432"/>
        </w:trPr>
        <w:tc>
          <w:tcPr>
            <w:tcW w:w="6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costs are included in our cash flow statement (in thousands):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Classification on the Cash Flow</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630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1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At March 31, 2019, the future minimum annual obligations under non-cancellable operating lease commitments in excess of one year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3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63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5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3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18" w:name="page19"/>
    <w:bookmarkEnd w:id="18"/>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As previously disclosed in our 2018 Annual Report on Form 10-K, and under the previous lease accounting standard, future minimum annual obligations under non-cancellable operating lease commitments in excess of one year would have been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3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r>
      <w:tr>
        <w:trPr>
          <w:trHeight w:val="27"/>
        </w:trPr>
        <w:tc>
          <w:tcPr>
            <w:tcW w:w="40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8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63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w:t>
            </w:r>
          </w:p>
        </w:tc>
      </w:tr>
      <w:tr>
        <w:trPr>
          <w:trHeight w:val="783"/>
        </w:trPr>
        <w:tc>
          <w:tcPr>
            <w:tcW w:w="4080" w:type="dxa"/>
            <w:vAlign w:val="bottom"/>
          </w:tcPr>
          <w:p>
            <w:pPr>
              <w:spacing w:after="0"/>
              <w:rPr>
                <w:sz w:val="24"/>
                <w:szCs w:val="24"/>
                <w:color w:val="auto"/>
              </w:rPr>
            </w:pPr>
          </w:p>
        </w:tc>
        <w:tc>
          <w:tcPr>
            <w:tcW w:w="6300" w:type="dxa"/>
            <w:vAlign w:val="bottom"/>
          </w:tcPr>
          <w:p>
            <w:pPr>
              <w:jc w:val="right"/>
              <w:ind w:right="449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21E of the Securities Exchange Act of 1934, as amended (Exchange Act), and section 27A of the Securities Act of 1933, as amended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ongoing and planned clinical trials;</w:t>
      </w:r>
    </w:p>
    <w:p>
      <w:pPr>
        <w:spacing w:after="0" w:line="117" w:lineRule="exact"/>
        <w:rPr>
          <w:rFonts w:ascii="Times New Roman" w:cs="Times New Roman" w:eastAsia="Times New Roman" w:hAnsi="Times New Roman"/>
          <w:sz w:val="18"/>
          <w:szCs w:val="18"/>
          <w:color w:val="auto"/>
        </w:rPr>
      </w:pPr>
    </w:p>
    <w:p>
      <w:pPr>
        <w:ind w:left="660" w:right="460" w:hanging="314"/>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antibodies, including our lead product candidates etokimab for patients with severe allergic and atopic diseases and ANB019 for patients with generalized pustular psoriasis, or GPP, and palmoplantar pustulosis, or PPP;</w:t>
      </w:r>
    </w:p>
    <w:p>
      <w:pPr>
        <w:spacing w:after="0" w:line="53" w:lineRule="exact"/>
        <w:rPr>
          <w:rFonts w:ascii="Times New Roman" w:cs="Times New Roman" w:eastAsia="Times New Roman" w:hAnsi="Times New Roman"/>
          <w:sz w:val="18"/>
          <w:szCs w:val="18"/>
          <w:color w:val="auto"/>
        </w:rPr>
      </w:pPr>
    </w:p>
    <w:p>
      <w:pPr>
        <w:ind w:left="660" w:right="40" w:hanging="314"/>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likelihood that the clinical data generated in any study we are performing or plan to perform in a non-US jurisdiction will be subsequently accepted by the </w:t>
      </w:r>
      <w:r>
        <w:rPr>
          <w:rFonts w:ascii="Times New Roman" w:cs="Times New Roman" w:eastAsia="Times New Roman" w:hAnsi="Times New Roman"/>
          <w:sz w:val="18"/>
          <w:szCs w:val="18"/>
          <w:color w:val="231F20"/>
        </w:rPr>
        <w:t>U.S. Food and Drug Administration, or FDA</w:t>
      </w:r>
      <w:r>
        <w:rPr>
          <w:rFonts w:ascii="Times New Roman" w:cs="Times New Roman" w:eastAsia="Times New Roman" w:hAnsi="Times New Roman"/>
          <w:sz w:val="18"/>
          <w:szCs w:val="18"/>
          <w:color w:val="auto"/>
        </w:rPr>
        <w:t xml:space="preserve"> and/or by foreign regulatory authorities outside of the jurisdiction where the study was being performed;</w:t>
      </w:r>
    </w:p>
    <w:p>
      <w:pPr>
        <w:spacing w:after="0" w:line="68"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our collaborators to develop and commercialize our partnered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advantages of our product candidates and approaches versus those of our competitors;</w:t>
      </w:r>
    </w:p>
    <w:p>
      <w:pPr>
        <w:spacing w:after="0" w:line="117" w:lineRule="exact"/>
        <w:rPr>
          <w:rFonts w:ascii="Times New Roman" w:cs="Times New Roman" w:eastAsia="Times New Roman" w:hAnsi="Times New Roman"/>
          <w:sz w:val="18"/>
          <w:szCs w:val="18"/>
          <w:color w:val="auto"/>
        </w:rPr>
      </w:pPr>
    </w:p>
    <w:p>
      <w:pPr>
        <w:ind w:left="660" w:right="120" w:hanging="314"/>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3" w:lineRule="exact"/>
        <w:rPr>
          <w:rFonts w:ascii="Times New Roman" w:cs="Times New Roman" w:eastAsia="Times New Roman" w:hAnsi="Times New Roman"/>
          <w:sz w:val="18"/>
          <w:szCs w:val="18"/>
          <w:color w:val="auto"/>
        </w:rPr>
      </w:pPr>
    </w:p>
    <w:p>
      <w:pPr>
        <w:ind w:left="660" w:right="80" w:hanging="314"/>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53"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etokimab and ANB019 and our other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approved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United Kingdom, Australia and other foreign countries;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our public offerings;</w:t>
      </w:r>
    </w:p>
    <w:p>
      <w:pPr>
        <w:spacing w:after="0" w:line="117" w:lineRule="exact"/>
        <w:rPr>
          <w:rFonts w:ascii="Times New Roman" w:cs="Times New Roman" w:eastAsia="Times New Roman" w:hAnsi="Times New Roman"/>
          <w:sz w:val="18"/>
          <w:szCs w:val="18"/>
          <w:color w:val="auto"/>
        </w:rPr>
      </w:pPr>
    </w:p>
    <w:p>
      <w:pPr>
        <w:ind w:left="660" w:right="540" w:hanging="314"/>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 that are consistent with our commercial objectives; and</w:t>
      </w:r>
    </w:p>
    <w:p>
      <w:pPr>
        <w:spacing w:after="0" w:line="53"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684" w:right="259" w:bottom="1440" w:gutter="0" w:footer="0" w:header="0"/>
        </w:sectPr>
      </w:pPr>
    </w:p>
    <w:bookmarkStart w:id="20" w:name="page21"/>
    <w:bookmarkEnd w:id="20"/>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76"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80" w:lineRule="exact"/>
        <w:rPr>
          <w:sz w:val="20"/>
          <w:szCs w:val="20"/>
          <w:color w:val="auto"/>
        </w:rPr>
      </w:pPr>
    </w:p>
    <w:p>
      <w:pPr>
        <w:ind w:right="900" w:firstLine="567"/>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consolidated financial statements and related notes for the three months ended March 31, 2019, included in Part I, Item 1 of this report and with our audited consolidated financial statements and related notes thereto for the year ended December 31, 2018, included in the Company’s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 Our most advanced wholly-owned antibody programs, etokimab and ANB019, neutralize therapeutic targets that are genetically associated with severe inflammatory disorders in humans.</w:t>
      </w:r>
    </w:p>
    <w:p>
      <w:pPr>
        <w:spacing w:after="0" w:line="189"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Etokimab, our anti-IL-33 antibody drug candidate previously referred to as ANB020, inhibits the activity of the interleukin-33 cytokine, or IL-33, which we believe is broadly applicable to the treatment of atopic inflammatory disorders, such as moderate-to-severe atopic dermatitis, eosinophilic asthma, chronic rhinosinusitis with nasal polyps, or CRSwNP, and potentially other allergic conditions.</w:t>
      </w:r>
    </w:p>
    <w:p>
      <w:pPr>
        <w:spacing w:after="0" w:line="176"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We completed a Phase 2a proof-of-concept trial of etokimab in 12 moderate-to-severe adult atopic dermatitis patients in late 2017 and believe the data from this trial, presented at the 2018 American Academy of Dermatology, or AAD, and 2018 European Academy of Allergy and Clinical Immunology, </w:t>
      </w:r>
      <w:r>
        <w:rPr>
          <w:rFonts w:ascii="Times New Roman" w:cs="Times New Roman" w:eastAsia="Times New Roman" w:hAnsi="Times New Roman"/>
          <w:sz w:val="18"/>
          <w:szCs w:val="18"/>
          <w:color w:val="231F20"/>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EAACI</w:t>
      </w:r>
      <w:r>
        <w:rPr>
          <w:rFonts w:ascii="Times New Roman" w:cs="Times New Roman" w:eastAsia="Times New Roman" w:hAnsi="Times New Roman"/>
          <w:sz w:val="18"/>
          <w:szCs w:val="18"/>
          <w:color w:val="000000"/>
        </w:rPr>
        <w:t>, demonstrate proof-of-concept for etokimab in moderate-to-severe adult atopic dermatitis and suggest that etokimab may provide meaningful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differentiation in terms of patient convenience. We are conducting a Phase 2b randomized, double-blinded, placebo-controlled, multi-dose study in 300 adult patients with moderate-to-severe atopic dermatitis, also referred to as the ATLAS trial, to assess different dose levels and dosing frequencies of subcutaneously-administered etokimab for a 16-week treatment period followed by an eight-week monitoring period, with top-line data expected in the second half of 2019.</w:t>
      </w:r>
    </w:p>
    <w:p>
      <w:pPr>
        <w:spacing w:after="0" w:line="189" w:lineRule="exact"/>
        <w:rPr>
          <w:sz w:val="20"/>
          <w:szCs w:val="20"/>
          <w:color w:val="auto"/>
        </w:rPr>
      </w:pPr>
    </w:p>
    <w:p>
      <w:pPr>
        <w:ind w:right="60" w:firstLine="567"/>
        <w:spacing w:after="0" w:line="256" w:lineRule="auto"/>
        <w:rPr>
          <w:sz w:val="20"/>
          <w:szCs w:val="20"/>
          <w:color w:val="auto"/>
        </w:rPr>
      </w:pPr>
      <w:r>
        <w:rPr>
          <w:rFonts w:ascii="Times New Roman" w:cs="Times New Roman" w:eastAsia="Times New Roman" w:hAnsi="Times New Roman"/>
          <w:sz w:val="18"/>
          <w:szCs w:val="18"/>
          <w:color w:val="auto"/>
        </w:rPr>
        <w:t>We recently completed a Phase 2a randomized, placebo-controlled, single dose study of etokimab in 25 severe adult eosinophilic asthma patients. We announced top-line data from an interim analysis of this Phase 2a trial in September 2018, which we believe demonstrated proof-of-concept for etokimab in severe adult eosinophilic asthma patients with rapid and sustained Forced Expiratory Volume in One Second, or FEV1, improvement. We plan to report full data from this trial, including data subsequent to the Day 64 time point, at the 2019 EAACI. We believe this trial supports the continued development of etokimab in eosinophilic asthma and plan to initiate, during 2019, a multi-dose Phase 2b randomized, double-blinded, placebo-controlled trial. We may also conduct clinical studies in severe asthma subset(s) in the future.</w:t>
      </w:r>
    </w:p>
    <w:p>
      <w:pPr>
        <w:spacing w:after="0" w:line="188" w:lineRule="exact"/>
        <w:rPr>
          <w:sz w:val="20"/>
          <w:szCs w:val="20"/>
          <w:color w:val="auto"/>
        </w:rPr>
      </w:pPr>
    </w:p>
    <w:p>
      <w:pPr>
        <w:ind w:right="120" w:firstLine="567"/>
        <w:spacing w:after="0" w:line="266" w:lineRule="auto"/>
        <w:rPr>
          <w:sz w:val="20"/>
          <w:szCs w:val="20"/>
          <w:color w:val="auto"/>
        </w:rPr>
      </w:pPr>
      <w:r>
        <w:rPr>
          <w:rFonts w:ascii="Times New Roman" w:cs="Times New Roman" w:eastAsia="Times New Roman" w:hAnsi="Times New Roman"/>
          <w:sz w:val="18"/>
          <w:szCs w:val="18"/>
          <w:color w:val="auto"/>
        </w:rPr>
        <w:t>We are conducting a randomized, placebo-controlled Phase 2 trial of etokimab in approximately 100 adult patients with CRSwNP, also referred to as the ECLIPSE trial, which is a debilitating atopic disorder associated with elevated IL-33 pathway signaling. We anticipate top-line data from this trial to be available in the second half of 2019.</w:t>
      </w:r>
    </w:p>
    <w:p>
      <w:pPr>
        <w:spacing w:after="0" w:line="176" w:lineRule="exact"/>
        <w:rPr>
          <w:sz w:val="20"/>
          <w:szCs w:val="20"/>
          <w:color w:val="auto"/>
        </w:rPr>
      </w:pPr>
    </w:p>
    <w:p>
      <w:pPr>
        <w:ind w:right="80" w:firstLine="567"/>
        <w:spacing w:after="0" w:line="256" w:lineRule="auto"/>
        <w:rPr>
          <w:sz w:val="20"/>
          <w:szCs w:val="20"/>
          <w:color w:val="auto"/>
        </w:rPr>
      </w:pPr>
      <w:r>
        <w:rPr>
          <w:rFonts w:ascii="Times New Roman" w:cs="Times New Roman" w:eastAsia="Times New Roman" w:hAnsi="Times New Roman"/>
          <w:sz w:val="18"/>
          <w:szCs w:val="18"/>
          <w:color w:val="auto"/>
        </w:rPr>
        <w:t>ANB019 inhibits the interleukin-36 receptor, or IL-36R, for the treatment of rare inflammatory diseases including generalized pustular psoriasis, or GPP, and palmoplantar pustulosis, or PPP. We completed a Phase 1 clinical trial in healthy volunteers, which was presented at EAACI 2018, where ANB019 was well-tolerated by all subjects, no dose-limiting toxicities were observed, and no serious adverse events were reported among any subjects in the trial. We have subsequently initiated a open-label, multi-dose, single-arm Phase 2 trial of ANB019 in approximately 10 GPP patients, also referred to as the GALLOP trial, where top-line data are anticipated in mid-2019. We have also initiated a randomized, double-blind, placebo-controlled approximately 50-patient multi-dose trial of ANB019 in PPP, also referred to as the POPLAR trial, where top-line data are anticipated in the first half of 2020.</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684" w:right="259" w:bottom="1440" w:gutter="0" w:footer="0" w:header="0"/>
        </w:sectPr>
      </w:pPr>
    </w:p>
    <w:bookmarkStart w:id="22" w:name="page23"/>
    <w:bookmarkEnd w:id="22"/>
    <w:p>
      <w:pPr>
        <w:ind w:right="60" w:firstLine="567"/>
        <w:spacing w:after="0" w:line="266" w:lineRule="auto"/>
        <w:rPr>
          <w:sz w:val="20"/>
          <w:szCs w:val="20"/>
          <w:color w:val="auto"/>
        </w:rPr>
      </w:pPr>
      <w:r>
        <w:rPr>
          <w:rFonts w:ascii="Times New Roman" w:cs="Times New Roman" w:eastAsia="Times New Roman" w:hAnsi="Times New Roman"/>
          <w:sz w:val="18"/>
          <w:szCs w:val="18"/>
          <w:color w:val="auto"/>
        </w:rPr>
        <w:t>In addition to etokimab and ANB019, our wholly-owned pipeline includes novel anti-inflammatory checkpoint receptor modulator antibodies that we believe are applicable for treatment of certain autoimmune diseases where immune checkpoint receptors are insufficiently activated. We anticipate an Investigational New Drug Application, or IND, for the first such antibody in the second half of 2019.</w:t>
      </w:r>
    </w:p>
    <w:p>
      <w:pPr>
        <w:spacing w:after="0" w:line="176"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w:t>
      </w:r>
      <w:r>
        <w:rPr>
          <w:rFonts w:ascii="Times New Roman" w:cs="Times New Roman" w:eastAsia="Times New Roman" w:hAnsi="Times New Roman"/>
          <w:sz w:val="18"/>
          <w:szCs w:val="18"/>
          <w:color w:val="231F20"/>
        </w:rPr>
        <w:t>TESARO, Inc. and TESARO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Ltd., or collectively TESARO, </w:t>
      </w:r>
      <w:r>
        <w:rPr>
          <w:rFonts w:ascii="Times New Roman" w:cs="Times New Roman" w:eastAsia="Times New Roman" w:hAnsi="Times New Roman"/>
          <w:sz w:val="18"/>
          <w:szCs w:val="18"/>
          <w:color w:val="000000"/>
        </w:rPr>
        <w:t>now a part of GlaxoSmithKline, and an inflammation-focused collaboration with Celgene Corporation, or Celgene,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discussed in Part I—Note 4 above.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189230</wp:posOffset>
            </wp:positionV>
            <wp:extent cx="5866130" cy="3112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6130"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March 31, 2019, we have received $81.6 million in cash in non-dilutive funding from our collaborators.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680" w:firstLine="44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54" w:lineRule="exact"/>
        <w:rPr>
          <w:sz w:val="20"/>
          <w:szCs w:val="20"/>
          <w:color w:val="auto"/>
        </w:rPr>
      </w:pPr>
    </w:p>
    <w:p>
      <w:pPr>
        <w:ind w:left="880" w:right="10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0" w:right="239" w:bottom="1440" w:gutter="0" w:footer="0" w:header="0"/>
        </w:sectPr>
      </w:pPr>
    </w:p>
    <w:bookmarkStart w:id="23" w:name="page24"/>
    <w:bookmarkEnd w:id="23"/>
    <w:p>
      <w:pPr>
        <w:ind w:left="880" w:right="74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225"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54"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76"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and pharmacology studies, drug product manufacturing and clinical trials.</w:t>
      </w:r>
    </w:p>
    <w:p>
      <w:pPr>
        <w:spacing w:after="0" w:line="72" w:lineRule="exact"/>
        <w:rPr>
          <w:sz w:val="20"/>
          <w:szCs w:val="20"/>
          <w:color w:val="auto"/>
        </w:rPr>
      </w:pPr>
    </w:p>
    <w:p>
      <w:pPr>
        <w:ind w:right="440" w:firstLine="446"/>
        <w:spacing w:after="0" w:line="282" w:lineRule="auto"/>
        <w:rPr>
          <w:sz w:val="20"/>
          <w:szCs w:val="20"/>
          <w:color w:val="auto"/>
        </w:rPr>
      </w:pPr>
      <w:r>
        <w:rPr>
          <w:rFonts w:ascii="Times New Roman" w:cs="Times New Roman" w:eastAsia="Times New Roman" w:hAnsi="Times New Roman"/>
          <w:sz w:val="18"/>
          <w:szCs w:val="18"/>
          <w:color w:val="auto"/>
        </w:rPr>
        <w:t>We have completed Phase 1 and 2a trials for etokimab and Phase 1 trials for ANB019 and have ongoing Phase 2 and 2b clinical trials as well</w:t>
      </w:r>
      <w:r>
        <w:rPr>
          <w:rFonts w:ascii="Times New Roman" w:cs="Times New Roman" w:eastAsia="Times New Roman" w:hAnsi="Times New Roman"/>
          <w:sz w:val="18"/>
          <w:szCs w:val="18"/>
          <w:color w:val="231F20"/>
        </w:rPr>
        <w:t>. W</w:t>
      </w:r>
      <w:r>
        <w:rPr>
          <w:rFonts w:ascii="Times New Roman" w:cs="Times New Roman" w:eastAsia="Times New Roman" w:hAnsi="Times New Roman"/>
          <w:sz w:val="18"/>
          <w:szCs w:val="18"/>
          <w:color w:val="auto"/>
        </w:rPr>
        <w:t>e expect our research and development expenses to be higher for the foreseeable future as we continue to advance our product candidates.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Interest expense consists of floating interest payments and amortization of discounts on our outstanding notes payable relating to our Loan and Security Agreement with Oxford Finance LLC and Silicon Valley Bank, as amended, which we refer to as the Loan Agreement.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February 28, 2019, other than to leases upon adoption of ASC Topic 842, as discussed below.</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340" w:firstLine="554"/>
        <w:spacing w:after="0" w:line="282" w:lineRule="auto"/>
        <w:rPr>
          <w:sz w:val="20"/>
          <w:szCs w:val="20"/>
          <w:color w:val="auto"/>
        </w:rPr>
      </w:pPr>
      <w:r>
        <w:rPr>
          <w:rFonts w:ascii="Times New Roman" w:cs="Times New Roman" w:eastAsia="Times New Roman" w:hAnsi="Times New Roman"/>
          <w:sz w:val="18"/>
          <w:szCs w:val="18"/>
          <w:color w:val="auto"/>
        </w:rPr>
        <w:t>Prior to January 1, 2019, we recognized our leases in accordance with ASC 840, Leases, and all current leases were classified as operating leases. Rent expense was recognized on a straight-line basis over the terms of the leases and,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72" w:right="279" w:bottom="1440" w:gutter="0" w:footer="0" w:header="0"/>
        </w:sectPr>
      </w:pPr>
    </w:p>
    <w:bookmarkStart w:id="24" w:name="page25"/>
    <w:bookmarkEnd w:id="24"/>
    <w:p>
      <w:pPr>
        <w:ind w:right="40"/>
        <w:spacing w:after="0" w:line="266" w:lineRule="auto"/>
        <w:rPr>
          <w:sz w:val="20"/>
          <w:szCs w:val="20"/>
          <w:color w:val="auto"/>
        </w:rPr>
      </w:pPr>
      <w:r>
        <w:rPr>
          <w:rFonts w:ascii="Times New Roman" w:cs="Times New Roman" w:eastAsia="Times New Roman" w:hAnsi="Times New Roman"/>
          <w:sz w:val="18"/>
          <w:szCs w:val="18"/>
          <w:color w:val="auto"/>
        </w:rPr>
        <w:t>accordingly, we recorded the cumulative difference between cash rent payments and the recognition of rent expense as a deferred rent liability. When an operating lease included lease incentives, such as a rent abatements or leasehold improvement allowances, or required fixed escalations of the minimum lease payments, the aggregate rental expense, including such incentives or increases, was recognized on a straight-line basis over the term of the lease.</w:t>
      </w:r>
    </w:p>
    <w:p>
      <w:pPr>
        <w:spacing w:after="0" w:line="176" w:lineRule="exact"/>
        <w:rPr>
          <w:sz w:val="20"/>
          <w:szCs w:val="20"/>
          <w:color w:val="auto"/>
        </w:rPr>
      </w:pPr>
    </w:p>
    <w:p>
      <w:pPr>
        <w:ind w:right="40" w:firstLine="554"/>
        <w:spacing w:after="0" w:line="255" w:lineRule="auto"/>
        <w:rPr>
          <w:sz w:val="20"/>
          <w:szCs w:val="20"/>
          <w:color w:val="auto"/>
        </w:rPr>
      </w:pPr>
      <w:r>
        <w:rPr>
          <w:rFonts w:ascii="Times New Roman" w:cs="Times New Roman" w:eastAsia="Times New Roman" w:hAnsi="Times New Roman"/>
          <w:sz w:val="18"/>
          <w:szCs w:val="18"/>
          <w:color w:val="auto"/>
        </w:rPr>
        <w:t>Effective January 1, 2019, we adopted ASU 2016-02, ASC 842, Leases, under which all outstanding leases continued to be classified as operating leases.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right-of-use asset “ROU”. Operating lease ROU assets and operating lease liabilities are recognized based on the present value of the future minimum lease payments over the lease term at commencement date. As our leases do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the Three Months Ended March 31, 2019 and 2018</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We recognized no collaboration revenue for the three months ended March 31, 2019 and 2018, respectively. We expect that any collaboration revenue we generate will continue to fluctuate from period to period as a result of the timing and amount of milestones from our existing collaborations.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$20.6 million during the three months ended March 31, 2019 compared to $11.8 million during the three months ended March 31, 2018 for an increase of $8.8 million, primarily due to a $4.9 million increase in clinical expenses, a $1.5 million increase in outside services for preclinical and manufacturing expenses, and a $1.5 million increase in internal costs, including salaries and related expenses such as stock compensation expense.</w:t>
      </w:r>
    </w:p>
    <w:p>
      <w:pPr>
        <w:spacing w:after="0" w:line="180"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do not track fully burdened research and development costs separately for each of our drug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5"/>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External Costs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Etokimab</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7,515</w:t>
            </w:r>
          </w:p>
        </w:tc>
        <w:tc>
          <w:tcPr>
            <w:tcW w:w="1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4,462</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ANB019</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5,037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96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3,430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1,830</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External Costs</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15,982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7,356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 Costs</w:t>
            </w:r>
          </w:p>
        </w:tc>
        <w:tc>
          <w:tcPr>
            <w:tcW w:w="96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4,649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1,465</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20,631</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8,821</w:t>
            </w: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72" w:right="25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80" w:firstLine="567"/>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$4.1 million during the three months ended March 31, 2019 compared to $3.9 million during the three months ended March 31, 2018 for an increase of $0.2 million, primarily due to a $0.5 million increase in personnel costs including stock compensation expense, partially offset by a $0.3 million decrease in external legal fees.</w:t>
      </w:r>
    </w:p>
    <w:p>
      <w:pPr>
        <w:spacing w:after="0" w:line="68" w:lineRule="exact"/>
        <w:rPr>
          <w:sz w:val="20"/>
          <w:szCs w:val="20"/>
          <w:color w:val="auto"/>
        </w:rPr>
      </w:pPr>
    </w:p>
    <w:p>
      <w:pPr>
        <w:ind w:right="100" w:firstLine="446"/>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0" w:firstLine="446"/>
        <w:spacing w:after="0" w:line="266" w:lineRule="auto"/>
        <w:rPr>
          <w:sz w:val="20"/>
          <w:szCs w:val="20"/>
          <w:color w:val="auto"/>
        </w:rPr>
      </w:pPr>
      <w:r>
        <w:rPr>
          <w:rFonts w:ascii="Times New Roman" w:cs="Times New Roman" w:eastAsia="Times New Roman" w:hAnsi="Times New Roman"/>
          <w:sz w:val="18"/>
          <w:szCs w:val="18"/>
          <w:color w:val="auto"/>
        </w:rPr>
        <w:t>Interest expense was $0.3 million and $0.5 million during the three months ended March 31, 2019 and 2018, respectively, and represents effective interest of approximately 13.38% as of March 31, 2019, on an outstanding principal balance of $6.3 million compared to an effective interest of 12.78% as of March 31, 2018 on an outstanding principal balance of $13.7 million.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20" w:firstLine="446"/>
        <w:spacing w:after="0" w:line="266" w:lineRule="auto"/>
        <w:rPr>
          <w:sz w:val="20"/>
          <w:szCs w:val="20"/>
          <w:color w:val="auto"/>
        </w:rPr>
      </w:pPr>
      <w:r>
        <w:rPr>
          <w:rFonts w:ascii="Times New Roman" w:cs="Times New Roman" w:eastAsia="Times New Roman" w:hAnsi="Times New Roman"/>
          <w:sz w:val="18"/>
          <w:szCs w:val="18"/>
          <w:color w:val="auto"/>
        </w:rPr>
        <w:t>Interest income was $3.0 million and $1.2 million during the three months ended March 31, 2019 and 2018, respectively, which primarily related to our short-term and long-term investments, the balance of which increased as a result of the investment of proceeds from our follow-on offering in September 2018.</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Other income (expense), net was a gain (loss) of less than $0.1 million during each of the three months ended March 31, 2019 and 2018, and primarily related to foreign exchange transactions through our Australian subsidiary and with our foreign CROs.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60" w:firstLine="446"/>
        <w:spacing w:after="0" w:line="266" w:lineRule="auto"/>
        <w:rPr>
          <w:sz w:val="20"/>
          <w:szCs w:val="20"/>
          <w:color w:val="auto"/>
        </w:rPr>
      </w:pPr>
      <w:r>
        <w:rPr>
          <w:rFonts w:ascii="Times New Roman" w:cs="Times New Roman" w:eastAsia="Times New Roman" w:hAnsi="Times New Roman"/>
          <w:sz w:val="18"/>
          <w:szCs w:val="18"/>
          <w:color w:val="auto"/>
        </w:rPr>
        <w:t>From our inception through March 31, 2019, we have received an aggregate of $718.1 million to fund our operations which included $617.4 million from the sale of equity securities, $81.6 million from our collaboration agreements and $19.1 million from venture debt. As of March 31, 2019, we had $484.2 million in cash, cash equivalents and investments.</w:t>
      </w:r>
    </w:p>
    <w:p>
      <w:pPr>
        <w:spacing w:after="0" w:line="68"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76" w:lineRule="exact"/>
        <w:rPr>
          <w:sz w:val="20"/>
          <w:szCs w:val="20"/>
          <w:color w:val="auto"/>
        </w:rPr>
      </w:pPr>
    </w:p>
    <w:p>
      <w:pPr>
        <w:ind w:right="120" w:firstLine="446"/>
        <w:spacing w:after="0" w:line="266" w:lineRule="auto"/>
        <w:rPr>
          <w:sz w:val="20"/>
          <w:szCs w:val="20"/>
          <w:color w:val="auto"/>
        </w:rPr>
      </w:pPr>
      <w:r>
        <w:rPr>
          <w:rFonts w:ascii="Times New Roman" w:cs="Times New Roman" w:eastAsia="Times New Roman" w:hAnsi="Times New Roman"/>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68" w:lineRule="exact"/>
        <w:rPr>
          <w:sz w:val="20"/>
          <w:szCs w:val="20"/>
          <w:color w:val="auto"/>
        </w:rPr>
      </w:pPr>
    </w:p>
    <w:p>
      <w:pPr>
        <w:ind w:right="40" w:firstLine="446"/>
        <w:spacing w:after="0" w:line="266" w:lineRule="auto"/>
        <w:rPr>
          <w:sz w:val="20"/>
          <w:szCs w:val="20"/>
          <w:color w:val="auto"/>
        </w:rPr>
      </w:pPr>
      <w:r>
        <w:rPr>
          <w:rFonts w:ascii="Times New Roman" w:cs="Times New Roman" w:eastAsia="Times New Roman" w:hAnsi="Times New Roman"/>
          <w:sz w:val="18"/>
          <w:szCs w:val="18"/>
          <w:color w:val="auto"/>
        </w:rPr>
        <w:t>Under our original Loan Agreement, as defined in Part I Item 1- Note 5. Notes Payable, we could borrow up to $15.0 million in three separate draws of $5.0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2016, we further amended the Loan Agreement to (i) allow for the Term B Loans and Term C Loans to be drawn on December 30, 2016,</w:t>
      </w:r>
    </w:p>
    <w:p>
      <w:pPr>
        <w:spacing w:after="0" w:line="27" w:lineRule="exact"/>
        <w:rPr>
          <w:sz w:val="20"/>
          <w:szCs w:val="20"/>
          <w:color w:val="auto"/>
        </w:rPr>
      </w:pPr>
    </w:p>
    <w:p>
      <w:pPr>
        <w:ind w:firstLine="8"/>
        <w:spacing w:after="0" w:line="254"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principal repayments of all Term Loans until February 1, 2018 and (iii) amend the interest rate for each Term Loan. The Term B Loans and the Term C Loans were drawn on December 30, 2016; principal repayments began in February 2018. As of March 31, 2019, there are 10 equal monthly principal and interest payments remaining on the Term Loans, with final maturity in January 2020. The Term Loans bear interest equal to the greater of 3-month U.S. LIBOR plus 6.37% or 7.3%. The interest rate was 8.99% as of March 31, 2019.</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684"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240" w:firstLine="446"/>
        <w:spacing w:after="0" w:line="258"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76"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Cash, cash equivalents and investments totaled $484.2 million as of March 31, 2019, compared to $500.2 million as of December 31, 2018. We believe that our existing cash, cash equivalents and investments will fund our current operating plan at least through the end of 2020.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02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86"/>
        </w:trPr>
        <w:tc>
          <w:tcPr>
            <w:tcW w:w="7160" w:type="dxa"/>
            <w:vAlign w:val="bottom"/>
            <w:tcBorders>
              <w:bottom w:val="single" w:sz="8" w:color="CFF0FC"/>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71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9,657</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2019 of $16.1 million was primarily due to our net loss of $22.1 million, adjusted for addbacks for non-cash expenses of $2.1 million which includes stock-based compensation and net increases in working capital of $3.9 million. Net cash used in operating activities during the three months ended March 31, 2018 of $12.5 million was primarily due to our net loss of $15.1 million, adjusted for non-cash expenses of $2.4 million which includes stock-based compensation.</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2019 and 2018 primarily relates to the maturities of our investments, which was used to acquired additional debt securities and fund our operating expenses.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firstLine="446"/>
        <w:spacing w:after="0" w:line="261" w:lineRule="auto"/>
        <w:rPr>
          <w:sz w:val="20"/>
          <w:szCs w:val="20"/>
          <w:color w:val="auto"/>
        </w:rPr>
      </w:pPr>
      <w:r>
        <w:rPr>
          <w:rFonts w:ascii="Times New Roman" w:cs="Times New Roman" w:eastAsia="Times New Roman" w:hAnsi="Times New Roman"/>
          <w:sz w:val="18"/>
          <w:szCs w:val="18"/>
          <w:color w:val="auto"/>
        </w:rPr>
        <w:t>The net cash used in financing activities during the three months ended March 31, 2019 of $1.3 million primarily related to principal payments of $1.9 million made on our Term Loans, offset by $0.6 million in proceeds from the issuance of common stock upon the exercise of stock options. The cash used in financing activities during the three months ended March 31, 2018 of $1.4 million was primarily related to principal payments of $1.3 million made on our Term Loans.</w:t>
      </w:r>
    </w:p>
    <w:p>
      <w:pPr>
        <w:spacing w:after="0" w:line="284" w:lineRule="exact"/>
        <w:rPr>
          <w:sz w:val="20"/>
          <w:szCs w:val="20"/>
          <w:color w:val="auto"/>
        </w:rPr>
      </w:pPr>
    </w:p>
    <w:p>
      <w:pPr>
        <w:jc w:val="center"/>
        <w:ind w:right="954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7" w:lineRule="exact"/>
        <w:rPr>
          <w:sz w:val="20"/>
          <w:szCs w:val="20"/>
          <w:color w:val="auto"/>
        </w:rPr>
      </w:pPr>
    </w:p>
    <w:p>
      <w:pPr>
        <w:jc w:val="center"/>
        <w:ind w:right="95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have two non-cancellable office leases with remaining lease terms of approximately 2.5 years, each of which are classified as operating leases. Only one of our leases has remaining renewal options, which includes three options to renew for one additional year. The exercise of lease renewal options is at our sole discretion, which we currently do not anticipate exercising and as such were not recognized as part of our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8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at effective date of adoption in determining the present value of future payments. The weighted-average discount rate used was 8.59%.</w:t>
      </w:r>
    </w:p>
    <w:p>
      <w:pPr>
        <w:spacing w:after="0" w:line="22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At March 31, 2019, the future minimum annual obligations under non-cancellable operating lease commitments are $0.7 million, $1.0 million, and $0.7 million, for the remainder of fiscal years ending 2019, 2020, and 2021,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29"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88" w:lineRule="exact"/>
        <w:rPr>
          <w:sz w:val="20"/>
          <w:szCs w:val="20"/>
          <w:color w:val="auto"/>
        </w:rPr>
      </w:pPr>
    </w:p>
    <w:p>
      <w:pPr>
        <w:jc w:val="both"/>
        <w:ind w:right="280" w:firstLine="567"/>
        <w:spacing w:after="0" w:line="261" w:lineRule="auto"/>
        <w:rPr>
          <w:sz w:val="20"/>
          <w:szCs w:val="20"/>
          <w:color w:val="auto"/>
        </w:rPr>
      </w:pPr>
      <w:r>
        <w:rPr>
          <w:rFonts w:ascii="Times New Roman" w:cs="Times New Roman" w:eastAsia="Times New Roman" w:hAnsi="Times New Roman"/>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446"/>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72"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As of March 31, 2019, there have been no material changes surrounding our market risk, including interest rate risk, inflation risk, and foreign currency exchange risk from the discussion provided in Item 7A. Quantitative and Qualitative Disclosures About Market Risk of our Fiscal 2018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March 31, 2019,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85" w:lineRule="exact"/>
        <w:rPr>
          <w:sz w:val="20"/>
          <w:szCs w:val="20"/>
          <w:color w:val="auto"/>
        </w:rPr>
      </w:pPr>
    </w:p>
    <w:p>
      <w:pPr>
        <w:ind w:right="540" w:firstLine="446"/>
        <w:spacing w:after="0" w:line="282"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13a-15(f) and 15d-15(f) of the Exchange Act that occurred during the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360" w:right="2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and Development of Our Product Candidates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Our product candidates are in early stages of development and may fail in development or suffer delays that adversely affect their commercial viability. Results from our initial Phase 2a clinical trials of etokimab may not be representative of the results we will experience in later Phase 2b and registration trials. If we or our collaborators are unable to complete development of or commercialize our product candidates or experience significant delays in doing so, our business will be materially harmed.</w:t>
      </w:r>
    </w:p>
    <w:p>
      <w:pPr>
        <w:spacing w:after="0" w:line="181" w:lineRule="exact"/>
        <w:rPr>
          <w:sz w:val="20"/>
          <w:szCs w:val="20"/>
          <w:color w:val="auto"/>
        </w:rPr>
      </w:pPr>
    </w:p>
    <w:p>
      <w:pPr>
        <w:ind w:right="80" w:firstLine="567"/>
        <w:spacing w:after="0" w:line="266" w:lineRule="auto"/>
        <w:rPr>
          <w:sz w:val="20"/>
          <w:szCs w:val="20"/>
          <w:color w:val="auto"/>
        </w:rPr>
      </w:pPr>
      <w:r>
        <w:rPr>
          <w:rFonts w:ascii="Times New Roman" w:cs="Times New Roman" w:eastAsia="Times New Roman" w:hAnsi="Times New Roman"/>
          <w:sz w:val="18"/>
          <w:szCs w:val="18"/>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76" w:lineRule="exact"/>
        <w:rPr>
          <w:sz w:val="20"/>
          <w:szCs w:val="20"/>
          <w:color w:val="auto"/>
        </w:rPr>
      </w:pPr>
    </w:p>
    <w:p>
      <w:pPr>
        <w:ind w:right="140" w:firstLine="567"/>
        <w:spacing w:after="0" w:line="277" w:lineRule="auto"/>
        <w:rPr>
          <w:sz w:val="20"/>
          <w:szCs w:val="20"/>
          <w:color w:val="auto"/>
        </w:rPr>
      </w:pPr>
      <w:r>
        <w:rPr>
          <w:rFonts w:ascii="Times New Roman" w:cs="Times New Roman" w:eastAsia="Times New Roman" w:hAnsi="Times New Roman"/>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trials of etokimab may not be representative of the results we will experience in later Phase 2b and registration trials. If our later clinical trials are unsuccessful, etokimab may be delayed in development or fail entirely, which would have a material adverse impact on our business.</w:t>
      </w:r>
    </w:p>
    <w:p>
      <w:pPr>
        <w:spacing w:after="0" w:line="168"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We have elected to structure our initial Phase 2a clinical trials with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atopic dermatitis and severe adult eosinophilic asthma suggest a reasonable basis for continuing development of etokimab in these indications through larger Phase 2b clinical trials. However, our Phase 2a trials involve relatively small patient populations, for example 12 patients in our Phase 2a trial in atopic dermatitis and 25 patients in our Phase 2a trial in severe adult eosinophilic asthma. The results we have observed in these smaller patient populations may not be predictive of results we will experience in later studies. Furthermore, the average results reported from our Phase 2a trials (for example, the average change in FEV1 reported in connection with our Phase 2a trial in severe adult eosinophilic asthma) are subject to significant variability due to the small number of patients enrolled, and are not expected to be, and are unlikely to be, statistically significant. In addition, we have elected to structure our initial Phase 2a clinical trials as single dose studies, which may not be representative of the efficacy and/or safety observed in subsequent multi-dose Phase 2, Phase 2b or Phase 3 clinical trials.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360" w:right="259" w:bottom="1440" w:gutter="0" w:footer="0" w:header="0"/>
        </w:sectPr>
      </w:pPr>
    </w:p>
    <w:bookmarkStart w:id="30" w:name="page31"/>
    <w:bookmarkEnd w:id="30"/>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later studies may also include different design elements that could contribute to us experiencing different results than we have observed in our Phase 2a trials. One such design element may be differences in efficacy endpoints between Phase 2a trials and subsequent Phase 2, Phase 2b or Phase 3 clinical trials. For instance, while our single dose Phase 2a clinical trial of etokimab demonstrated efficacy in terms of FEV1 improvement versus placebo, we did not structure this trial to assess efficacy in terms of exacerbation reduction, which is the endpoint historically used by the FDA for drug approval in asthma, and hence our future Phase 2, Phase 2b or Phase 3 trials in asthma may not demonstrate efficacy in exacerbation reduction leading to potential delays or failure to obtain approval of etokimab in asthma. In addition, the initial results we have reported from our completed Phase 2a clinical trials have included interim analyses and top-line results at early timepoints, which may not accurately predict the final results of this clinical trial or the results of future clinical trials. For instance, our single dose Phase 2a trial of etokimab in atopic dermatitis demonstrated certain levels of EASI-50 response upon interim analysis at Day 29, but this EASI-50 response level was not maintained at the end of this clinical trial at Day 140. In another example, interim analysis data from our Phase 2a study of severe adult eosinophilic asthma demonstrated FEV1 improvement over placebo at Day 64, but may not demonstrate the same FEV1 efficacy upon study completion at the Day 127 timepoint.</w:t>
      </w:r>
    </w:p>
    <w:p>
      <w:pPr>
        <w:spacing w:after="0" w:line="193"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If our later clinical trials of etokimab are unsuccessful, whether for one of the reasons mentioned above or otherwise, etokimab may be delayed in development or fail entirely, which would have a material adverse impact on our business.</w:t>
      </w:r>
    </w:p>
    <w:p>
      <w:pPr>
        <w:spacing w:after="0" w:line="162"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success of our current product candidates, and any other product candidates we may develop in the future, will depend on many factors, including the following:</w:t>
      </w:r>
    </w:p>
    <w:p>
      <w:pPr>
        <w:spacing w:after="0" w:line="54" w:lineRule="exact"/>
        <w:rPr>
          <w:sz w:val="20"/>
          <w:szCs w:val="20"/>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our planned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 and their components;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third parties;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260" w:firstLine="567"/>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62" w:lineRule="exact"/>
        <w:rPr>
          <w:sz w:val="20"/>
          <w:szCs w:val="20"/>
          <w:color w:val="auto"/>
        </w:rPr>
      </w:pPr>
    </w:p>
    <w:p>
      <w:pPr>
        <w:ind w:firstLine="567"/>
        <w:spacing w:after="0" w:line="238" w:lineRule="auto"/>
        <w:rPr>
          <w:sz w:val="20"/>
          <w:szCs w:val="20"/>
          <w:color w:val="auto"/>
        </w:rPr>
      </w:pPr>
      <w:r>
        <w:rPr>
          <w:rFonts w:ascii="Times New Roman" w:cs="Times New Roman" w:eastAsia="Times New Roman" w:hAnsi="Times New Roman"/>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580" w:right="259" w:bottom="1440" w:gutter="0" w:footer="0" w:header="0"/>
        </w:sectPr>
      </w:pPr>
    </w:p>
    <w:bookmarkStart w:id="31" w:name="page32"/>
    <w:bookmarkEnd w:id="31"/>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65" w:lineRule="exact"/>
        <w:rPr>
          <w:sz w:val="20"/>
          <w:szCs w:val="20"/>
          <w:color w:val="auto"/>
        </w:rPr>
      </w:pPr>
    </w:p>
    <w:p>
      <w:pPr>
        <w:ind w:right="80" w:firstLine="567"/>
        <w:spacing w:after="0" w:line="242"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5" w:lineRule="exact"/>
        <w:rPr>
          <w:sz w:val="20"/>
          <w:szCs w:val="20"/>
          <w:color w:val="auto"/>
        </w:rPr>
      </w:pPr>
    </w:p>
    <w:p>
      <w:pPr>
        <w:ind w:firstLine="567"/>
        <w:spacing w:after="0" w:line="238" w:lineRule="auto"/>
        <w:rPr>
          <w:sz w:val="20"/>
          <w:szCs w:val="20"/>
          <w:color w:val="auto"/>
        </w:rPr>
      </w:pPr>
      <w:r>
        <w:rPr>
          <w:rFonts w:ascii="Times New Roman" w:cs="Times New Roman" w:eastAsia="Times New Roman" w:hAnsi="Times New Roman"/>
          <w:sz w:val="18"/>
          <w:szCs w:val="18"/>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early Phase 1 and Phase 2a clinical trials for etokimab, and subsequent patient trials with etokimab are currently ongoing. We also have only recently completed a Phase 1 clinical trial with ANB019.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92"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Some patients in our clinical trials have experienced adverse events, including serious adverse events. The most frequent treatment-emergent adverse events reported were mild dizziness or vomiting in patients subsequent to placebo dosing, and mild headache, strep throat, upper respiratory tract infection, or in one case, severe neutropenia which was acute and not persistent in patients post-etokimab administration. Subjects in our ongoing and planned 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91" w:lineRule="exact"/>
        <w:rPr>
          <w:sz w:val="20"/>
          <w:szCs w:val="20"/>
          <w:color w:val="auto"/>
        </w:rPr>
      </w:pPr>
    </w:p>
    <w:p>
      <w:pPr>
        <w:ind w:right="40" w:firstLine="567"/>
        <w:spacing w:after="0" w:line="239"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8" w:lineRule="exact"/>
        <w:rPr>
          <w:sz w:val="20"/>
          <w:szCs w:val="20"/>
          <w:color w:val="auto"/>
        </w:rPr>
      </w:pPr>
    </w:p>
    <w:p>
      <w:pPr>
        <w:ind w:right="180" w:firstLine="567"/>
        <w:spacing w:after="0" w:line="261" w:lineRule="auto"/>
        <w:rPr>
          <w:sz w:val="20"/>
          <w:szCs w:val="20"/>
          <w:color w:val="auto"/>
        </w:rPr>
      </w:pPr>
      <w:r>
        <w:rPr>
          <w:rFonts w:ascii="Times New Roman" w:cs="Times New Roman" w:eastAsia="Times New Roman" w:hAnsi="Times New Roman"/>
          <w:sz w:val="18"/>
          <w:szCs w:val="18"/>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684" w:right="259" w:bottom="1440" w:gutter="0" w:footer="0" w:header="0"/>
        </w:sectPr>
      </w:pPr>
    </w:p>
    <w:bookmarkStart w:id="32" w:name="page33"/>
    <w:bookmarkEnd w:id="32"/>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both etokimab and ANB019 in the United States and United Kingdom, respectively,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Therapeutic Goods Administration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9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Even if we or our collaborators initiate and complete clinical trials for our product candidates, these product candidates will not be permitted to be marketed in the United States until approval of a Biologics License Application, or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Australia, the United States and United Kingdom,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Preclinical studies and clinical trials are expensive, difficult to design and implement, can take many years to complete and are uncertain as to outcome.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on average, take 10 to 15 years to be developed from the time they are discovered to the time they are approved and available for treating patients.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start or end of a clinical trial is often delayed or halted for many reasons, including:</w:t>
      </w:r>
    </w:p>
    <w:p>
      <w:pPr>
        <w:spacing w:after="0" w:line="99" w:lineRule="exact"/>
        <w:rPr>
          <w:sz w:val="20"/>
          <w:szCs w:val="20"/>
          <w:color w:val="auto"/>
        </w:rPr>
      </w:pPr>
    </w:p>
    <w:p>
      <w:pPr>
        <w:ind w:left="880" w:right="560" w:hanging="440"/>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for safety reasons or following an inspection of clinical trial operations or site by the FDA or other regulatory authorities;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quality of product candidates or other materials necessary to conduct clinical trials;</w:t>
      </w:r>
    </w:p>
    <w:p>
      <w:pPr>
        <w:spacing w:after="0" w:line="117" w:lineRule="exact"/>
        <w:rPr>
          <w:rFonts w:ascii="Times New Roman" w:cs="Times New Roman" w:eastAsia="Times New Roman" w:hAnsi="Times New Roman"/>
          <w:sz w:val="18"/>
          <w:szCs w:val="18"/>
          <w:color w:val="auto"/>
        </w:rPr>
      </w:pPr>
    </w:p>
    <w:p>
      <w:pPr>
        <w:ind w:left="880" w:right="60" w:hanging="440"/>
        <w:spacing w:after="0" w:line="26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6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electing to terminate their participation in one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medical investigators to follow clinical trial protocols;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clinical trial administrative actions;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patient enrollment;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standards of care;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prevalence of use of a comparative drug or required prior therapy; or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684" w:right="259" w:bottom="1440" w:gutter="0" w:footer="0" w:header="0"/>
        </w:sectPr>
      </w:pPr>
    </w:p>
    <w:bookmarkStart w:id="33" w:name="page34"/>
    <w:bookmarkEnd w:id="33"/>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outcomes or financial constraints.</w:t>
      </w:r>
    </w:p>
    <w:p>
      <w:pPr>
        <w:spacing w:after="0" w:line="225"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 obtain approval for indications or patient populations that are not as broad as intended or desired;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our efforts to use our technology platform to expand our pipeline of product candidates and develop marketable products.</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6" w:lineRule="exact"/>
        <w:rPr>
          <w:sz w:val="20"/>
          <w:szCs w:val="20"/>
          <w:color w:val="auto"/>
        </w:rPr>
      </w:pPr>
    </w:p>
    <w:p>
      <w:pPr>
        <w:ind w:right="40" w:firstLine="446"/>
        <w:spacing w:after="0" w:line="239" w:lineRule="auto"/>
        <w:rPr>
          <w:sz w:val="20"/>
          <w:szCs w:val="20"/>
          <w:color w:val="auto"/>
        </w:rPr>
      </w:pPr>
      <w:r>
        <w:rPr>
          <w:rFonts w:ascii="Times New Roman" w:cs="Times New Roman" w:eastAsia="Times New Roman" w:hAnsi="Times New Roman"/>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2" w:lineRule="exact"/>
        <w:rPr>
          <w:sz w:val="20"/>
          <w:szCs w:val="20"/>
          <w:color w:val="auto"/>
        </w:rPr>
      </w:pPr>
    </w:p>
    <w:p>
      <w:pPr>
        <w:ind w:right="1060"/>
        <w:spacing w:after="0" w:line="271" w:lineRule="auto"/>
        <w:rPr>
          <w:sz w:val="20"/>
          <w:szCs w:val="20"/>
          <w:color w:val="auto"/>
        </w:rPr>
      </w:pPr>
      <w:r>
        <w:rPr>
          <w:rFonts w:ascii="Times New Roman" w:cs="Times New Roman" w:eastAsia="Times New Roman" w:hAnsi="Times New Roman"/>
          <w:sz w:val="18"/>
          <w:szCs w:val="18"/>
          <w:b w:val="1"/>
          <w:bCs w:val="1"/>
          <w:color w:val="auto"/>
        </w:rPr>
        <w:t>We have recently commenced clinical development of etokimab and ANB019, and have no other history of conducting clinical trials or commercializing biotechnology products, which may make it difficult to evaluate the prospects for our future viability.</w:t>
      </w:r>
    </w:p>
    <w:p>
      <w:pPr>
        <w:spacing w:after="0" w:line="50" w:lineRule="exact"/>
        <w:rPr>
          <w:sz w:val="20"/>
          <w:szCs w:val="20"/>
          <w:color w:val="auto"/>
        </w:rPr>
      </w:pPr>
    </w:p>
    <w:p>
      <w:pPr>
        <w:ind w:right="20" w:firstLine="446"/>
        <w:spacing w:after="0" w:line="245" w:lineRule="auto"/>
        <w:rPr>
          <w:sz w:val="20"/>
          <w:szCs w:val="20"/>
          <w:color w:val="auto"/>
        </w:rPr>
      </w:pPr>
      <w:r>
        <w:rPr>
          <w:rFonts w:ascii="Times New Roman" w:cs="Times New Roman" w:eastAsia="Times New Roman" w:hAnsi="Times New Roman"/>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472" w:right="299" w:bottom="1440" w:gutter="0" w:footer="0" w:header="0"/>
        </w:sectPr>
      </w:pPr>
    </w:p>
    <w:bookmarkStart w:id="34" w:name="page35"/>
    <w:bookmarkEnd w:id="34"/>
    <w:p>
      <w:pPr>
        <w:ind w:right="480"/>
        <w:spacing w:after="0" w:line="245" w:lineRule="auto"/>
        <w:rPr>
          <w:sz w:val="20"/>
          <w:szCs w:val="20"/>
          <w:color w:val="auto"/>
        </w:rPr>
      </w:pPr>
      <w:r>
        <w:rPr>
          <w:rFonts w:ascii="Times New Roman" w:cs="Times New Roman" w:eastAsia="Times New Roman" w:hAnsi="Times New Roman"/>
          <w:sz w:val="18"/>
          <w:szCs w:val="18"/>
          <w:color w:val="auto"/>
        </w:rPr>
        <w:t>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1" w:lineRule="exact"/>
        <w:rPr>
          <w:sz w:val="20"/>
          <w:szCs w:val="20"/>
          <w:color w:val="auto"/>
        </w:rPr>
      </w:pPr>
    </w:p>
    <w:p>
      <w:pPr>
        <w:jc w:val="both"/>
        <w:ind w:right="680" w:firstLine="446"/>
        <w:spacing w:after="0" w:line="250"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69" w:lineRule="exact"/>
        <w:rPr>
          <w:sz w:val="20"/>
          <w:szCs w:val="20"/>
          <w:color w:val="auto"/>
        </w:rPr>
      </w:pPr>
    </w:p>
    <w:p>
      <w:pPr>
        <w:ind w:left="880" w:right="160" w:hanging="440"/>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54" w:lineRule="exact"/>
        <w:rPr>
          <w:rFonts w:ascii="Times New Roman" w:cs="Times New Roman" w:eastAsia="Times New Roman" w:hAnsi="Times New Roman"/>
          <w:sz w:val="18"/>
          <w:szCs w:val="18"/>
          <w:color w:val="auto"/>
        </w:rPr>
      </w:pPr>
    </w:p>
    <w:p>
      <w:pPr>
        <w:ind w:left="880" w:right="660" w:hanging="440"/>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5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foreign regulatory authorities regarding the number, scope or design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clinical trial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or unacceptable side effects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880" w:right="120" w:hanging="440"/>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planned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880" w:right="140" w:hanging="440"/>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authorities.</w:t>
      </w:r>
    </w:p>
    <w:p>
      <w:pPr>
        <w:spacing w:after="0" w:line="225" w:lineRule="exact"/>
        <w:rPr>
          <w:sz w:val="20"/>
          <w:szCs w:val="20"/>
          <w:color w:val="auto"/>
        </w:rPr>
      </w:pPr>
    </w:p>
    <w:p>
      <w:pPr>
        <w:ind w:right="100" w:firstLine="446"/>
        <w:spacing w:after="0" w:line="282" w:lineRule="auto"/>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62"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72" w:right="239" w:bottom="1440" w:gutter="0" w:footer="0" w:header="0"/>
        </w:sectPr>
      </w:pPr>
    </w:p>
    <w:bookmarkStart w:id="35" w:name="page36"/>
    <w:bookmarkEnd w:id="35"/>
    <w:p>
      <w:pPr>
        <w:ind w:right="60"/>
        <w:spacing w:after="0" w:line="258" w:lineRule="auto"/>
        <w:rPr>
          <w:sz w:val="20"/>
          <w:szCs w:val="20"/>
          <w:color w:val="auto"/>
        </w:rPr>
      </w:pPr>
      <w:r>
        <w:rPr>
          <w:rFonts w:ascii="Times New Roman" w:cs="Times New Roman" w:eastAsia="Times New Roman" w:hAnsi="Times New Roman"/>
          <w:sz w:val="18"/>
          <w:szCs w:val="18"/>
          <w:color w:val="auto"/>
        </w:rPr>
        <w:t>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84" w:lineRule="exact"/>
        <w:rPr>
          <w:sz w:val="20"/>
          <w:szCs w:val="20"/>
          <w:color w:val="auto"/>
        </w:rPr>
      </w:pPr>
    </w:p>
    <w:p>
      <w:pPr>
        <w:ind w:right="60" w:firstLine="567"/>
        <w:spacing w:after="0" w:line="256" w:lineRule="auto"/>
        <w:rPr>
          <w:sz w:val="20"/>
          <w:szCs w:val="20"/>
          <w:color w:val="auto"/>
        </w:rPr>
      </w:pPr>
      <w:r>
        <w:rPr>
          <w:rFonts w:ascii="Times New Roman" w:cs="Times New Roman" w:eastAsia="Times New Roman" w:hAnsi="Times New Roman"/>
          <w:sz w:val="18"/>
          <w:szCs w:val="18"/>
          <w:color w:val="auto"/>
        </w:rPr>
        <w:t>For atopic dermatitis, our competitors include dupilumab (Dupixent, Regeneron, Sanofi), which has been approved by the FDA, crisaborole (EUCRISA, Pfizer), which has been approved by the FDA, VTP-38543 (Vitae, acquired by Allergan), JAK inhibitors such as baricitinib, PF-04965842 and upadacitinib under development by Lilly/Incyte, Pfizer and Abbvie, respectively, an IL-33 program by Regeneron (REGN3500) in a Phase 2 clinical trial for atopic dermatitis, a recently announced IL-33 related program by Pfizer (PF-06817024) in a Phase 1 clinical trial indicated for various indications, a recently announced IL-33 related program by Lilly in a Phase 1 clinical trial indicated for autoimmune disorders, an IL-1 alpha antibody, bermekimab (XBiotech) and antibodies that bind to IL-13 such as lebrikizumab (Dermira) and tezepelumab (AMG157, MEDI9929, Amgen/AstraZeneca).</w:t>
      </w:r>
    </w:p>
    <w:p>
      <w:pPr>
        <w:spacing w:after="0" w:line="188"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(FASENRA, AstraZeneca) that bind the IL-5 receptor; antibodies that bind the IL-4 receptor and inhibit its signaling through IL-4 and IL-13 cytokines such as dupilumab (Dupixent; Regeneron/Sanofi), which has been approved by the FDA for use with other asthma medicines for the maintenance treatment of moderate-to-severe asthma in patients aged 12 years and older whose asthma is not controlled with their current asthma medicines; antibodies that bind to IL-13 such as lebrikizumab (Dermira), tralokinumab (AstraZeneca, LEO Pharma) and anrukinzumab (Pfizer), which are in clinical testing; antibodies that bind the IL-4 receptor alpha chain, such as AMG 317 (Amgen) in clinical testing; ST2-binding antibodies including Roche’s RG6149, GSK’s GSK3772847 and Regeneron’s IL-33 antibody (REGN3500) each in clinical development for asthma and related conditions; a recently announced IL-33 related program by AstraZeneca (MEDI3506) in a Phase 1 clinical trial indicated for chronic obstructive pulmonary disease; DP-2 antagonists including fevipiprant (Novartis) under development for asthma and GB001 (Gossamer Bio) under development for moderate-to-severe eosinophilic asthma; and an anti-TSLP antibody called tezepelumab (AMG 157, MEDI9929) being developed by Amgen and AstraZeneca for asthma.</w:t>
      </w:r>
    </w:p>
    <w:p>
      <w:pPr>
        <w:spacing w:after="0" w:line="191" w:lineRule="exact"/>
        <w:rPr>
          <w:sz w:val="20"/>
          <w:szCs w:val="20"/>
          <w:color w:val="auto"/>
        </w:rPr>
      </w:pPr>
    </w:p>
    <w:p>
      <w:pPr>
        <w:ind w:right="340" w:firstLine="567"/>
        <w:spacing w:after="0" w:line="282" w:lineRule="auto"/>
        <w:rPr>
          <w:sz w:val="20"/>
          <w:szCs w:val="20"/>
          <w:color w:val="auto"/>
        </w:rPr>
      </w:pPr>
      <w:r>
        <w:rPr>
          <w:rFonts w:ascii="Times New Roman" w:cs="Times New Roman" w:eastAsia="Times New Roman" w:hAnsi="Times New Roman"/>
          <w:sz w:val="18"/>
          <w:szCs w:val="18"/>
          <w:color w:val="auto"/>
        </w:rPr>
        <w:t>Our competitors in CRSwNP include dupilumab (Regeneron/Sanofi), mepolizumab (GSK), benralizumab (AstraZeneca), omalizumab (Novartis), GB001 (Gossamer Bio) and PF-06817024 (Pfizer), each of which are in clinical testing.</w:t>
      </w:r>
    </w:p>
    <w:p>
      <w:pPr>
        <w:spacing w:after="0" w:line="162"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binds IL-1 beta, anakinra (Kineret; Swedish Orphan Biovitrum AB), a recombinant form the IL-1 receptor antagonist and an anti-IL-36 receptor antibody called BI-655130 (Boehringer Ingelheim).</w:t>
      </w:r>
    </w:p>
    <w:p>
      <w:pPr>
        <w:spacing w:after="0" w:line="184"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85"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72" w:right="239" w:bottom="1440" w:gutter="0" w:footer="0" w:header="0"/>
        </w:sectPr>
      </w:pPr>
    </w:p>
    <w:bookmarkStart w:id="36" w:name="page37"/>
    <w:bookmarkEnd w:id="36"/>
    <w:p>
      <w:pPr>
        <w:ind w:firstLine="44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88" w:lineRule="exact"/>
        <w:rPr>
          <w:sz w:val="20"/>
          <w:szCs w:val="20"/>
          <w:color w:val="auto"/>
        </w:rPr>
      </w:pPr>
    </w:p>
    <w:p>
      <w:pPr>
        <w:ind w:right="60" w:firstLine="446"/>
        <w:spacing w:after="0" w:line="256"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1" w:lineRule="exact"/>
        <w:rPr>
          <w:sz w:val="20"/>
          <w:szCs w:val="20"/>
          <w:color w:val="auto"/>
        </w:rPr>
      </w:pPr>
    </w:p>
    <w:p>
      <w:pPr>
        <w:ind w:right="60" w:firstLine="446"/>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68"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planned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51"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80" w:right="239" w:bottom="1440" w:gutter="0" w:footer="0" w:header="0"/>
        </w:sectPr>
      </w:pPr>
    </w:p>
    <w:bookmarkStart w:id="37" w:name="page38"/>
    <w:bookmarkEnd w:id="37"/>
    <w:p>
      <w:pPr>
        <w:ind w:right="40"/>
        <w:spacing w:after="0" w:line="258" w:lineRule="auto"/>
        <w:rPr>
          <w:sz w:val="20"/>
          <w:szCs w:val="20"/>
          <w:color w:val="auto"/>
        </w:rPr>
      </w:pPr>
      <w:r>
        <w:rPr>
          <w:rFonts w:ascii="Times New Roman" w:cs="Times New Roman" w:eastAsia="Times New Roman" w:hAnsi="Times New Roman"/>
          <w:sz w:val="18"/>
          <w:szCs w:val="18"/>
          <w:color w:val="auto"/>
        </w:rPr>
        <w:t>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84" w:lineRule="exact"/>
        <w:rPr>
          <w:sz w:val="20"/>
          <w:szCs w:val="20"/>
          <w:color w:val="auto"/>
        </w:rPr>
      </w:pPr>
    </w:p>
    <w:p>
      <w:pPr>
        <w:ind w:right="140" w:firstLine="446"/>
        <w:spacing w:after="0" w:line="282" w:lineRule="auto"/>
        <w:rPr>
          <w:sz w:val="20"/>
          <w:szCs w:val="20"/>
          <w:color w:val="auto"/>
        </w:rPr>
      </w:pPr>
      <w:r>
        <w:rPr>
          <w:rFonts w:ascii="Times New Roman" w:cs="Times New Roman" w:eastAsia="Times New Roman" w:hAnsi="Times New Roman"/>
          <w:sz w:val="18"/>
          <w:szCs w:val="18"/>
          <w:color w:val="auto"/>
        </w:rPr>
        <w:t>If we or our partners, or any third party, are unable to successfully develop companion diagnostics for our product candidates, or experience delays in doing so:</w:t>
      </w:r>
    </w:p>
    <w:p>
      <w:pPr>
        <w:spacing w:after="0" w:line="54" w:lineRule="exact"/>
        <w:rPr>
          <w:sz w:val="20"/>
          <w:szCs w:val="20"/>
          <w:color w:val="auto"/>
        </w:rPr>
      </w:pPr>
    </w:p>
    <w:p>
      <w:pPr>
        <w:ind w:left="880" w:right="48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may be adversely affected if we are unable to appropriately select patients for enrollment in our planned clinical trials;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receive marketing approval if their safe and effective use depends on a companion diagnostic; and</w:t>
      </w:r>
    </w:p>
    <w:p>
      <w:pPr>
        <w:spacing w:after="0" w:line="117" w:lineRule="exact"/>
        <w:rPr>
          <w:rFonts w:ascii="Times New Roman" w:cs="Times New Roman" w:eastAsia="Times New Roman" w:hAnsi="Times New Roman"/>
          <w:sz w:val="18"/>
          <w:szCs w:val="18"/>
          <w:color w:val="auto"/>
        </w:rPr>
      </w:pPr>
    </w:p>
    <w:p>
      <w:pPr>
        <w:ind w:left="880" w:right="46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62" w:lineRule="exact"/>
        <w:rPr>
          <w:sz w:val="20"/>
          <w:szCs w:val="20"/>
          <w:color w:val="auto"/>
        </w:rPr>
      </w:pPr>
    </w:p>
    <w:p>
      <w:pPr>
        <w:ind w:right="280" w:firstLine="446"/>
        <w:spacing w:after="0" w:line="261" w:lineRule="auto"/>
        <w:rPr>
          <w:sz w:val="20"/>
          <w:szCs w:val="20"/>
          <w:color w:val="auto"/>
        </w:rPr>
      </w:pPr>
      <w:r>
        <w:rPr>
          <w:rFonts w:ascii="Times New Roman" w:cs="Times New Roman" w:eastAsia="Times New Roman" w:hAnsi="Times New Roman"/>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harmed, possibly materially.</w:t>
      </w:r>
    </w:p>
    <w:p>
      <w:pPr>
        <w:spacing w:after="0" w:line="32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7"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185"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9"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472"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We are an early-stage biotechnology company with a limited operating history. We have no approved products. To date, our revenue has been primarily derived from our TESARO and Celgene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4"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in every year except fiscal year 2014. Our net loss was $22.1 million for the three months ended March 31, 2019 and $15.1 million for the three months ended March 31, 2018, with no collaboration revenue in either quarter. As of March 31, 2019, we had an accumulated deficit of $168.8 million.</w:t>
      </w:r>
    </w:p>
    <w:p>
      <w:pPr>
        <w:spacing w:after="0" w:line="17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two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77"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and enter into new collaboration agreements;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preclinical studies and initiate clinical trials for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approvals for the product candidates we develop or developed under our collaboration arrangements;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and distribution infrastructure to commercialize any product candidates for which we may obtain marketing approval;</w:t>
      </w:r>
    </w:p>
    <w:p>
      <w:pPr>
        <w:spacing w:after="0" w:line="128"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our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collaborators’ products, if any.</w:t>
      </w:r>
    </w:p>
    <w:p>
      <w:pPr>
        <w:spacing w:after="0" w:line="225" w:lineRule="exact"/>
        <w:rPr>
          <w:sz w:val="20"/>
          <w:szCs w:val="20"/>
          <w:color w:val="auto"/>
        </w:rPr>
      </w:pPr>
    </w:p>
    <w:p>
      <w:pPr>
        <w:ind w:right="100" w:firstLine="446"/>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etokimab, or any of our other product candidates, are approved for commercial sale, we anticipate incurring significant costs associated with the commercial launch of any product candidate.</w:t>
      </w:r>
    </w:p>
    <w:p>
      <w:pPr>
        <w:spacing w:after="0" w:line="184" w:lineRule="exact"/>
        <w:rPr>
          <w:sz w:val="20"/>
          <w:szCs w:val="20"/>
          <w:color w:val="auto"/>
        </w:rPr>
      </w:pPr>
    </w:p>
    <w:p>
      <w:pPr>
        <w:ind w:right="80" w:firstLine="446"/>
        <w:spacing w:after="0" w:line="266" w:lineRule="auto"/>
        <w:rPr>
          <w:sz w:val="20"/>
          <w:szCs w:val="20"/>
          <w:color w:val="auto"/>
        </w:rPr>
      </w:pPr>
      <w:r>
        <w:rPr>
          <w:rFonts w:ascii="Times New Roman" w:cs="Times New Roman" w:eastAsia="Times New Roman" w:hAnsi="Times New Roman"/>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684" w:right="279" w:bottom="144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t>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1" w:lineRule="exact"/>
        <w:rPr>
          <w:sz w:val="20"/>
          <w:szCs w:val="20"/>
          <w:color w:val="auto"/>
        </w:rPr>
      </w:pPr>
    </w:p>
    <w:p>
      <w:pPr>
        <w:ind w:right="20" w:firstLine="446"/>
        <w:spacing w:after="0" w:line="253" w:lineRule="auto"/>
        <w:rPr>
          <w:sz w:val="20"/>
          <w:szCs w:val="20"/>
          <w:color w:val="auto"/>
        </w:rPr>
      </w:pPr>
      <w:r>
        <w:rPr>
          <w:rFonts w:ascii="Times New Roman" w:cs="Times New Roman" w:eastAsia="Times New Roman" w:hAnsi="Times New Roman"/>
          <w:sz w:val="18"/>
          <w:szCs w:val="18"/>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through the end of 2020.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93" w:lineRule="exact"/>
        <w:rPr>
          <w:sz w:val="20"/>
          <w:szCs w:val="20"/>
          <w:color w:val="auto"/>
        </w:rPr>
      </w:pPr>
    </w:p>
    <w:p>
      <w:pPr>
        <w:ind w:right="180" w:firstLine="446"/>
        <w:spacing w:after="0" w:line="266" w:lineRule="auto"/>
        <w:rPr>
          <w:sz w:val="20"/>
          <w:szCs w:val="20"/>
          <w:color w:val="auto"/>
        </w:rPr>
      </w:pPr>
      <w:r>
        <w:rPr>
          <w:rFonts w:ascii="Times New Roman" w:cs="Times New Roman" w:eastAsia="Times New Roman" w:hAnsi="Times New Roman"/>
          <w:sz w:val="18"/>
          <w:szCs w:val="18"/>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68" w:lineRule="exact"/>
        <w:rPr>
          <w:sz w:val="20"/>
          <w:szCs w:val="20"/>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 or cease operations altogether;</w:t>
      </w:r>
    </w:p>
    <w:p>
      <w:pPr>
        <w:spacing w:after="0" w:line="117"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we would otherwise desire or on terms less favorable than might otherwise be available;</w:t>
      </w:r>
    </w:p>
    <w:p>
      <w:pPr>
        <w:spacing w:after="0" w:line="53" w:lineRule="exact"/>
        <w:rPr>
          <w:rFonts w:ascii="Times New Roman" w:cs="Times New Roman" w:eastAsia="Times New Roman" w:hAnsi="Times New Roman"/>
          <w:sz w:val="18"/>
          <w:szCs w:val="18"/>
          <w:color w:val="auto"/>
        </w:rPr>
      </w:pPr>
    </w:p>
    <w:p>
      <w:pPr>
        <w:ind w:left="880" w:right="28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future product candidates that we otherwise would seek to develop or commercialize ourselves; or</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staff to conserve resources.</w:t>
      </w:r>
    </w:p>
    <w:p>
      <w:pPr>
        <w:spacing w:after="0" w:line="225" w:lineRule="exact"/>
        <w:rPr>
          <w:sz w:val="20"/>
          <w:szCs w:val="20"/>
          <w:color w:val="auto"/>
        </w:rPr>
      </w:pPr>
    </w:p>
    <w:p>
      <w:pPr>
        <w:ind w:right="60" w:firstLine="446"/>
        <w:spacing w:after="0" w:line="256"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80" w:lineRule="exact"/>
        <w:rPr>
          <w:sz w:val="20"/>
          <w:szCs w:val="20"/>
          <w:color w:val="auto"/>
        </w:rPr>
      </w:pPr>
    </w:p>
    <w:p>
      <w:pPr>
        <w:ind w:left="880" w:right="12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size of clinical trials needed to show safety, efficacy and an acceptable risk/benefit profile for any of our product candidates;</w:t>
      </w:r>
    </w:p>
    <w:p>
      <w:pPr>
        <w:spacing w:after="0" w:line="117" w:lineRule="exact"/>
        <w:rPr>
          <w:rFonts w:ascii="Times New Roman" w:cs="Times New Roman" w:eastAsia="Times New Roman" w:hAnsi="Times New Roman"/>
          <w:sz w:val="18"/>
          <w:szCs w:val="18"/>
          <w:color w:val="auto"/>
        </w:rPr>
      </w:pPr>
    </w:p>
    <w:p>
      <w:pPr>
        <w:ind w:left="880" w:right="52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enter into new collaboration agreements;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580" w:right="259" w:bottom="1440" w:gutter="0" w:footer="0" w:header="0"/>
        </w:sectPr>
      </w:pPr>
    </w:p>
    <w:bookmarkStart w:id="40" w:name="page41"/>
    <w:bookmarkEnd w:id="40"/>
    <w:p>
      <w:pPr>
        <w:jc w:val="both"/>
        <w:ind w:left="880" w:right="600" w:hanging="440"/>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6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recruiting and retaining key employees;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any delays or cancellations of forecasted manufacturing batches;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manufacturing sites for commercial-scale manufacturing; and</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337"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1"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9" w:lineRule="exact"/>
        <w:rPr>
          <w:sz w:val="20"/>
          <w:szCs w:val="20"/>
          <w:color w:val="auto"/>
        </w:rPr>
      </w:pPr>
    </w:p>
    <w:p>
      <w:pPr>
        <w:ind w:right="5260"/>
        <w:spacing w:after="0" w:line="400" w:lineRule="auto"/>
        <w:rPr>
          <w:sz w:val="20"/>
          <w:szCs w:val="20"/>
          <w:color w:val="auto"/>
        </w:rPr>
      </w:pPr>
      <w:r>
        <w:rPr>
          <w:rFonts w:ascii="Times New Roman" w:cs="Times New Roman" w:eastAsia="Times New Roman" w:hAnsi="Times New Roman"/>
          <w:sz w:val="17"/>
          <w:szCs w:val="17"/>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 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93" w:lineRule="exact"/>
        <w:rPr>
          <w:sz w:val="20"/>
          <w:szCs w:val="20"/>
          <w:color w:val="auto"/>
        </w:rPr>
      </w:pPr>
    </w:p>
    <w:p>
      <w:pPr>
        <w:jc w:val="both"/>
        <w:ind w:right="120" w:firstLine="567"/>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72" w:right="239" w:bottom="1440" w:gutter="0" w:footer="0" w:header="0"/>
        </w:sectPr>
      </w:pPr>
    </w:p>
    <w:bookmarkStart w:id="41" w:name="page42"/>
    <w:bookmarkEnd w:id="41"/>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70" w:lineRule="exact"/>
        <w:rPr>
          <w:sz w:val="20"/>
          <w:szCs w:val="20"/>
          <w:color w:val="auto"/>
        </w:rPr>
      </w:pPr>
    </w:p>
    <w:p>
      <w:pPr>
        <w:ind w:right="20" w:firstLine="446"/>
        <w:spacing w:after="0"/>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85" w:lineRule="exact"/>
        <w:rPr>
          <w:sz w:val="20"/>
          <w:szCs w:val="20"/>
          <w:color w:val="auto"/>
        </w:rPr>
      </w:pPr>
    </w:p>
    <w:p>
      <w:pPr>
        <w:ind w:right="160" w:firstLine="446"/>
        <w:spacing w:after="0" w:line="245"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1" w:lineRule="exact"/>
        <w:rPr>
          <w:sz w:val="20"/>
          <w:szCs w:val="20"/>
          <w:color w:val="auto"/>
        </w:rPr>
      </w:pPr>
    </w:p>
    <w:p>
      <w:pPr>
        <w:ind w:right="60" w:firstLine="446"/>
        <w:spacing w:after="0" w:line="237"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7"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684" w:right="239" w:bottom="1440" w:gutter="0" w:footer="0" w:header="0"/>
        </w:sectPr>
      </w:pPr>
    </w:p>
    <w:bookmarkStart w:id="42" w:name="page43"/>
    <w:bookmarkEnd w:id="42"/>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expect to expand our development and regulatory capabilities, and as a result, we may encounter difficulties in managing our growth, which could disrupt our operations.</w:t>
      </w:r>
    </w:p>
    <w:p>
      <w:pPr>
        <w:spacing w:after="0" w:line="51"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color w:val="auto"/>
        </w:rPr>
        <w:t>We conduct certain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50" w:lineRule="exact"/>
        <w:rPr>
          <w:sz w:val="20"/>
          <w:szCs w:val="20"/>
          <w:color w:val="auto"/>
        </w:rPr>
      </w:pPr>
    </w:p>
    <w:p>
      <w:pPr>
        <w:ind w:right="80" w:firstLine="446"/>
        <w:spacing w:after="0" w:line="242" w:lineRule="auto"/>
        <w:rPr>
          <w:sz w:val="20"/>
          <w:szCs w:val="20"/>
          <w:color w:val="auto"/>
        </w:rPr>
      </w:pPr>
      <w:r>
        <w:rPr>
          <w:rFonts w:ascii="Times New Roman" w:cs="Times New Roman" w:eastAsia="Times New Roman" w:hAnsi="Times New Roman"/>
          <w:sz w:val="18"/>
          <w:szCs w:val="18"/>
          <w:color w:val="auto"/>
        </w:rPr>
        <w:t>In March 2015, we formed a wholly-owned Australian subsidiary, AnaptysBio Pty Ltd, or AnaptysBio Pty, to develop and commercialize our ANB019 and etokimab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85" w:lineRule="exact"/>
        <w:rPr>
          <w:sz w:val="20"/>
          <w:szCs w:val="20"/>
          <w:color w:val="auto"/>
        </w:rPr>
      </w:pPr>
    </w:p>
    <w:p>
      <w:pPr>
        <w:ind w:right="60" w:firstLine="446"/>
        <w:spacing w:after="0" w:line="245"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tax credit equal to 43.5% of qualified expenditures. If we are ineligible or unable to receive the research and development tax credit, required to repay all or a portion of the credit, lose our ability to operate AnaptysBio Pty in Australia, or if the Australian government significantly reduces or eliminates the tax credit, our business and results of operation would be adversely affected.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vulnerable to disruption, damage and financial obligation as a result of system failures.</w:t>
      </w:r>
    </w:p>
    <w:p>
      <w:pPr>
        <w:spacing w:after="0" w:line="108" w:lineRule="exact"/>
        <w:rPr>
          <w:sz w:val="20"/>
          <w:szCs w:val="20"/>
          <w:color w:val="auto"/>
        </w:rPr>
      </w:pPr>
    </w:p>
    <w:p>
      <w:pPr>
        <w:ind w:firstLine="446"/>
        <w:spacing w:after="0" w:line="238" w:lineRule="auto"/>
        <w:rPr>
          <w:sz w:val="20"/>
          <w:szCs w:val="20"/>
          <w:color w:val="auto"/>
        </w:rPr>
      </w:pPr>
      <w:r>
        <w:rPr>
          <w:rFonts w:ascii="Times New Roman" w:cs="Times New Roman" w:eastAsia="Times New Roman" w:hAnsi="Times New Roman"/>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96"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color w:val="auto"/>
        </w:rPr>
        <w:t>Our operations, or the third parties upon whom we depend, are vulnerable to interruption by fire, earthquake, power loss, telecommunications failure, terrorist activity and other events beyond our control, which could harm our business.</w:t>
      </w:r>
    </w:p>
    <w:p>
      <w:pPr>
        <w:spacing w:after="0" w:line="50" w:lineRule="exact"/>
        <w:rPr>
          <w:sz w:val="20"/>
          <w:szCs w:val="20"/>
          <w:color w:val="auto"/>
        </w:rPr>
      </w:pPr>
    </w:p>
    <w:p>
      <w:pPr>
        <w:ind w:right="40" w:firstLine="446"/>
        <w:spacing w:after="0"/>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85"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684"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67"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We have entered into collaborations with TESARO and Celgene to develop several of our product candidates. We have also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88"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Moreover, both TESARO and Celgene recently announced agreements to be acquired by large pharmaceutical companies. On December 3, 2018, GlaxoSmithKline plc announced an agreement to acquire TESARO, which closed on January 22, 2019, and on January 3, 2019, Bristol-Myers Squibb Co. announced an agreement to acquire Celgene Corp, which is expected to close during the third quarter of 2019. There can be no assurance that these collaborators, following their respective acquisitions by third parties, or such third-party acquirers, will continue to develop and commercialize these product candidates consistent with and with similar timelines as done previous to the acquisitions or that they will comply with the covenants, restrictions, sub-license and other agreement provisions, which, if they don’t comply, could lead us into disputes and potentially trigger breaches of our agreements with other partners.</w:t>
      </w:r>
    </w:p>
    <w:p>
      <w:pPr>
        <w:spacing w:after="0" w:line="189"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development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1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684" w:right="279" w:bottom="1440" w:gutter="0" w:footer="0" w:header="0"/>
        </w:sectPr>
      </w:pPr>
    </w:p>
    <w:bookmarkStart w:id="44" w:name="page45"/>
    <w:bookmarkEnd w:id="44"/>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w:t>
      </w:r>
    </w:p>
    <w:p>
      <w:pPr>
        <w:spacing w:after="0" w:line="3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67"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We rely on third party clinical investigators, contract research organizations (for non-clinical and clinical activities), or CROs, contract manufacturing organizations, or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6" w:lineRule="exact"/>
        <w:rPr>
          <w:sz w:val="20"/>
          <w:szCs w:val="20"/>
          <w:color w:val="auto"/>
        </w:rPr>
      </w:pPr>
    </w:p>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completely on third parties to manufacture our nonclinical, clinical and future commercial drug supplies of any approved products.</w:t>
      </w:r>
    </w:p>
    <w:p>
      <w:pPr>
        <w:spacing w:after="0" w:line="121" w:lineRule="exact"/>
        <w:rPr>
          <w:sz w:val="20"/>
          <w:szCs w:val="20"/>
          <w:color w:val="auto"/>
        </w:rPr>
      </w:pPr>
    </w:p>
    <w:p>
      <w:pPr>
        <w:ind w:right="40" w:firstLine="500"/>
        <w:spacing w:after="0" w:line="254" w:lineRule="auto"/>
        <w:rPr>
          <w:sz w:val="20"/>
          <w:szCs w:val="20"/>
          <w:color w:val="auto"/>
        </w:rPr>
      </w:pPr>
      <w:r>
        <w:rPr>
          <w:rFonts w:ascii="Times New Roman" w:cs="Times New Roman" w:eastAsia="Times New Roman" w:hAnsi="Times New Roman"/>
          <w:sz w:val="18"/>
          <w:szCs w:val="18"/>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7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72" w:right="239" w:bottom="1440" w:gutter="0" w:footer="0" w:header="0"/>
        </w:sectPr>
      </w:pPr>
    </w:p>
    <w:bookmarkStart w:id="45" w:name="page46"/>
    <w:bookmarkEnd w:id="45"/>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 if our product candidates receive regulatory approval, they will be subject to significant post-marketing regulatory requirements.</w:t>
      </w:r>
    </w:p>
    <w:p>
      <w:pPr>
        <w:spacing w:after="0" w:line="121" w:lineRule="exact"/>
        <w:rPr>
          <w:sz w:val="20"/>
          <w:szCs w:val="20"/>
          <w:color w:val="auto"/>
        </w:rPr>
      </w:pPr>
    </w:p>
    <w:p>
      <w:pPr>
        <w:ind w:firstLine="446"/>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91" w:lineRule="exact"/>
        <w:rPr>
          <w:sz w:val="20"/>
          <w:szCs w:val="20"/>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w:t>
      </w:r>
    </w:p>
    <w:p>
      <w:pPr>
        <w:spacing w:after="0" w:line="225" w:lineRule="exact"/>
        <w:rPr>
          <w:sz w:val="20"/>
          <w:szCs w:val="20"/>
          <w:color w:val="auto"/>
        </w:rPr>
      </w:pPr>
    </w:p>
    <w:p>
      <w:pPr>
        <w:ind w:right="120" w:firstLine="446"/>
        <w:spacing w:after="0" w:line="258"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72" w:right="239" w:bottom="1440" w:gutter="0" w:footer="0" w:header="0"/>
        </w:sectPr>
      </w:pPr>
    </w:p>
    <w:bookmarkStart w:id="46" w:name="page47"/>
    <w:bookmarkEnd w:id="46"/>
    <w:p>
      <w:pPr>
        <w:ind w:firstLine="446"/>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9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right="160" w:firstLine="446"/>
        <w:spacing w:after="0" w:line="256"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88"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91" w:lineRule="exact"/>
        <w:rPr>
          <w:sz w:val="20"/>
          <w:szCs w:val="20"/>
          <w:color w:val="auto"/>
        </w:rPr>
      </w:pPr>
    </w:p>
    <w:p>
      <w:pPr>
        <w:ind w:right="180" w:firstLine="446"/>
        <w:spacing w:after="0" w:line="261" w:lineRule="auto"/>
        <w:rPr>
          <w:sz w:val="20"/>
          <w:szCs w:val="20"/>
          <w:color w:val="auto"/>
        </w:rPr>
      </w:pPr>
      <w:r>
        <w:rPr>
          <w:rFonts w:ascii="Times New Roman" w:cs="Times New Roman" w:eastAsia="Times New Roman" w:hAnsi="Times New Roman"/>
          <w:sz w:val="18"/>
          <w:szCs w:val="18"/>
          <w:color w:val="auto"/>
        </w:rPr>
        <w:t>We have not been granted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7" w:name="page48"/>
    <w:bookmarkEnd w:id="47"/>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40" w:firstLine="446"/>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189"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9"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185"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6" w:lineRule="exact"/>
        <w:rPr>
          <w:sz w:val="20"/>
          <w:szCs w:val="20"/>
          <w:color w:val="auto"/>
        </w:rPr>
      </w:pPr>
    </w:p>
    <w:p>
      <w:pPr>
        <w:ind w:right="300" w:firstLine="446"/>
        <w:spacing w:after="0" w:line="250"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80" w:right="239" w:bottom="1440" w:gutter="0" w:footer="0" w:header="0"/>
        </w:sectPr>
      </w:pPr>
    </w:p>
    <w:bookmarkStart w:id="48" w:name="page49"/>
    <w:bookmarkEnd w:id="48"/>
    <w:p>
      <w:pPr>
        <w:ind w:right="100"/>
        <w:spacing w:after="0" w:line="245" w:lineRule="auto"/>
        <w:rPr>
          <w:sz w:val="20"/>
          <w:szCs w:val="20"/>
          <w:color w:val="auto"/>
        </w:rPr>
      </w:pPr>
      <w:r>
        <w:rPr>
          <w:rFonts w:ascii="Times New Roman" w:cs="Times New Roman" w:eastAsia="Times New Roman" w:hAnsi="Times New Roman"/>
          <w:sz w:val="18"/>
          <w:szCs w:val="18"/>
          <w:color w:val="auto"/>
        </w:rPr>
        <w:t>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81" w:lineRule="exact"/>
        <w:rPr>
          <w:sz w:val="20"/>
          <w:szCs w:val="20"/>
          <w:color w:val="auto"/>
        </w:rPr>
      </w:pPr>
    </w:p>
    <w:p>
      <w:pPr>
        <w:ind w:right="40" w:firstLine="446"/>
        <w:spacing w:after="0" w:line="245" w:lineRule="auto"/>
        <w:rPr>
          <w:sz w:val="20"/>
          <w:szCs w:val="20"/>
          <w:color w:val="auto"/>
        </w:rPr>
      </w:pPr>
      <w:r>
        <w:rPr>
          <w:rFonts w:ascii="Times New Roman" w:cs="Times New Roman" w:eastAsia="Times New Roman" w:hAnsi="Times New Roman"/>
          <w:sz w:val="18"/>
          <w:szCs w:val="18"/>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81" w:lineRule="exact"/>
        <w:rPr>
          <w:sz w:val="20"/>
          <w:szCs w:val="20"/>
          <w:color w:val="auto"/>
        </w:rPr>
      </w:pPr>
    </w:p>
    <w:p>
      <w:pPr>
        <w:ind w:right="40" w:firstLine="446"/>
        <w:spacing w:after="0" w:line="245" w:lineRule="auto"/>
        <w:rPr>
          <w:sz w:val="20"/>
          <w:szCs w:val="20"/>
          <w:color w:val="auto"/>
        </w:rPr>
      </w:pPr>
      <w:r>
        <w:rPr>
          <w:rFonts w:ascii="Times New Roman" w:cs="Times New Roman" w:eastAsia="Times New Roman" w:hAnsi="Times New Roman"/>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1" w:lineRule="exact"/>
        <w:rPr>
          <w:sz w:val="20"/>
          <w:szCs w:val="20"/>
          <w:color w:val="auto"/>
        </w:rPr>
      </w:pPr>
    </w:p>
    <w:p>
      <w:pPr>
        <w:ind w:right="20" w:firstLine="446"/>
        <w:spacing w:after="0" w:line="242"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8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current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4"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 care items and services covered by plans that were authorized by the ACA. However, we cannot predict the ultimate content, timing or effect of any health 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9" w:name="page50"/>
    <w:bookmarkEnd w:id="49"/>
    <w:p>
      <w:pPr>
        <w:ind w:right="40"/>
        <w:spacing w:after="0" w:line="266" w:lineRule="auto"/>
        <w:rPr>
          <w:sz w:val="20"/>
          <w:szCs w:val="20"/>
          <w:color w:val="auto"/>
        </w:rPr>
      </w:pPr>
      <w:r>
        <w:rPr>
          <w:rFonts w:ascii="Times New Roman" w:cs="Times New Roman" w:eastAsia="Times New Roman" w:hAnsi="Times New Roman"/>
          <w:sz w:val="18"/>
          <w:szCs w:val="18"/>
          <w:color w:val="auto"/>
        </w:rPr>
        <w:t>things, reduced Medicare payments to several providers, and increased the statute of limitations period for the government to recover overpayments to providers from three to five years. These new laws may result in additional reductions in Medicare and other health care funding, which could have a material adverse effect on customers for our drugs, if approved, and accordingly, our financial operations.</w:t>
      </w:r>
    </w:p>
    <w:p>
      <w:pPr>
        <w:spacing w:after="0" w:line="176"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91"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We expect that the ACA, as well as other health 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 care reforms may prevent us from being able to generate revenue, attain profitability, or commercialize our product candidates.</w:t>
      </w:r>
    </w:p>
    <w:p>
      <w:pPr>
        <w:spacing w:after="0" w:line="180"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1"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7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6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80" w:right="239" w:bottom="1440" w:gutter="0" w:footer="0" w:header="0"/>
        </w:sectPr>
      </w:pPr>
    </w:p>
    <w:bookmarkStart w:id="50" w:name="page51"/>
    <w:bookmarkEnd w:id="50"/>
    <w:p>
      <w:pPr>
        <w:ind w:left="900" w:right="80" w:hanging="487"/>
        <w:spacing w:after="0" w:line="261"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1" w:lineRule="exact"/>
        <w:rPr>
          <w:rFonts w:ascii="Times New Roman" w:cs="Times New Roman" w:eastAsia="Times New Roman" w:hAnsi="Times New Roman"/>
          <w:sz w:val="18"/>
          <w:szCs w:val="18"/>
          <w:color w:val="auto"/>
        </w:rPr>
      </w:pPr>
    </w:p>
    <w:p>
      <w:pPr>
        <w:ind w:left="880" w:right="20" w:hanging="440"/>
        <w:spacing w:after="0" w:line="261" w:lineRule="auto"/>
        <w:tabs>
          <w:tab w:leader="none" w:pos="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 things, executing or attempting to execute a scheme to defraud any health care benefit program or making false statements relating to health care matters;</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8" w:lineRule="exact"/>
        <w:rPr>
          <w:rFonts w:ascii="Times New Roman" w:cs="Times New Roman" w:eastAsia="Times New Roman" w:hAnsi="Times New Roman"/>
          <w:sz w:val="18"/>
          <w:szCs w:val="18"/>
          <w:color w:val="auto"/>
        </w:rPr>
      </w:pPr>
    </w:p>
    <w:p>
      <w:pPr>
        <w:ind w:left="880" w:right="240" w:hanging="440"/>
        <w:spacing w:after="0" w:line="258" w:lineRule="auto"/>
        <w:tabs>
          <w:tab w:leader="none" w:pos="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75"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62" w:lineRule="exact"/>
        <w:rPr>
          <w:sz w:val="20"/>
          <w:szCs w:val="20"/>
          <w:color w:val="auto"/>
        </w:rPr>
      </w:pPr>
    </w:p>
    <w:p>
      <w:pPr>
        <w:ind w:right="80" w:firstLine="446"/>
        <w:spacing w:after="0" w:line="254"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w:t>
      </w:r>
    </w:p>
    <w:p>
      <w:pPr>
        <w:spacing w:after="0" w:line="18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new and guidance, interpretation and application under the GDPR are still developing. Failure to comply with the GDPR may result in substantial fines and other administrative penalties. The GDPR may increase our responsibility and liability in relation to personal data that we process and we may be required to put in place additional</w:t>
      </w:r>
    </w:p>
    <w:p>
      <w:pPr>
        <w:spacing w:after="0" w:line="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mechanisms ensuring compliance with the GDPR. The GDPR is new and the pending EU ePrivacy Regulation is expected to establish, new requirements applicable to the handling of personal data and imposes penalties for non-compliance of up to the greater of €20 million or 4% of worldwide revenue. Additionally, in June 2018, California passed the California Consumer Privacy Act, or CCPA, which provides new data privacy rights for consumers and new operational requirements for companies effective in 2020.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190"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 care laws and regulations will involve substantial costs. It is possible that governmental authorities will conclude that our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72" w:right="239" w:bottom="1440" w:gutter="0" w:footer="0" w:header="0"/>
        </w:sectPr>
      </w:pPr>
    </w:p>
    <w:bookmarkStart w:id="51" w:name="page52"/>
    <w:bookmarkEnd w:id="51"/>
    <w:p>
      <w:pPr>
        <w:spacing w:after="0" w:line="272" w:lineRule="auto"/>
        <w:rPr>
          <w:sz w:val="20"/>
          <w:szCs w:val="20"/>
          <w:color w:val="auto"/>
        </w:rPr>
      </w:pPr>
      <w:r>
        <w:rPr>
          <w:rFonts w:ascii="Times New Roman" w:cs="Times New Roman" w:eastAsia="Times New Roman" w:hAnsi="Times New Roman"/>
          <w:sz w:val="17"/>
          <w:szCs w:val="17"/>
          <w:color w:val="auto"/>
        </w:rPr>
        <w:t>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employees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9"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364" w:right="259" w:bottom="1440" w:gutter="0" w:footer="0" w:header="0"/>
        </w:sectPr>
      </w:pPr>
    </w:p>
    <w:bookmarkStart w:id="52" w:name="page53"/>
    <w:bookmarkEnd w:id="52"/>
    <w:p>
      <w:pPr>
        <w:ind w:right="40"/>
        <w:spacing w:after="0" w:line="261" w:lineRule="auto"/>
        <w:rPr>
          <w:sz w:val="20"/>
          <w:szCs w:val="20"/>
          <w:color w:val="auto"/>
        </w:rPr>
      </w:pPr>
      <w:r>
        <w:rPr>
          <w:rFonts w:ascii="Times New Roman" w:cs="Times New Roman" w:eastAsia="Times New Roman" w:hAnsi="Times New Roman"/>
          <w:sz w:val="18"/>
          <w:szCs w:val="18"/>
          <w:color w:val="auto"/>
        </w:rPr>
        <w:t>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80"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40" w:firstLine="446"/>
        <w:spacing w:after="0" w:line="253"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93" w:lineRule="exact"/>
        <w:rPr>
          <w:sz w:val="20"/>
          <w:szCs w:val="20"/>
          <w:color w:val="auto"/>
        </w:rPr>
      </w:pPr>
    </w:p>
    <w:p>
      <w:pPr>
        <w:ind w:right="40" w:firstLine="446"/>
        <w:spacing w:after="0" w:line="254"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60" w:firstLine="446"/>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86" w:lineRule="exact"/>
        <w:rPr>
          <w:sz w:val="20"/>
          <w:szCs w:val="20"/>
          <w:color w:val="auto"/>
        </w:rPr>
      </w:pPr>
    </w:p>
    <w:p>
      <w:pPr>
        <w:jc w:val="both"/>
        <w:ind w:right="440" w:firstLine="446"/>
        <w:spacing w:after="0" w:line="26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80" w:right="239" w:bottom="1440" w:gutter="0" w:footer="0" w:header="0"/>
        </w:sectPr>
      </w:pPr>
    </w:p>
    <w:bookmarkStart w:id="53" w:name="page54"/>
    <w:bookmarkEnd w:id="53"/>
    <w:p>
      <w:pPr>
        <w:ind w:right="80"/>
        <w:spacing w:after="0" w:line="255" w:lineRule="auto"/>
        <w:rPr>
          <w:sz w:val="20"/>
          <w:szCs w:val="20"/>
          <w:color w:val="auto"/>
        </w:rPr>
      </w:pPr>
      <w:r>
        <w:rPr>
          <w:rFonts w:ascii="Times New Roman" w:cs="Times New Roman" w:eastAsia="Times New Roman" w:hAnsi="Times New Roman"/>
          <w:sz w:val="18"/>
          <w:szCs w:val="18"/>
          <w:color w:val="auto"/>
        </w:rPr>
        <w:t>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jc w:val="both"/>
        <w:ind w:right="220" w:firstLine="446"/>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76" w:lineRule="exact"/>
        <w:rPr>
          <w:sz w:val="20"/>
          <w:szCs w:val="20"/>
          <w:color w:val="auto"/>
        </w:rPr>
      </w:pPr>
    </w:p>
    <w:p>
      <w:pPr>
        <w:ind w:right="140" w:firstLine="446"/>
        <w:spacing w:after="0" w:line="261"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80"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84"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85" w:lineRule="exact"/>
        <w:rPr>
          <w:sz w:val="20"/>
          <w:szCs w:val="20"/>
          <w:color w:val="auto"/>
        </w:rPr>
      </w:pPr>
    </w:p>
    <w:p>
      <w:pPr>
        <w:ind w:right="20" w:firstLine="446"/>
        <w:spacing w:after="0" w:line="253" w:lineRule="auto"/>
        <w:rPr>
          <w:sz w:val="20"/>
          <w:szCs w:val="20"/>
          <w:color w:val="auto"/>
        </w:rPr>
      </w:pPr>
      <w:r>
        <w:rPr>
          <w:rFonts w:ascii="Times New Roman" w:cs="Times New Roman" w:eastAsia="Times New Roman" w:hAnsi="Times New Roman"/>
          <w:sz w:val="18"/>
          <w:szCs w:val="18"/>
          <w:color w:val="auto"/>
        </w:rPr>
        <w:t>The USPTO has developed new regulations and procedures to govern administration of the Leahy-Smith Act, and many of the substantive changes to patent law associated with the Leahy-Smith Act, and, in particular, the first to file provisions, only became effective in 2013.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60"/>
          </w:cols>
          <w:pgMar w:left="240" w:top="580" w:right="299" w:bottom="1440" w:gutter="0" w:footer="0" w:header="0"/>
        </w:sectPr>
      </w:pPr>
    </w:p>
    <w:bookmarkStart w:id="54" w:name="page55"/>
    <w:bookmarkEnd w:id="54"/>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9" w:lineRule="exact"/>
        <w:rPr>
          <w:sz w:val="20"/>
          <w:szCs w:val="20"/>
          <w:color w:val="auto"/>
        </w:rPr>
      </w:pPr>
    </w:p>
    <w:p>
      <w:pPr>
        <w:ind w:right="80" w:firstLine="446"/>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1" w:lineRule="exact"/>
        <w:rPr>
          <w:sz w:val="20"/>
          <w:szCs w:val="20"/>
          <w:color w:val="auto"/>
        </w:rPr>
      </w:pPr>
    </w:p>
    <w:p>
      <w:pPr>
        <w:ind w:right="200" w:firstLine="446"/>
        <w:spacing w:after="0" w:line="254" w:lineRule="auto"/>
        <w:rPr>
          <w:sz w:val="20"/>
          <w:szCs w:val="20"/>
          <w:color w:val="auto"/>
        </w:rPr>
      </w:pPr>
      <w:r>
        <w:rPr>
          <w:rFonts w:ascii="Times New Roman" w:cs="Times New Roman" w:eastAsia="Times New Roman" w:hAnsi="Times New Roman"/>
          <w:sz w:val="18"/>
          <w:szCs w:val="18"/>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76" w:right="239" w:bottom="1440" w:gutter="0" w:footer="0" w:header="0"/>
        </w:sectPr>
      </w:pPr>
    </w:p>
    <w:bookmarkStart w:id="55" w:name="page56"/>
    <w:bookmarkEnd w:id="55"/>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0"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89"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80" w:lineRule="exact"/>
        <w:rPr>
          <w:sz w:val="20"/>
          <w:szCs w:val="20"/>
          <w:color w:val="auto"/>
        </w:rPr>
      </w:pPr>
    </w:p>
    <w:p>
      <w:pPr>
        <w:ind w:right="100" w:firstLine="446"/>
        <w:spacing w:after="0" w:line="24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8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color w:val="auto"/>
        </w:rPr>
        <w:t>If we breach the license agreements related to our product candidates, we could lose the ability to continue the development and commercialization of our product candidates.</w:t>
      </w:r>
    </w:p>
    <w:p>
      <w:pPr>
        <w:spacing w:after="0" w:line="50" w:lineRule="exact"/>
        <w:rPr>
          <w:sz w:val="20"/>
          <w:szCs w:val="20"/>
          <w:color w:val="auto"/>
        </w:rPr>
      </w:pPr>
    </w:p>
    <w:p>
      <w:pPr>
        <w:ind w:right="80" w:firstLine="446"/>
        <w:spacing w:after="0" w:line="23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04" w:lineRule="exact"/>
        <w:rPr>
          <w:sz w:val="20"/>
          <w:szCs w:val="20"/>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03" w:lineRule="exact"/>
        <w:rPr>
          <w:rFonts w:ascii="Times New Roman" w:cs="Times New Roman" w:eastAsia="Times New Roman" w:hAnsi="Times New Roman"/>
          <w:sz w:val="18"/>
          <w:szCs w:val="18"/>
          <w:color w:val="auto"/>
        </w:rPr>
      </w:pPr>
    </w:p>
    <w:p>
      <w:pPr>
        <w:ind w:left="880" w:right="600" w:hanging="440"/>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collaborators;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0" w:right="239" w:bottom="1440" w:gutter="0" w:footer="0" w:header="0"/>
        </w:sectPr>
      </w:pPr>
    </w:p>
    <w:bookmarkStart w:id="56" w:name="page57"/>
    <w:bookmarkEnd w:id="56"/>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12" w:lineRule="exact"/>
        <w:rPr>
          <w:sz w:val="20"/>
          <w:szCs w:val="20"/>
          <w:color w:val="auto"/>
        </w:rPr>
      </w:pPr>
    </w:p>
    <w:p>
      <w:pPr>
        <w:ind w:right="240" w:firstLine="446"/>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66"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5" w:lineRule="exact"/>
        <w:rPr>
          <w:sz w:val="20"/>
          <w:szCs w:val="20"/>
          <w:color w:val="auto"/>
        </w:rPr>
      </w:pPr>
    </w:p>
    <w:p>
      <w:pPr>
        <w:ind w:right="120" w:firstLine="446"/>
        <w:spacing w:after="0" w:line="241"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84" w:lineRule="exact"/>
        <w:rPr>
          <w:sz w:val="20"/>
          <w:szCs w:val="20"/>
          <w:color w:val="auto"/>
        </w:rPr>
      </w:pPr>
    </w:p>
    <w:p>
      <w:pPr>
        <w:ind w:right="60" w:firstLine="446"/>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140" w:firstLine="446"/>
        <w:spacing w:after="0" w:line="258"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84"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72" w:right="23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18"/>
          <w:szCs w:val="18"/>
          <w:color w:val="auto"/>
        </w:rPr>
        <w:t>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1"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60" w:firstLine="44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54" w:lineRule="exact"/>
        <w:rPr>
          <w:sz w:val="20"/>
          <w:szCs w:val="20"/>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880" w:right="104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existing collaboration agreements and announcements of new collaboration agreements;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breaches and terminations of our manufacturing agreements, collaborations agreements or other important agreements;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72" w:right="239" w:bottom="1440" w:gutter="0" w:footer="0" w:header="0"/>
        </w:sectPr>
      </w:pPr>
    </w:p>
    <w:bookmarkStart w:id="58" w:name="page59"/>
    <w:bookmarkEnd w:id="58"/>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300" w:firstLine="446"/>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and these expenses have increased and will continue to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72" w:right="259" w:bottom="1440" w:gutter="0" w:footer="0" w:header="0"/>
        </w:sectPr>
      </w:pPr>
    </w:p>
    <w:bookmarkStart w:id="59" w:name="page60"/>
    <w:bookmarkEnd w:id="59"/>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40" w:firstLine="446"/>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4"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200" w:firstLine="44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8" w:lineRule="exact"/>
        <w:rPr>
          <w:sz w:val="20"/>
          <w:szCs w:val="20"/>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80"/>
          </w:cols>
          <w:pgMar w:left="240" w:top="684" w:right="279" w:bottom="1440" w:gutter="0" w:footer="0" w:header="0"/>
        </w:sectPr>
      </w:pPr>
    </w:p>
    <w:bookmarkStart w:id="60" w:name="page61"/>
    <w:bookmarkEnd w:id="60"/>
    <w:p>
      <w:pPr>
        <w:ind w:left="880" w:hanging="440"/>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ind w:right="160" w:firstLine="446"/>
        <w:spacing w:after="0" w:line="282"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7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67" w:lineRule="exact"/>
        <w:rPr>
          <w:sz w:val="20"/>
          <w:szCs w:val="20"/>
          <w:color w:val="auto"/>
        </w:rPr>
      </w:pPr>
    </w:p>
    <w:p>
      <w:pPr>
        <w:ind w:right="60" w:firstLine="446"/>
        <w:spacing w:after="0" w:line="253" w:lineRule="auto"/>
        <w:rPr>
          <w:sz w:val="20"/>
          <w:szCs w:val="20"/>
          <w:color w:val="auto"/>
        </w:rPr>
      </w:pPr>
      <w:r>
        <w:rPr>
          <w:rFonts w:ascii="Times New Roman" w:cs="Times New Roman" w:eastAsia="Times New Roman" w:hAnsi="Times New Roman"/>
          <w:sz w:val="18"/>
          <w:szCs w:val="18"/>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8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Internal Revenue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2018, we have federal NOLs of approximately $145.3 million, which expire beginning December 31, 2028 through December 31, 2037, if not used to reduce income taxes payable in the future. The federal net operating loss carryover includes $85.2 million of net operating losses generated in 2018. Federal net operating losses generated in 2018 carryover indefinitely and may generally be used to offset up to 80% of future taxable income in the year it is utilized.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72" w:right="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below.</w:t>
      </w:r>
    </w:p>
    <w:p>
      <w:pPr>
        <w:spacing w:after="0" w:line="27"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0000" w:type="dxa"/>
            <w:vAlign w:val="bottom"/>
            <w:gridSpan w:val="4"/>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7"/>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00" w:type="dxa"/>
            <w:vAlign w:val="bottom"/>
            <w:gridSpan w:val="4"/>
          </w:tcPr>
          <w:p>
            <w:pPr>
              <w:ind w:left="43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303"/>
        </w:trPr>
        <w:tc>
          <w:tcPr>
            <w:tcW w:w="96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31.1</w:t>
            </w:r>
          </w:p>
        </w:tc>
        <w:tc>
          <w:tcPr>
            <w:tcW w:w="1000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color w:val="0000FF"/>
                </w:rPr>
                <w:t>Certification of Principal Executive Officer, pursuant to Rule 13a-14(a)/15d-14(a), as adopted pursuant to Section 302 of the Sarbanes-Oxley Act of 2002.</w:t>
              </w:r>
            </w:hyperlink>
          </w:p>
        </w:tc>
      </w:tr>
      <w:tr>
        <w:trPr>
          <w:trHeight w:val="318"/>
        </w:trPr>
        <w:tc>
          <w:tcPr>
            <w:tcW w:w="96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31.2</w:t>
            </w:r>
          </w:p>
        </w:tc>
        <w:tc>
          <w:tcPr>
            <w:tcW w:w="10000" w:type="dxa"/>
            <w:vAlign w:val="bottom"/>
            <w:gridSpan w:val="4"/>
          </w:tcPr>
          <w:p>
            <w:pPr>
              <w:spacing w:after="0"/>
              <w:rPr>
                <w:rFonts w:ascii="Times New Roman" w:cs="Times New Roman" w:eastAsia="Times New Roman" w:hAnsi="Times New Roman"/>
                <w:sz w:val="16"/>
                <w:szCs w:val="16"/>
                <w:color w:val="0000FF"/>
              </w:rPr>
            </w:pPr>
            <w:hyperlink w:anchor="page65">
              <w:r>
                <w:rPr>
                  <w:rFonts w:ascii="Times New Roman" w:cs="Times New Roman" w:eastAsia="Times New Roman" w:hAnsi="Times New Roman"/>
                  <w:sz w:val="16"/>
                  <w:szCs w:val="16"/>
                  <w:color w:val="0000FF"/>
                </w:rPr>
                <w:t>Certification of Principal Financial Officer, pursuant to Rule 13a-14(a)/15d-14(a), as adopted pursuant to Section 302 of the Sarbanes-Oxley Act of 2002.</w:t>
              </w:r>
            </w:hyperlink>
          </w:p>
        </w:tc>
      </w:tr>
      <w:tr>
        <w:trPr>
          <w:trHeight w:val="318"/>
        </w:trPr>
        <w:tc>
          <w:tcPr>
            <w:tcW w:w="96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32.1*</w:t>
            </w:r>
          </w:p>
        </w:tc>
        <w:tc>
          <w:tcPr>
            <w:tcW w:w="96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rPr>
            </w:pPr>
            <w:hyperlink w:anchor="page66">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hyperlink>
          </w:p>
        </w:tc>
        <w:tc>
          <w:tcPr>
            <w:tcW w:w="3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96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32.2*</w:t>
            </w:r>
          </w:p>
        </w:tc>
        <w:tc>
          <w:tcPr>
            <w:tcW w:w="10000" w:type="dxa"/>
            <w:vAlign w:val="bottom"/>
            <w:gridSpan w:val="4"/>
          </w:tcPr>
          <w:p>
            <w:pPr>
              <w:spacing w:after="0"/>
              <w:rPr>
                <w:rFonts w:ascii="Times New Roman" w:cs="Times New Roman" w:eastAsia="Times New Roman" w:hAnsi="Times New Roman"/>
                <w:sz w:val="16"/>
                <w:szCs w:val="16"/>
                <w:color w:val="0000FF"/>
              </w:rPr>
            </w:pPr>
            <w:hyperlink w:anchor="page67">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hyperlink>
          </w:p>
        </w:tc>
      </w:tr>
      <w:tr>
        <w:trPr>
          <w:trHeight w:val="352"/>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96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auto"/>
              </w:rPr>
              <w:t>XBRL Report Instance Document</w:t>
            </w:r>
          </w:p>
        </w:tc>
        <w:tc>
          <w:tcPr>
            <w:tcW w:w="400" w:type="dxa"/>
            <w:vAlign w:val="bottom"/>
            <w:gridSpan w:val="3"/>
          </w:tcPr>
          <w:p>
            <w:pPr>
              <w:spacing w:after="0"/>
              <w:rPr>
                <w:sz w:val="24"/>
                <w:szCs w:val="24"/>
                <w:color w:val="auto"/>
              </w:rPr>
            </w:pP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Calculation Linkbase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Label Linkbase Document</w:t>
            </w:r>
          </w:p>
        </w:tc>
      </w:tr>
      <w:tr>
        <w:trPr>
          <w:trHeight w:val="338"/>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00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Presentation Linkbase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bl>
    <w:p>
      <w:pPr>
        <w:spacing w:after="0" w:line="3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240" w:top="684" w:right="319" w:bottom="1440" w:gutter="0" w:footer="0" w:header="0"/>
        </w:sectPr>
      </w:pPr>
    </w:p>
    <w:bookmarkStart w:id="62" w:name="page63"/>
    <w:bookmarkEnd w:id="6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5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ANAPTYSBIO, INC.</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7, 2019</w:t>
            </w:r>
          </w:p>
        </w:tc>
        <w:tc>
          <w:tcPr>
            <w:tcW w:w="29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Hamza Suria</w:t>
            </w:r>
          </w:p>
        </w:tc>
      </w:tr>
      <w:tr>
        <w:trPr>
          <w:trHeight w:val="41"/>
        </w:trPr>
        <w:tc>
          <w:tcPr>
            <w:tcW w:w="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Hamza Suria</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7, 2019</w:t>
            </w:r>
          </w:p>
        </w:tc>
        <w:tc>
          <w:tcPr>
            <w:tcW w:w="29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Dominic G. Piscitelli</w:t>
            </w:r>
          </w:p>
        </w:tc>
      </w:tr>
      <w:tr>
        <w:trPr>
          <w:trHeight w:val="41"/>
        </w:trPr>
        <w:tc>
          <w:tcPr>
            <w:tcW w:w="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Dominic G. Piscitelli</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86"/>
        </w:trPr>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60</w:t>
            </w:r>
          </w:p>
        </w:tc>
        <w:tc>
          <w:tcPr>
            <w:tcW w:w="4580" w:type="dxa"/>
            <w:vAlign w:val="bottom"/>
          </w:tcPr>
          <w:p>
            <w:pPr>
              <w:spacing w:after="0"/>
              <w:rPr>
                <w:sz w:val="24"/>
                <w:szCs w:val="24"/>
                <w:color w:val="auto"/>
              </w:rPr>
            </w:pPr>
          </w:p>
        </w:tc>
      </w:tr>
    </w:tbl>
    <w:p>
      <w:pPr>
        <w:sectPr>
          <w:pgSz w:w="11900" w:h="16838" w:orient="portrait"/>
          <w:cols w:equalWidth="0" w:num="1">
            <w:col w:w="11320"/>
          </w:cols>
          <w:pgMar w:left="240" w:top="36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17" w:lineRule="exact"/>
        <w:rPr>
          <w:rFonts w:ascii="Times New Roman" w:cs="Times New Roman" w:eastAsia="Times New Roman" w:hAnsi="Times New Roman"/>
          <w:sz w:val="18"/>
          <w:szCs w:val="18"/>
          <w:color w:val="auto"/>
        </w:rPr>
      </w:pPr>
    </w:p>
    <w:p>
      <w:pPr>
        <w:ind w:left="180" w:right="280" w:hanging="172"/>
        <w:spacing w:after="0" w:line="313" w:lineRule="auto"/>
        <w:tabs>
          <w:tab w:leader="none" w:pos="19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180" w:right="60" w:hanging="172"/>
        <w:spacing w:after="0" w:line="282" w:lineRule="auto"/>
        <w:tabs>
          <w:tab w:leader="none" w:pos="1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0" w:hanging="172"/>
        <w:spacing w:after="0" w:line="266" w:lineRule="auto"/>
        <w:tabs>
          <w:tab w:leader="none" w:pos="1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20" w:right="260" w:hanging="169"/>
        <w:spacing w:after="0" w:line="266" w:lineRule="auto"/>
        <w:tabs>
          <w:tab w:leader="none" w:pos="44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20" w:right="60" w:hanging="169"/>
        <w:spacing w:after="0" w:line="266" w:lineRule="auto"/>
        <w:tabs>
          <w:tab w:leader="none" w:pos="45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20" w:right="100" w:hanging="169"/>
        <w:spacing w:after="0" w:line="282" w:lineRule="auto"/>
        <w:tabs>
          <w:tab w:leader="none" w:pos="44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180" w:hanging="169"/>
        <w:spacing w:after="0" w:line="266" w:lineRule="auto"/>
        <w:tabs>
          <w:tab w:leader="none" w:pos="45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80" w:right="640" w:hanging="172"/>
        <w:spacing w:after="0" w:line="282" w:lineRule="auto"/>
        <w:tabs>
          <w:tab w:leader="none" w:pos="1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260" w:hanging="169"/>
        <w:spacing w:after="0" w:line="282" w:lineRule="auto"/>
        <w:tabs>
          <w:tab w:leader="none" w:pos="45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Hamza Suria</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420"/>
          </w:cols>
          <w:pgMar w:left="240" w:top="61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 G. Piscitelli, certify that:</w:t>
      </w:r>
    </w:p>
    <w:p>
      <w:pPr>
        <w:spacing w:after="0" w:line="212"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57" w:lineRule="exact"/>
        <w:rPr>
          <w:rFonts w:ascii="Times New Roman" w:cs="Times New Roman" w:eastAsia="Times New Roman" w:hAnsi="Times New Roman"/>
          <w:sz w:val="18"/>
          <w:szCs w:val="18"/>
          <w:color w:val="auto"/>
        </w:rPr>
      </w:pPr>
    </w:p>
    <w:p>
      <w:pPr>
        <w:ind w:left="180" w:right="280" w:hanging="172"/>
        <w:spacing w:after="0" w:line="313" w:lineRule="auto"/>
        <w:tabs>
          <w:tab w:leader="none" w:pos="19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180" w:right="60" w:hanging="172"/>
        <w:spacing w:after="0" w:line="282" w:lineRule="auto"/>
        <w:tabs>
          <w:tab w:leader="none" w:pos="1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0" w:hanging="172"/>
        <w:spacing w:after="0" w:line="266" w:lineRule="auto"/>
        <w:tabs>
          <w:tab w:leader="none" w:pos="1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20" w:right="260" w:hanging="169"/>
        <w:spacing w:after="0" w:line="266" w:lineRule="auto"/>
        <w:tabs>
          <w:tab w:leader="none" w:pos="44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20" w:right="60" w:hanging="169"/>
        <w:spacing w:after="0" w:line="266" w:lineRule="auto"/>
        <w:tabs>
          <w:tab w:leader="none" w:pos="45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20" w:right="100" w:hanging="169"/>
        <w:spacing w:after="0" w:line="282" w:lineRule="auto"/>
        <w:tabs>
          <w:tab w:leader="none" w:pos="44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180" w:hanging="169"/>
        <w:spacing w:after="0" w:line="266" w:lineRule="auto"/>
        <w:tabs>
          <w:tab w:leader="none" w:pos="45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80" w:right="640" w:hanging="172"/>
        <w:spacing w:after="0" w:line="282" w:lineRule="auto"/>
        <w:tabs>
          <w:tab w:leader="none" w:pos="1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260" w:hanging="169"/>
        <w:spacing w:after="0" w:line="282" w:lineRule="auto"/>
        <w:tabs>
          <w:tab w:leader="none" w:pos="45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Dominic G. Piscitelli</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617"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Hamza Suria, Chief Executive Officer of AnaptysBio, Inc.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99" w:lineRule="exact"/>
        <w:rPr>
          <w:sz w:val="20"/>
          <w:szCs w:val="20"/>
          <w:color w:val="auto"/>
        </w:rPr>
      </w:pPr>
    </w:p>
    <w:p>
      <w:pPr>
        <w:ind w:left="880" w:right="640" w:hanging="440"/>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2019 (the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Hamza Suria</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420"/>
          </w:cols>
          <w:pgMar w:left="240" w:top="617"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Dominic G. Piscitelli, Chief Financial Officer of AnaptysBio, Inc. (Company), do hereby certify, pursuant to 18 U.S.C. Section 1350, as adopted pursuant to Section 906 of the Sarbanes-Oxley Act of 2002, that to the best of my knowledge:</w:t>
      </w:r>
    </w:p>
    <w:p>
      <w:pPr>
        <w:spacing w:after="0" w:line="54" w:lineRule="exact"/>
        <w:rPr>
          <w:sz w:val="20"/>
          <w:szCs w:val="20"/>
          <w:color w:val="auto"/>
        </w:rPr>
      </w:pPr>
    </w:p>
    <w:p>
      <w:pPr>
        <w:ind w:left="880" w:right="640" w:hanging="440"/>
        <w:spacing w:after="0" w:line="282"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2019 (the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Dominic G. Piscitelli</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6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2"/>
    </w:lvl>
  </w:abstractNum>
  <w:abstractNum w:abstractNumId="3">
    <w:nsid w:val="62BBD95A"/>
    <w:multiLevelType w:val="hybridMultilevel"/>
    <w:lvl w:ilvl="0">
      <w:lvlJc w:val="left"/>
      <w:lvlText w:val="%1."/>
      <w:numFmt w:val="decimal"/>
      <w:start w:val="4"/>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0"/>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lowerRoman"/>
      <w:start w:val="2"/>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lvl w:ilvl="1">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2019-12-28T13:03:48Z</dcterms:created>
  <dcterms:modified xsi:type="dcterms:W3CDTF">2019-12-28T13:03:48Z</dcterms:modified>
</cp:coreProperties>
</file>