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2479675</wp:posOffset>
            </wp:positionH>
            <wp:positionV relativeFrom="page">
              <wp:posOffset>620395</wp:posOffset>
            </wp:positionV>
            <wp:extent cx="2588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8895" cy="8890"/>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118110</wp:posOffset>
            </wp:positionV>
            <wp:extent cx="2588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135890</wp:posOffset>
            </wp:positionV>
            <wp:extent cx="2588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11"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3380"/>
        <w:spacing w:after="0"/>
        <w:tabs>
          <w:tab w:leader="none" w:pos="6660" w:val="left"/>
          <w:tab w:leader="none" w:pos="7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-5080</wp:posOffset>
            </wp:positionV>
            <wp:extent cx="1323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122555</wp:posOffset>
            </wp:positionV>
            <wp:extent cx="2588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ANAPTYSBIO,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116205</wp:posOffset>
            </wp:positionV>
            <wp:extent cx="2588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76"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3980" w:type="dxa"/>
            <w:vAlign w:val="bottom"/>
            <w:gridSpan w:val="2"/>
          </w:tcPr>
          <w:p>
            <w:pPr>
              <w:jc w:val="center"/>
              <w:ind w:left="197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60" w:type="dxa"/>
            <w:vAlign w:val="bottom"/>
            <w:gridSpan w:val="2"/>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rPr>
              <w:t>20-3828755</w:t>
            </w:r>
          </w:p>
        </w:tc>
      </w:tr>
      <w:tr>
        <w:trPr>
          <w:trHeight w:val="148"/>
        </w:trPr>
        <w:tc>
          <w:tcPr>
            <w:tcW w:w="3980" w:type="dxa"/>
            <w:vAlign w:val="bottom"/>
            <w:gridSpan w:val="2"/>
          </w:tcPr>
          <w:p>
            <w:pPr>
              <w:jc w:val="center"/>
              <w:ind w:left="197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0" w:type="dxa"/>
            <w:vAlign w:val="bottom"/>
          </w:tcPr>
          <w:p>
            <w:pPr>
              <w:jc w:val="center"/>
              <w:ind w:right="219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gridSpan w:val="2"/>
          </w:tcPr>
          <w:p>
            <w:pPr>
              <w:jc w:val="center"/>
              <w:ind w:left="197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60" w:type="dxa"/>
            <w:vAlign w:val="bottom"/>
            <w:gridSpan w:val="2"/>
          </w:tcPr>
          <w:p>
            <w:pPr>
              <w:jc w:val="center"/>
              <w:ind w:right="193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98"/>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10770 Wateridge Circle, Suite 210</w:t>
            </w: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4"/>
        </w:trPr>
        <w:tc>
          <w:tcPr>
            <w:tcW w:w="3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San Diego, CA 92121</w:t>
            </w:r>
          </w:p>
        </w:tc>
        <w:tc>
          <w:tcPr>
            <w:tcW w:w="26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0"/>
        </w:trPr>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6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09"/>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00" w:type="dxa"/>
            <w:vAlign w:val="bottom"/>
            <w:gridSpan w:val="2"/>
          </w:tcPr>
          <w:p>
            <w:pPr>
              <w:jc w:val="center"/>
              <w:ind w:left="102"/>
              <w:spacing w:after="0"/>
              <w:rPr>
                <w:sz w:val="20"/>
                <w:szCs w:val="20"/>
                <w:color w:val="auto"/>
              </w:rPr>
            </w:pPr>
            <w:r>
              <w:rPr>
                <w:rFonts w:ascii="Times New Roman" w:cs="Times New Roman" w:eastAsia="Times New Roman" w:hAnsi="Times New Roman"/>
                <w:sz w:val="18"/>
                <w:szCs w:val="18"/>
                <w:b w:val="1"/>
                <w:bCs w:val="1"/>
                <w:color w:val="auto"/>
                <w:w w:val="99"/>
              </w:rPr>
              <w:t>(858) 362-6295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90"/>
        </w:trPr>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6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20"/>
        </w:trPr>
        <w:tc>
          <w:tcPr>
            <w:tcW w:w="3580" w:type="dxa"/>
            <w:vAlign w:val="bottom"/>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spacing w:after="0"/>
              <w:rPr>
                <w:sz w:val="24"/>
                <w:szCs w:val="24"/>
                <w:color w:val="auto"/>
              </w:rPr>
            </w:pPr>
          </w:p>
        </w:tc>
        <w:tc>
          <w:tcPr>
            <w:tcW w:w="3600" w:type="dxa"/>
            <w:vAlign w:val="bottom"/>
          </w:tcPr>
          <w:p>
            <w:pPr>
              <w:spacing w:after="0"/>
              <w:rPr>
                <w:sz w:val="24"/>
                <w:szCs w:val="24"/>
                <w:color w:val="auto"/>
              </w:rPr>
            </w:pPr>
          </w:p>
        </w:tc>
      </w:tr>
      <w:tr>
        <w:trPr>
          <w:trHeight w:val="318"/>
        </w:trPr>
        <w:tc>
          <w:tcPr>
            <w:tcW w:w="112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135"/>
        </w:trPr>
        <w:tc>
          <w:tcPr>
            <w:tcW w:w="398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gridSpan w:val="2"/>
          </w:tcPr>
          <w:p>
            <w:pPr>
              <w:spacing w:after="0"/>
              <w:rPr>
                <w:sz w:val="11"/>
                <w:szCs w:val="11"/>
                <w:color w:val="auto"/>
              </w:rPr>
            </w:pPr>
          </w:p>
        </w:tc>
      </w:tr>
      <w:tr>
        <w:trPr>
          <w:trHeight w:val="223"/>
        </w:trPr>
        <w:tc>
          <w:tcPr>
            <w:tcW w:w="3980" w:type="dxa"/>
            <w:vAlign w:val="bottom"/>
            <w:tcBorders>
              <w:left w:val="single" w:sz="8" w:color="auto"/>
              <w:bottom w:val="single" w:sz="8" w:color="auto"/>
            </w:tcBorders>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0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20" w:type="dxa"/>
            <w:vAlign w:val="bottom"/>
            <w:tcBorders>
              <w:bottom w:val="single" w:sz="8" w:color="auto"/>
            </w:tcBorders>
          </w:tcPr>
          <w:p>
            <w:pPr>
              <w:spacing w:after="0"/>
              <w:rPr>
                <w:sz w:val="19"/>
                <w:szCs w:val="19"/>
                <w:color w:val="auto"/>
              </w:rPr>
            </w:pPr>
          </w:p>
        </w:tc>
        <w:tc>
          <w:tcPr>
            <w:tcW w:w="3860" w:type="dxa"/>
            <w:vAlign w:val="bottom"/>
            <w:tcBorders>
              <w:bottom w:val="single" w:sz="8" w:color="auto"/>
              <w:right w:val="single" w:sz="8" w:color="auto"/>
            </w:tcBorders>
            <w:gridSpan w:val="2"/>
          </w:tcPr>
          <w:p>
            <w:pPr>
              <w:jc w:val="center"/>
              <w:ind w:right="259"/>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980" w:type="dxa"/>
            <w:vAlign w:val="bottom"/>
            <w:tcBorders>
              <w:left w:val="single" w:sz="8" w:color="auto"/>
              <w:bottom w:val="single" w:sz="8" w:color="auto"/>
            </w:tcBorders>
            <w:gridSpan w:val="2"/>
          </w:tcPr>
          <w:p>
            <w:pPr>
              <w:jc w:val="center"/>
              <w:ind w:left="16"/>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00" w:type="dxa"/>
            <w:vAlign w:val="bottom"/>
            <w:tcBorders>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jc w:val="center"/>
              <w:ind w:right="519"/>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76" w:lineRule="exact"/>
        <w:rPr>
          <w:sz w:val="24"/>
          <w:szCs w:val="24"/>
          <w:color w:val="auto"/>
        </w:rPr>
      </w:pPr>
    </w:p>
    <w:p>
      <w:pPr>
        <w:ind w:right="26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tabs>
          <w:tab w:leader="none" w:pos="2600" w:val="left"/>
          <w:tab w:leader="none" w:pos="3360" w:val="left"/>
        </w:tabs>
        <w:rPr>
          <w:sz w:val="20"/>
          <w:szCs w:val="20"/>
          <w:color w:val="auto"/>
        </w:rPr>
      </w:pPr>
      <w:r>
        <w:rPr>
          <w:rFonts w:ascii="Times New Roman" w:cs="Times New Roman" w:eastAsia="Times New Roman" w:hAnsi="Times New Roman"/>
          <w:sz w:val="18"/>
          <w:szCs w:val="18"/>
          <w:color w:val="auto"/>
        </w:rPr>
        <w:t>requirements for the past 90 days:</w:t>
        <w:tab/>
        <w:t xml:space="preserve">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62" w:lineRule="exact"/>
        <w:rPr>
          <w:sz w:val="24"/>
          <w:szCs w:val="24"/>
          <w:color w:val="auto"/>
        </w:rPr>
      </w:pPr>
    </w:p>
    <w:p>
      <w:pPr>
        <w:ind w:right="320"/>
        <w:spacing w:after="0" w:line="25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88" w:lineRule="exact"/>
        <w:tabs>
          <w:tab w:leader="none" w:pos="580" w:val="left"/>
          <w:tab w:leader="none" w:pos="134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25"/>
          <w:szCs w:val="25"/>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63"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500"/>
              <w:spacing w:after="0" w:line="201" w:lineRule="exact"/>
              <w:rPr>
                <w:sz w:val="20"/>
                <w:szCs w:val="20"/>
                <w:color w:val="auto"/>
              </w:rPr>
            </w:pPr>
            <w:r>
              <w:rPr>
                <w:rFonts w:ascii="MS PGothic" w:cs="MS PGothic" w:eastAsia="MS PGothic" w:hAnsi="MS PGothic"/>
                <w:sz w:val="20"/>
                <w:szCs w:val="20"/>
                <w:color w:val="auto"/>
              </w:rPr>
              <w:t>☐</w:t>
            </w:r>
          </w:p>
        </w:tc>
        <w:tc>
          <w:tcPr>
            <w:tcW w:w="4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360"/>
              <w:spacing w:after="0" w:line="201" w:lineRule="exact"/>
              <w:rPr>
                <w:sz w:val="20"/>
                <w:szCs w:val="20"/>
                <w:color w:val="auto"/>
              </w:rPr>
            </w:pPr>
            <w:r>
              <w:rPr>
                <w:rFonts w:ascii="MS PGothic" w:cs="MS PGothic" w:eastAsia="MS PGothic" w:hAnsi="MS PGothic"/>
                <w:sz w:val="20"/>
                <w:szCs w:val="20"/>
                <w:color w:val="auto"/>
                <w:w w:val="89"/>
              </w:rPr>
              <w:t>☐</w:t>
            </w:r>
          </w:p>
        </w:tc>
      </w:tr>
      <w:tr>
        <w:trPr>
          <w:trHeight w:val="33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50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4"/>
        </w:trPr>
        <w:tc>
          <w:tcPr>
            <w:tcW w:w="2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360"/>
              <w:spacing w:after="0" w:line="201" w:lineRule="exact"/>
              <w:rPr>
                <w:sz w:val="20"/>
                <w:szCs w:val="20"/>
                <w:color w:val="auto"/>
              </w:rPr>
            </w:pPr>
            <w:r>
              <w:rPr>
                <w:rFonts w:ascii="MS PGothic" w:cs="MS PGothic" w:eastAsia="MS PGothic" w:hAnsi="MS PGothic"/>
                <w:sz w:val="20"/>
                <w:szCs w:val="20"/>
                <w:color w:val="auto"/>
                <w:w w:val="89"/>
              </w:rPr>
              <w:t>☐</w:t>
            </w:r>
          </w:p>
        </w:tc>
      </w:tr>
    </w:tbl>
    <w:p>
      <w:pPr>
        <w:spacing w:after="0" w:line="40" w:lineRule="exact"/>
        <w:rPr>
          <w:sz w:val="24"/>
          <w:szCs w:val="24"/>
          <w:color w:val="auto"/>
        </w:rPr>
      </w:pPr>
    </w:p>
    <w:p>
      <w:pPr>
        <w:ind w:right="18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88" w:lineRule="exact"/>
        <w:tabs>
          <w:tab w:leader="none" w:pos="840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46"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As of July 31, 2024, there were 27,449,316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663575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135890</wp:posOffset>
            </wp:positionV>
            <wp:extent cx="2588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ectPr>
          <w:pgSz w:w="11900" w:h="16838" w:orient="portrait"/>
          <w:cols w:equalWidth="0" w:num="1">
            <w:col w:w="10139"/>
          </w:cols>
          <w:pgMar w:left="320" w:top="823" w:right="1440" w:bottom="1440" w:gutter="0" w:footer="0" w:header="0"/>
        </w:sectPr>
      </w:pPr>
    </w:p>
    <w:bookmarkStart w:id="2" w:name="page3"/>
    <w:bookmarkEnd w:id="2"/>
    <w:p>
      <w:pPr>
        <w:ind w:left="4860"/>
        <w:spacing w:after="0"/>
        <w:rPr>
          <w:sz w:val="20"/>
          <w:szCs w:val="20"/>
          <w:color w:val="auto"/>
        </w:rPr>
      </w:pPr>
      <w:r>
        <w:rPr>
          <w:rFonts w:ascii="Times New Roman" w:cs="Times New Roman" w:eastAsia="Times New Roman" w:hAnsi="Times New Roman"/>
          <w:sz w:val="22"/>
          <w:szCs w:val="22"/>
          <w:b w:val="1"/>
          <w:bCs w:val="1"/>
          <w:color w:val="auto"/>
        </w:rPr>
        <w:t>AnaptysBio, Inc.</w:t>
      </w:r>
    </w:p>
    <w:p>
      <w:pPr>
        <w:spacing w:after="0" w:line="3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39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5"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0000FF"/>
        </w:rPr>
        <w:t>Item 1.</w:t>
      </w:r>
      <w:r>
        <w:rPr>
          <w:sz w:val="20"/>
          <w:szCs w:val="20"/>
          <w:color w:val="auto"/>
        </w:rPr>
        <w:tab/>
      </w:r>
      <w:r>
        <w:rPr>
          <w:rFonts w:ascii="Times New Roman" w:cs="Times New Roman" w:eastAsia="Times New Roman" w:hAnsi="Times New Roman"/>
          <w:sz w:val="18"/>
          <w:szCs w:val="18"/>
          <w:u w:val="single" w:color="auto"/>
          <w:color w:val="0000FF"/>
        </w:rPr>
        <w:t>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June 30, 2024 and December 31, 2023</w:t>
      </w:r>
    </w:p>
    <w:p>
      <w:pPr>
        <w:spacing w:after="0" w:line="117" w:lineRule="exact"/>
        <w:rPr>
          <w:sz w:val="20"/>
          <w:szCs w:val="20"/>
          <w:color w:val="auto"/>
        </w:rPr>
      </w:pPr>
    </w:p>
    <w:p>
      <w:pPr>
        <w:ind w:left="1340"/>
        <w:spacing w:after="0" w:line="250" w:lineRule="auto"/>
        <w:rPr>
          <w:sz w:val="20"/>
          <w:szCs w:val="20"/>
          <w:color w:val="auto"/>
        </w:rPr>
      </w:pPr>
      <w:r>
        <w:rPr>
          <w:rFonts w:ascii="Times New Roman" w:cs="Times New Roman" w:eastAsia="Times New Roman" w:hAnsi="Times New Roman"/>
          <w:sz w:val="18"/>
          <w:szCs w:val="18"/>
          <w:u w:val="single" w:color="auto"/>
          <w:color w:val="0000FF"/>
        </w:rPr>
        <w:t>Consolidated Statements of Operations and Comprehensive Loss for the Three and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-269875</wp:posOffset>
            </wp:positionV>
            <wp:extent cx="7115175" cy="316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316865"/>
                    </a:xfrm>
                    <a:prstGeom prst="rect">
                      <a:avLst/>
                    </a:prstGeom>
                    <a:noFill/>
                  </pic:spPr>
                </pic:pic>
              </a:graphicData>
            </a:graphic>
          </wp:anchor>
        </w:drawing>
      </w:r>
    </w:p>
    <w:p>
      <w:pPr>
        <w:spacing w:after="0" w:line="4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 for the Three and Six Months Ended June 30, 2024</w:t>
      </w:r>
    </w:p>
    <w:p>
      <w:pPr>
        <w:spacing w:after="0" w:line="1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 for the Three and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Six Months Ended June 30, 2024 and 2023</w:t>
      </w:r>
    </w:p>
    <w:p>
      <w:pPr>
        <w:spacing w:after="0" w:line="1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0000FF"/>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117"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0000FF"/>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sz w:val="20"/>
          <w:szCs w:val="20"/>
          <w:color w:val="auto"/>
        </w:rPr>
      </w:pPr>
    </w:p>
    <w:p>
      <w:pPr>
        <w:ind w:left="80"/>
        <w:spacing w:after="0"/>
        <w:tabs>
          <w:tab w:leader="none" w:pos="1320" w:val="left"/>
        </w:tabs>
        <w:rPr>
          <w:sz w:val="20"/>
          <w:szCs w:val="20"/>
          <w:color w:val="auto"/>
        </w:rPr>
      </w:pPr>
      <w:r>
        <w:rPr>
          <w:rFonts w:ascii="Times New Roman" w:cs="Times New Roman" w:eastAsia="Times New Roman" w:hAnsi="Times New Roman"/>
          <w:sz w:val="18"/>
          <w:szCs w:val="18"/>
          <w:color w:val="0000FF"/>
        </w:rPr>
        <w:t>Item 4.</w:t>
      </w:r>
      <w:r>
        <w:rPr>
          <w:sz w:val="20"/>
          <w:szCs w:val="20"/>
          <w:color w:val="auto"/>
        </w:rPr>
        <w:tab/>
      </w:r>
      <w:r>
        <w:rPr>
          <w:rFonts w:ascii="Times New Roman" w:cs="Times New Roman" w:eastAsia="Times New Roman" w:hAnsi="Times New Roman"/>
          <w:sz w:val="18"/>
          <w:szCs w:val="18"/>
          <w:u w:val="single" w:color="auto"/>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6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24765</wp:posOffset>
            </wp:positionV>
            <wp:extent cx="840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00FF"/>
        </w:rPr>
        <w:t>1</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00FF"/>
        </w:rPr>
        <w:t>1</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00FF"/>
        </w:rPr>
        <w:t>2</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00FF"/>
        </w:rPr>
        <w:t>3</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00FF"/>
        </w:rPr>
        <w:t>4</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00FF"/>
        </w:rPr>
        <w:t>5</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0000FF"/>
        </w:rPr>
        <w:t>6</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0000FF"/>
        </w:rPr>
        <w:t>22</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0000FF"/>
        </w:rPr>
        <w:t>31</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0000FF"/>
        </w:rPr>
        <w:t>31</w:t>
      </w:r>
    </w:p>
    <w:p>
      <w:pPr>
        <w:spacing w:after="0" w:line="546" w:lineRule="exact"/>
        <w:rPr>
          <w:sz w:val="20"/>
          <w:szCs w:val="20"/>
          <w:color w:val="auto"/>
        </w:rPr>
      </w:pPr>
    </w:p>
    <w:p>
      <w:pPr>
        <w:sectPr>
          <w:pgSz w:w="11900" w:h="16838" w:orient="portrait"/>
          <w:cols w:equalWidth="0" w:num="2">
            <w:col w:w="9740" w:space="340"/>
            <w:col w:w="1160"/>
          </w:cols>
          <w:pgMar w:left="320" w:top="891" w:right="339" w:bottom="1440" w:gutter="0" w:footer="0" w:header="0"/>
        </w:sectPr>
      </w:pPr>
    </w:p>
    <w:tbl>
      <w:tblPr>
        <w:tblLayout w:type="fixed"/>
        <w:tblInd w:w="20" w:type="dxa"/>
        <w:tblCellMar>
          <w:top w:w="0" w:type="dxa"/>
          <w:left w:w="0" w:type="dxa"/>
          <w:bottom w:w="0" w:type="dxa"/>
          <w:right w:w="0" w:type="dxa"/>
        </w:tblCellMar>
      </w:tblPr>
      <w:tr>
        <w:trPr>
          <w:trHeight w:val="250"/>
        </w:trPr>
        <w:tc>
          <w:tcPr>
            <w:tcW w:w="13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812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7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81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760" w:type="dxa"/>
            <w:vAlign w:val="bottom"/>
            <w:vMerge w:val="restart"/>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0000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47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CCEEFF"/>
            </w:tcBorders>
            <w:shd w:val="clear" w:color="auto" w:fill="CCEEFF"/>
          </w:tcPr>
          <w:p>
            <w:pPr>
              <w:spacing w:after="0"/>
              <w:rPr>
                <w:sz w:val="10"/>
                <w:szCs w:val="10"/>
                <w:color w:val="auto"/>
              </w:rPr>
            </w:pPr>
          </w:p>
        </w:tc>
        <w:tc>
          <w:tcPr>
            <w:tcW w:w="1760" w:type="dxa"/>
            <w:vAlign w:val="bottom"/>
            <w:tcBorders>
              <w:top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812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7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0000FF"/>
              </w:rPr>
              <w:t>65</w:t>
            </w:r>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4780" w:type="dxa"/>
            <w:vAlign w:val="bottom"/>
            <w:tcBorders>
              <w:top w:val="single" w:sz="8" w:color="0000FF"/>
            </w:tcBorders>
          </w:tcPr>
          <w:p>
            <w:pPr>
              <w:spacing w:after="0"/>
              <w:rPr>
                <w:sz w:val="10"/>
                <w:szCs w:val="10"/>
                <w:color w:val="auto"/>
              </w:rPr>
            </w:pPr>
          </w:p>
        </w:tc>
        <w:tc>
          <w:tcPr>
            <w:tcW w:w="100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81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760" w:type="dxa"/>
            <w:vAlign w:val="bottom"/>
            <w:vMerge w:val="restart"/>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0000FF"/>
              </w:rPr>
              <w:t>66</w:t>
            </w:r>
          </w:p>
        </w:tc>
        <w:tc>
          <w:tcPr>
            <w:tcW w:w="0" w:type="dxa"/>
            <w:vAlign w:val="bottom"/>
          </w:tcPr>
          <w:p>
            <w:pPr>
              <w:spacing w:after="0"/>
              <w:rPr>
                <w:sz w:val="1"/>
                <w:szCs w:val="1"/>
                <w:color w:val="auto"/>
              </w:rPr>
            </w:pPr>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0000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440" w:type="dxa"/>
            <w:vAlign w:val="bottom"/>
            <w:tcBorders>
              <w:top w:val="single" w:sz="8" w:color="0000FF"/>
            </w:tcBorders>
            <w:shd w:val="clear" w:color="auto" w:fill="CCEEFF"/>
          </w:tcPr>
          <w:p>
            <w:pPr>
              <w:spacing w:after="0"/>
              <w:rPr>
                <w:sz w:val="10"/>
                <w:szCs w:val="10"/>
                <w:color w:val="auto"/>
              </w:rPr>
            </w:pPr>
          </w:p>
        </w:tc>
        <w:tc>
          <w:tcPr>
            <w:tcW w:w="560" w:type="dxa"/>
            <w:vAlign w:val="bottom"/>
            <w:tcBorders>
              <w:top w:val="single" w:sz="8" w:color="0000FF"/>
            </w:tcBorders>
            <w:shd w:val="clear" w:color="auto" w:fill="CCEEFF"/>
          </w:tcPr>
          <w:p>
            <w:pPr>
              <w:spacing w:after="0"/>
              <w:rPr>
                <w:sz w:val="10"/>
                <w:szCs w:val="10"/>
                <w:color w:val="auto"/>
              </w:rPr>
            </w:pPr>
          </w:p>
        </w:tc>
        <w:tc>
          <w:tcPr>
            <w:tcW w:w="47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CCEEFF"/>
            </w:tcBorders>
            <w:shd w:val="clear" w:color="auto" w:fill="CCEEFF"/>
          </w:tcPr>
          <w:p>
            <w:pPr>
              <w:spacing w:after="0"/>
              <w:rPr>
                <w:sz w:val="10"/>
                <w:szCs w:val="10"/>
                <w:color w:val="auto"/>
              </w:rPr>
            </w:pPr>
          </w:p>
        </w:tc>
        <w:tc>
          <w:tcPr>
            <w:tcW w:w="1760" w:type="dxa"/>
            <w:vAlign w:val="bottom"/>
            <w:tcBorders>
              <w:top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812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7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0000FF"/>
              </w:rPr>
              <w:t>67</w:t>
            </w:r>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56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81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760" w:type="dxa"/>
            <w:vAlign w:val="bottom"/>
            <w:vMerge w:val="restart"/>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0000FF"/>
              </w:rPr>
              <w:t>67</w:t>
            </w:r>
          </w:p>
        </w:tc>
        <w:tc>
          <w:tcPr>
            <w:tcW w:w="0" w:type="dxa"/>
            <w:vAlign w:val="bottom"/>
          </w:tcPr>
          <w:p>
            <w:pPr>
              <w:spacing w:after="0"/>
              <w:rPr>
                <w:sz w:val="1"/>
                <w:szCs w:val="1"/>
                <w:color w:val="auto"/>
              </w:rPr>
            </w:pPr>
          </w:p>
        </w:tc>
      </w:tr>
      <w:tr>
        <w:trPr>
          <w:trHeight w:val="115"/>
        </w:trPr>
        <w:tc>
          <w:tcPr>
            <w:tcW w:w="13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0000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47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CCEEFF"/>
            </w:tcBorders>
            <w:shd w:val="clear" w:color="auto" w:fill="CCEEFF"/>
          </w:tcPr>
          <w:p>
            <w:pPr>
              <w:spacing w:after="0"/>
              <w:rPr>
                <w:sz w:val="10"/>
                <w:szCs w:val="10"/>
                <w:color w:val="auto"/>
              </w:rPr>
            </w:pPr>
          </w:p>
        </w:tc>
        <w:tc>
          <w:tcPr>
            <w:tcW w:w="1760" w:type="dxa"/>
            <w:vAlign w:val="bottom"/>
            <w:tcBorders>
              <w:top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812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7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0000FF"/>
              </w:rPr>
              <w:t>67</w:t>
            </w:r>
          </w:p>
        </w:tc>
        <w:tc>
          <w:tcPr>
            <w:tcW w:w="0" w:type="dxa"/>
            <w:vAlign w:val="bottom"/>
          </w:tcPr>
          <w:p>
            <w:pPr>
              <w:spacing w:after="0"/>
              <w:rPr>
                <w:sz w:val="1"/>
                <w:szCs w:val="1"/>
                <w:color w:val="auto"/>
              </w:rPr>
            </w:pPr>
          </w:p>
        </w:tc>
      </w:tr>
      <w:tr>
        <w:trPr>
          <w:trHeight w:val="115"/>
        </w:trPr>
        <w:tc>
          <w:tcPr>
            <w:tcW w:w="1320" w:type="dxa"/>
            <w:vAlign w:val="bottom"/>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0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 Index</w:t>
            </w:r>
          </w:p>
        </w:tc>
        <w:tc>
          <w:tcPr>
            <w:tcW w:w="4820" w:type="dxa"/>
            <w:vAlign w:val="bottom"/>
            <w:vMerge w:val="restart"/>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0000FF"/>
            </w:tcBorders>
            <w:shd w:val="clear" w:color="auto" w:fill="CCEEFF"/>
          </w:tcPr>
          <w:p>
            <w:pPr>
              <w:spacing w:after="0"/>
              <w:rPr>
                <w:sz w:val="10"/>
                <w:szCs w:val="10"/>
                <w:color w:val="auto"/>
              </w:rPr>
            </w:pPr>
          </w:p>
        </w:tc>
        <w:tc>
          <w:tcPr>
            <w:tcW w:w="240" w:type="dxa"/>
            <w:vAlign w:val="bottom"/>
            <w:tcBorders>
              <w:top w:val="single" w:sz="8" w:color="0000FF"/>
            </w:tcBorders>
            <w:shd w:val="clear" w:color="auto" w:fill="CCEEFF"/>
          </w:tcPr>
          <w:p>
            <w:pPr>
              <w:spacing w:after="0"/>
              <w:rPr>
                <w:sz w:val="10"/>
                <w:szCs w:val="10"/>
                <w:color w:val="auto"/>
              </w:rPr>
            </w:pPr>
          </w:p>
        </w:tc>
        <w:tc>
          <w:tcPr>
            <w:tcW w:w="4060" w:type="dxa"/>
            <w:vAlign w:val="bottom"/>
            <w:tcBorders>
              <w:top w:val="single" w:sz="8" w:color="CCEEFF"/>
            </w:tcBorders>
            <w:shd w:val="clear" w:color="auto" w:fill="CCEEFF"/>
          </w:tcPr>
          <w:p>
            <w:pPr>
              <w:spacing w:after="0"/>
              <w:rPr>
                <w:sz w:val="10"/>
                <w:szCs w:val="10"/>
                <w:color w:val="auto"/>
              </w:rPr>
            </w:pPr>
          </w:p>
        </w:tc>
        <w:tc>
          <w:tcPr>
            <w:tcW w:w="4820" w:type="dxa"/>
            <w:vAlign w:val="bottom"/>
            <w:tcBorders>
              <w:top w:val="single" w:sz="8" w:color="CCEEFF"/>
            </w:tcBorders>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48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48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 w:name="page4"/>
    <w:bookmarkEnd w:id="3"/>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80" w:type="dxa"/>
            <w:vAlign w:val="bottom"/>
            <w:vMerge w:val="restart"/>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9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71,821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35,965</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collaborative partners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6,851</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354,939</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w:t>
            </w:r>
          </w:p>
        </w:tc>
        <w:tc>
          <w:tcPr>
            <w:tcW w:w="0" w:type="dxa"/>
            <w:vAlign w:val="bottom"/>
          </w:tcPr>
          <w:p>
            <w:pPr>
              <w:spacing w:after="0"/>
              <w:rPr>
                <w:sz w:val="1"/>
                <w:szCs w:val="1"/>
                <w:color w:val="auto"/>
              </w:rPr>
            </w:pPr>
          </w:p>
        </w:tc>
      </w:tr>
      <w:tr>
        <w:trPr>
          <w:trHeight w:val="207"/>
        </w:trPr>
        <w:tc>
          <w:tcPr>
            <w:tcW w:w="7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406,835</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16,174</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27,026</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34"/>
        </w:trPr>
        <w:tc>
          <w:tcPr>
            <w:tcW w:w="79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452,389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8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30,967</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37,442</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related to sale of future royalties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310,807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16,037</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9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Preferred stock, $0.001 par value, 10,000 shares authorized and no shares, issued or outstanding at June 30, 2024 and</w:t>
            </w:r>
          </w:p>
        </w:tc>
        <w:tc>
          <w:tcPr>
            <w:tcW w:w="22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2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$0.001 par value, 500,000 shares authorized, 27,434 shares and 26,597 shares issued and outstanding at</w:t>
            </w:r>
          </w:p>
        </w:tc>
        <w:tc>
          <w:tcPr>
            <w:tcW w:w="2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2024 and December 31, 2023, respectively</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702,969</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(704,692)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(614,096)</w:t>
            </w:r>
          </w:p>
        </w:tc>
        <w:tc>
          <w:tcPr>
            <w:tcW w:w="0" w:type="dxa"/>
            <w:vAlign w:val="bottom"/>
          </w:tcPr>
          <w:p>
            <w:pPr>
              <w:spacing w:after="0"/>
              <w:rPr>
                <w:sz w:val="1"/>
                <w:szCs w:val="1"/>
                <w:color w:val="auto"/>
              </w:rPr>
            </w:pPr>
          </w:p>
        </w:tc>
      </w:tr>
      <w:tr>
        <w:trPr>
          <w:trHeight w:val="207"/>
        </w:trPr>
        <w:tc>
          <w:tcPr>
            <w:tcW w:w="7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88,103</w:t>
            </w:r>
          </w:p>
        </w:tc>
        <w:tc>
          <w:tcPr>
            <w:tcW w:w="0" w:type="dxa"/>
            <w:vAlign w:val="bottom"/>
          </w:tcPr>
          <w:p>
            <w:pPr>
              <w:spacing w:after="0"/>
              <w:rPr>
                <w:sz w:val="1"/>
                <w:szCs w:val="1"/>
                <w:color w:val="auto"/>
              </w:rPr>
            </w:pPr>
          </w:p>
        </w:tc>
      </w:tr>
      <w:tr>
        <w:trPr>
          <w:trHeight w:val="235"/>
        </w:trPr>
        <w:tc>
          <w:tcPr>
            <w:tcW w:w="79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452,389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6"/>
        </w:trPr>
        <w:tc>
          <w:tcPr>
            <w:tcW w:w="5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52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6"/>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Collaboration revenue</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10,971</w:t>
            </w:r>
          </w:p>
        </w:tc>
        <w:tc>
          <w:tcPr>
            <w:tcW w:w="1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18,150</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4,834</w:t>
            </w:r>
          </w:p>
        </w:tc>
      </w:tr>
      <w:tr>
        <w:trPr>
          <w:trHeight w:val="19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41,997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32,923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79,039</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67,880</w:t>
            </w:r>
          </w:p>
        </w:tc>
      </w:tr>
      <w:tr>
        <w:trPr>
          <w:trHeight w:val="213"/>
        </w:trPr>
        <w:tc>
          <w:tcPr>
            <w:tcW w:w="5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9,295</w:t>
            </w:r>
          </w:p>
        </w:tc>
        <w:tc>
          <w:tcPr>
            <w:tcW w:w="1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10,680</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21,633</w:t>
            </w:r>
          </w:p>
        </w:tc>
        <w:tc>
          <w:tcPr>
            <w:tcW w:w="10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21,498</w:t>
            </w:r>
          </w:p>
        </w:tc>
      </w:tr>
      <w:tr>
        <w:trPr>
          <w:trHeight w:val="212"/>
        </w:trPr>
        <w:tc>
          <w:tcPr>
            <w:tcW w:w="52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51,292</w:t>
            </w:r>
          </w:p>
        </w:tc>
        <w:tc>
          <w:tcPr>
            <w:tcW w:w="1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43,603</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100,672</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89,378</w:t>
            </w:r>
          </w:p>
        </w:tc>
      </w:tr>
      <w:tr>
        <w:trPr>
          <w:trHeight w:val="207"/>
        </w:trPr>
        <w:tc>
          <w:tcPr>
            <w:tcW w:w="5220" w:type="dxa"/>
            <w:vAlign w:val="bottom"/>
            <w:tcBorders>
              <w:bottom w:val="single" w:sz="8" w:color="CFF0FC"/>
            </w:tcBorders>
          </w:tcPr>
          <w:p>
            <w:pPr>
              <w:ind w:left="760"/>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(40,321)</w:t>
            </w:r>
          </w:p>
        </w:tc>
        <w:tc>
          <w:tcPr>
            <w:tcW w:w="1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(40,143)</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(82,522)</w:t>
            </w:r>
          </w:p>
        </w:tc>
        <w:tc>
          <w:tcPr>
            <w:tcW w:w="10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(84,544)</w:t>
            </w:r>
          </w:p>
        </w:tc>
      </w:tr>
      <w:tr>
        <w:trPr>
          <w:trHeight w:val="199"/>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13"/>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9,139</w:t>
            </w:r>
          </w:p>
        </w:tc>
      </w:tr>
      <w:tr>
        <w:trPr>
          <w:trHeight w:val="219"/>
        </w:trPr>
        <w:tc>
          <w:tcPr>
            <w:tcW w:w="52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Non-cash interest expense for the sale of future royalties</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(10,953)</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(17,270)</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(8,694)</w:t>
            </w:r>
          </w:p>
        </w:tc>
      </w:tr>
      <w:tr>
        <w:trPr>
          <w:trHeight w:val="213"/>
        </w:trPr>
        <w:tc>
          <w:tcPr>
            <w:tcW w:w="5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5220" w:type="dxa"/>
            <w:vAlign w:val="bottom"/>
            <w:tcBorders>
              <w:top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(6,330)</w:t>
            </w:r>
          </w:p>
        </w:tc>
        <w:tc>
          <w:tcPr>
            <w:tcW w:w="1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(8,065)</w:t>
            </w: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07"/>
        </w:trPr>
        <w:tc>
          <w:tcPr>
            <w:tcW w:w="52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(46,651)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(90,587)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(84,100)</w:t>
            </w:r>
          </w:p>
        </w:tc>
      </w:tr>
      <w:tr>
        <w:trPr>
          <w:trHeight w:val="219"/>
        </w:trPr>
        <w:tc>
          <w:tcPr>
            <w:tcW w:w="52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220" w:type="dxa"/>
            <w:vAlign w:val="bottom"/>
            <w:tcBorders>
              <w:bottom w:val="single" w:sz="8" w:color="CFF0FC"/>
            </w:tcBorders>
          </w:tcPr>
          <w:p>
            <w:pPr>
              <w:ind w:left="7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(46,660)</w:t>
            </w:r>
          </w:p>
        </w:tc>
        <w:tc>
          <w:tcPr>
            <w:tcW w:w="100" w:type="dxa"/>
            <w:vAlign w:val="bottom"/>
            <w:tcBorders>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(39,845)</w:t>
            </w:r>
          </w:p>
        </w:tc>
        <w:tc>
          <w:tcPr>
            <w:tcW w:w="10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(90,596)</w:t>
            </w:r>
          </w:p>
        </w:tc>
        <w:tc>
          <w:tcPr>
            <w:tcW w:w="100" w:type="dxa"/>
            <w:vAlign w:val="bottom"/>
            <w:tcBorders>
              <w:bottom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(84,100)</w:t>
            </w:r>
          </w:p>
        </w:tc>
      </w:tr>
      <w:tr>
        <w:trPr>
          <w:trHeight w:val="212"/>
        </w:trPr>
        <w:tc>
          <w:tcPr>
            <w:tcW w:w="52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Unrealized gain (loss) on available for sale securities</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1,635</w:t>
            </w:r>
          </w:p>
        </w:tc>
      </w:tr>
      <w:tr>
        <w:trPr>
          <w:trHeight w:val="207"/>
        </w:trPr>
        <w:tc>
          <w:tcPr>
            <w:tcW w:w="52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Comprehensive loss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(46,451)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(40,189)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(90,214)</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(82,465)</w:t>
            </w: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6"/>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189"/>
        </w:trPr>
        <w:tc>
          <w:tcPr>
            <w:tcW w:w="52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Weighted-average number of shares outstanding:</w:t>
            </w: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213"/>
        </w:trPr>
        <w:tc>
          <w:tcPr>
            <w:tcW w:w="52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27,356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27,079</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27,288</w:t>
            </w:r>
          </w:p>
        </w:tc>
      </w:tr>
      <w:tr>
        <w:trPr>
          <w:trHeight w:val="23"/>
        </w:trPr>
        <w:tc>
          <w:tcPr>
            <w:tcW w:w="5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60" w:type="dxa"/>
            <w:vAlign w:val="bottom"/>
          </w:tcPr>
          <w:p>
            <w:pPr>
              <w:spacing w:after="0"/>
              <w:rPr>
                <w:sz w:val="13"/>
                <w:szCs w:val="13"/>
                <w:color w:val="auto"/>
              </w:rPr>
            </w:pPr>
          </w:p>
        </w:tc>
        <w:tc>
          <w:tcPr>
            <w:tcW w:w="17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9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7"/>
                <w:szCs w:val="7"/>
                <w:color w:val="auto"/>
              </w:rPr>
            </w:pPr>
          </w:p>
        </w:tc>
        <w:tc>
          <w:tcPr>
            <w:tcW w:w="1120" w:type="dxa"/>
            <w:vAlign w:val="bottom"/>
            <w:gridSpan w:val="2"/>
          </w:tcPr>
          <w:p>
            <w:pPr>
              <w:jc w:val="center"/>
              <w:ind w:right="340"/>
              <w:spacing w:after="0" w:line="81" w:lineRule="exact"/>
              <w:rPr>
                <w:sz w:val="20"/>
                <w:szCs w:val="20"/>
                <w:color w:val="auto"/>
              </w:rPr>
            </w:pPr>
            <w:r>
              <w:rPr>
                <w:rFonts w:ascii="Times New Roman" w:cs="Times New Roman" w:eastAsia="Times New Roman" w:hAnsi="Times New Roman"/>
                <w:sz w:val="9"/>
                <w:szCs w:val="9"/>
                <w:b w:val="1"/>
                <w:bCs w:val="1"/>
                <w:color w:val="auto"/>
              </w:rPr>
              <w:t>Paid-in</w:t>
            </w:r>
          </w:p>
        </w:tc>
        <w:tc>
          <w:tcPr>
            <w:tcW w:w="100" w:type="dxa"/>
            <w:vAlign w:val="bottom"/>
          </w:tcPr>
          <w:p>
            <w:pPr>
              <w:spacing w:after="0"/>
              <w:rPr>
                <w:sz w:val="7"/>
                <w:szCs w:val="7"/>
                <w:color w:val="auto"/>
              </w:rPr>
            </w:pPr>
          </w:p>
        </w:tc>
        <w:tc>
          <w:tcPr>
            <w:tcW w:w="1240" w:type="dxa"/>
            <w:vAlign w:val="bottom"/>
            <w:gridSpan w:val="2"/>
          </w:tcPr>
          <w:p>
            <w:pPr>
              <w:jc w:val="center"/>
              <w:ind w:right="200"/>
              <w:spacing w:after="0" w:line="81" w:lineRule="exact"/>
              <w:rPr>
                <w:sz w:val="20"/>
                <w:szCs w:val="20"/>
                <w:color w:val="auto"/>
              </w:rPr>
            </w:pPr>
            <w:r>
              <w:rPr>
                <w:rFonts w:ascii="Times New Roman" w:cs="Times New Roman" w:eastAsia="Times New Roman" w:hAnsi="Times New Roman"/>
                <w:sz w:val="9"/>
                <w:szCs w:val="9"/>
                <w:b w:val="1"/>
                <w:bCs w:val="1"/>
                <w:color w:val="auto"/>
              </w:rPr>
              <w:t>Accumulated Other</w:t>
            </w:r>
          </w:p>
        </w:tc>
        <w:tc>
          <w:tcPr>
            <w:tcW w:w="180" w:type="dxa"/>
            <w:vAlign w:val="bottom"/>
          </w:tcPr>
          <w:p>
            <w:pPr>
              <w:spacing w:after="0"/>
              <w:rPr>
                <w:sz w:val="7"/>
                <w:szCs w:val="7"/>
                <w:color w:val="auto"/>
              </w:rPr>
            </w:pPr>
          </w:p>
        </w:tc>
        <w:tc>
          <w:tcPr>
            <w:tcW w:w="1160" w:type="dxa"/>
            <w:vAlign w:val="bottom"/>
            <w:gridSpan w:val="2"/>
          </w:tcPr>
          <w:p>
            <w:pPr>
              <w:ind w:left="120"/>
              <w:spacing w:after="0" w:line="81"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80" w:type="dxa"/>
            <w:vAlign w:val="bottom"/>
          </w:tcPr>
          <w:p>
            <w:pPr>
              <w:spacing w:after="0"/>
              <w:rPr>
                <w:sz w:val="7"/>
                <w:szCs w:val="7"/>
                <w:color w:val="auto"/>
              </w:rPr>
            </w:pPr>
          </w:p>
        </w:tc>
        <w:tc>
          <w:tcPr>
            <w:tcW w:w="1040" w:type="dxa"/>
            <w:vAlign w:val="bottom"/>
          </w:tcPr>
          <w:p>
            <w:pPr>
              <w:jc w:val="center"/>
              <w:ind w:right="139"/>
              <w:spacing w:after="0" w:line="81"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155"/>
        </w:trPr>
        <w:tc>
          <w:tcPr>
            <w:tcW w:w="4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Comprehensive Loss</w:t>
            </w:r>
          </w:p>
        </w:tc>
        <w:tc>
          <w:tcPr>
            <w:tcW w:w="180" w:type="dxa"/>
            <w:vAlign w:val="bottom"/>
          </w:tcPr>
          <w:p>
            <w:pPr>
              <w:spacing w:after="0"/>
              <w:rPr>
                <w:sz w:val="13"/>
                <w:szCs w:val="13"/>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tcPr>
          <w:p>
            <w:pPr>
              <w:spacing w:after="0"/>
              <w:rPr>
                <w:sz w:val="13"/>
                <w:szCs w:val="13"/>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89"/>
        </w:trPr>
        <w:tc>
          <w:tcPr>
            <w:tcW w:w="41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26,597</w:t>
            </w: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702,969</w:t>
            </w: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(614,096)</w:t>
            </w: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88,103</w:t>
            </w:r>
          </w:p>
        </w:tc>
        <w:tc>
          <w:tcPr>
            <w:tcW w:w="0" w:type="dxa"/>
            <w:vAlign w:val="bottom"/>
          </w:tcPr>
          <w:p>
            <w:pPr>
              <w:spacing w:after="0"/>
              <w:rPr>
                <w:sz w:val="1"/>
                <w:szCs w:val="1"/>
                <w:color w:val="auto"/>
              </w:rPr>
            </w:pPr>
          </w:p>
        </w:tc>
      </w:tr>
      <w:tr>
        <w:trPr>
          <w:trHeight w:val="135"/>
        </w:trPr>
        <w:tc>
          <w:tcPr>
            <w:tcW w:w="416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Issuance of common stock from exercises of options and employee</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share settlement of restricted stock units</w:t>
            </w:r>
          </w:p>
        </w:tc>
        <w:tc>
          <w:tcPr>
            <w:tcW w:w="82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9"/>
              </w:rPr>
              <w:t>(347)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(7,504)</w:t>
            </w: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10,131</w:t>
            </w:r>
          </w:p>
        </w:tc>
        <w:tc>
          <w:tcPr>
            <w:tcW w:w="0" w:type="dxa"/>
            <w:vAlign w:val="bottom"/>
          </w:tcPr>
          <w:p>
            <w:pPr>
              <w:spacing w:after="0"/>
              <w:rPr>
                <w:sz w:val="1"/>
                <w:szCs w:val="1"/>
                <w:color w:val="auto"/>
              </w:rPr>
            </w:pPr>
          </w:p>
        </w:tc>
      </w:tr>
      <w:tr>
        <w:trPr>
          <w:trHeight w:val="195"/>
        </w:trPr>
        <w:tc>
          <w:tcPr>
            <w:tcW w:w="4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gain, net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(43,936)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(43,936)</w:t>
            </w:r>
          </w:p>
        </w:tc>
        <w:tc>
          <w:tcPr>
            <w:tcW w:w="0" w:type="dxa"/>
            <w:vAlign w:val="bottom"/>
          </w:tcPr>
          <w:p>
            <w:pPr>
              <w:spacing w:after="0"/>
              <w:rPr>
                <w:sz w:val="1"/>
                <w:szCs w:val="1"/>
                <w:color w:val="auto"/>
              </w:rPr>
            </w:pPr>
          </w:p>
        </w:tc>
      </w:tr>
      <w:tr>
        <w:trPr>
          <w:trHeight w:val="176"/>
        </w:trPr>
        <w:tc>
          <w:tcPr>
            <w:tcW w:w="41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27,317</w:t>
            </w:r>
          </w:p>
        </w:tc>
        <w:tc>
          <w:tcPr>
            <w:tcW w:w="1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706,407</w:t>
            </w: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(658,032)</w:t>
            </w: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47,778</w:t>
            </w:r>
          </w:p>
        </w:tc>
        <w:tc>
          <w:tcPr>
            <w:tcW w:w="0" w:type="dxa"/>
            <w:vAlign w:val="bottom"/>
          </w:tcPr>
          <w:p>
            <w:pPr>
              <w:spacing w:after="0"/>
              <w:rPr>
                <w:sz w:val="1"/>
                <w:szCs w:val="1"/>
                <w:color w:val="auto"/>
              </w:rPr>
            </w:pPr>
          </w:p>
        </w:tc>
      </w:tr>
      <w:tr>
        <w:trPr>
          <w:trHeight w:val="121"/>
        </w:trPr>
        <w:tc>
          <w:tcPr>
            <w:tcW w:w="4160" w:type="dxa"/>
            <w:vAlign w:val="bottom"/>
            <w:shd w:val="clear" w:color="auto" w:fill="CFF0FC"/>
          </w:tcPr>
          <w:p>
            <w:pPr>
              <w:ind w:left="100"/>
              <w:spacing w:after="0" w:line="121" w:lineRule="exact"/>
              <w:rPr>
                <w:sz w:val="20"/>
                <w:szCs w:val="20"/>
                <w:color w:val="auto"/>
              </w:rPr>
            </w:pPr>
            <w:r>
              <w:rPr>
                <w:rFonts w:ascii="Times New Roman" w:cs="Times New Roman" w:eastAsia="Times New Roman" w:hAnsi="Times New Roman"/>
                <w:sz w:val="14"/>
                <w:szCs w:val="14"/>
                <w:color w:val="auto"/>
              </w:rPr>
              <w:t>Issuance of common stock from exercises of options and employee</w:t>
            </w: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 purchase plan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1,008</w:t>
            </w:r>
          </w:p>
        </w:tc>
        <w:tc>
          <w:tcPr>
            <w:tcW w:w="0" w:type="dxa"/>
            <w:vAlign w:val="bottom"/>
          </w:tcPr>
          <w:p>
            <w:pPr>
              <w:spacing w:after="0"/>
              <w:rPr>
                <w:sz w:val="1"/>
                <w:szCs w:val="1"/>
                <w:color w:val="auto"/>
              </w:rPr>
            </w:pPr>
          </w:p>
        </w:tc>
      </w:tr>
      <w:tr>
        <w:trPr>
          <w:trHeight w:val="195"/>
        </w:trPr>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7,544</w:t>
            </w:r>
          </w:p>
        </w:tc>
        <w:tc>
          <w:tcPr>
            <w:tcW w:w="0" w:type="dxa"/>
            <w:vAlign w:val="bottom"/>
          </w:tcPr>
          <w:p>
            <w:pPr>
              <w:spacing w:after="0"/>
              <w:rPr>
                <w:sz w:val="1"/>
                <w:szCs w:val="1"/>
                <w:color w:val="auto"/>
              </w:rPr>
            </w:pPr>
          </w:p>
        </w:tc>
      </w:tr>
      <w:tr>
        <w:trPr>
          <w:trHeight w:val="195"/>
        </w:trPr>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Comprehensive gain, net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(46,660)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(46,660)</w:t>
            </w:r>
          </w:p>
        </w:tc>
        <w:tc>
          <w:tcPr>
            <w:tcW w:w="0" w:type="dxa"/>
            <w:vAlign w:val="bottom"/>
          </w:tcPr>
          <w:p>
            <w:pPr>
              <w:spacing w:after="0"/>
              <w:rPr>
                <w:sz w:val="1"/>
                <w:szCs w:val="1"/>
                <w:color w:val="auto"/>
              </w:rPr>
            </w:pPr>
          </w:p>
        </w:tc>
      </w:tr>
      <w:tr>
        <w:trPr>
          <w:trHeight w:val="169"/>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27,434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714,959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(704,692)</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9,879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00" w:type="dxa"/>
            <w:vAlign w:val="bottom"/>
          </w:tcPr>
          <w:p>
            <w:pPr>
              <w:spacing w:after="0"/>
              <w:rPr>
                <w:sz w:val="13"/>
                <w:szCs w:val="13"/>
                <w:color w:val="auto"/>
              </w:rPr>
            </w:pPr>
          </w:p>
        </w:tc>
        <w:tc>
          <w:tcPr>
            <w:tcW w:w="172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81"/>
        </w:trPr>
        <w:tc>
          <w:tcPr>
            <w:tcW w:w="4300" w:type="dxa"/>
            <w:vAlign w:val="bottom"/>
          </w:tcPr>
          <w:p>
            <w:pPr>
              <w:spacing w:after="0"/>
              <w:rPr>
                <w:sz w:val="7"/>
                <w:szCs w:val="7"/>
                <w:color w:val="auto"/>
              </w:rPr>
            </w:pPr>
          </w:p>
        </w:tc>
        <w:tc>
          <w:tcPr>
            <w:tcW w:w="9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7"/>
                <w:szCs w:val="7"/>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7"/>
                <w:szCs w:val="7"/>
                <w:color w:val="auto"/>
              </w:rPr>
            </w:pPr>
          </w:p>
        </w:tc>
        <w:tc>
          <w:tcPr>
            <w:tcW w:w="1080" w:type="dxa"/>
            <w:vAlign w:val="bottom"/>
            <w:gridSpan w:val="2"/>
          </w:tcPr>
          <w:p>
            <w:pPr>
              <w:jc w:val="center"/>
              <w:ind w:right="340"/>
              <w:spacing w:after="0" w:line="81" w:lineRule="exact"/>
              <w:rPr>
                <w:sz w:val="20"/>
                <w:szCs w:val="20"/>
                <w:color w:val="auto"/>
              </w:rPr>
            </w:pPr>
            <w:r>
              <w:rPr>
                <w:rFonts w:ascii="Times New Roman" w:cs="Times New Roman" w:eastAsia="Times New Roman" w:hAnsi="Times New Roman"/>
                <w:sz w:val="9"/>
                <w:szCs w:val="9"/>
                <w:b w:val="1"/>
                <w:bCs w:val="1"/>
                <w:color w:val="auto"/>
              </w:rPr>
              <w:t>Paid-in</w:t>
            </w:r>
          </w:p>
        </w:tc>
        <w:tc>
          <w:tcPr>
            <w:tcW w:w="100" w:type="dxa"/>
            <w:vAlign w:val="bottom"/>
          </w:tcPr>
          <w:p>
            <w:pPr>
              <w:spacing w:after="0"/>
              <w:rPr>
                <w:sz w:val="7"/>
                <w:szCs w:val="7"/>
                <w:color w:val="auto"/>
              </w:rPr>
            </w:pPr>
          </w:p>
        </w:tc>
        <w:tc>
          <w:tcPr>
            <w:tcW w:w="1200" w:type="dxa"/>
            <w:vAlign w:val="bottom"/>
            <w:gridSpan w:val="2"/>
          </w:tcPr>
          <w:p>
            <w:pPr>
              <w:jc w:val="center"/>
              <w:ind w:right="200"/>
              <w:spacing w:after="0" w:line="81" w:lineRule="exact"/>
              <w:rPr>
                <w:sz w:val="20"/>
                <w:szCs w:val="20"/>
                <w:color w:val="auto"/>
              </w:rPr>
            </w:pPr>
            <w:r>
              <w:rPr>
                <w:rFonts w:ascii="Times New Roman" w:cs="Times New Roman" w:eastAsia="Times New Roman" w:hAnsi="Times New Roman"/>
                <w:sz w:val="9"/>
                <w:szCs w:val="9"/>
                <w:b w:val="1"/>
                <w:bCs w:val="1"/>
                <w:color w:val="auto"/>
              </w:rPr>
              <w:t>Accumulated Other</w:t>
            </w:r>
          </w:p>
        </w:tc>
        <w:tc>
          <w:tcPr>
            <w:tcW w:w="180" w:type="dxa"/>
            <w:vAlign w:val="bottom"/>
          </w:tcPr>
          <w:p>
            <w:pPr>
              <w:spacing w:after="0"/>
              <w:rPr>
                <w:sz w:val="7"/>
                <w:szCs w:val="7"/>
                <w:color w:val="auto"/>
              </w:rPr>
            </w:pPr>
          </w:p>
        </w:tc>
        <w:tc>
          <w:tcPr>
            <w:tcW w:w="1120" w:type="dxa"/>
            <w:vAlign w:val="bottom"/>
            <w:gridSpan w:val="2"/>
          </w:tcPr>
          <w:p>
            <w:pPr>
              <w:ind w:left="120"/>
              <w:spacing w:after="0" w:line="81"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80" w:type="dxa"/>
            <w:vAlign w:val="bottom"/>
          </w:tcPr>
          <w:p>
            <w:pPr>
              <w:spacing w:after="0"/>
              <w:rPr>
                <w:sz w:val="7"/>
                <w:szCs w:val="7"/>
                <w:color w:val="auto"/>
              </w:rPr>
            </w:pPr>
          </w:p>
        </w:tc>
        <w:tc>
          <w:tcPr>
            <w:tcW w:w="1020" w:type="dxa"/>
            <w:vAlign w:val="bottom"/>
          </w:tcPr>
          <w:p>
            <w:pPr>
              <w:jc w:val="center"/>
              <w:ind w:right="119"/>
              <w:spacing w:after="0" w:line="81"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Comprehensive Loss</w:t>
            </w:r>
          </w:p>
        </w:tc>
        <w:tc>
          <w:tcPr>
            <w:tcW w:w="180" w:type="dxa"/>
            <w:vAlign w:val="bottom"/>
          </w:tcPr>
          <w:p>
            <w:pPr>
              <w:spacing w:after="0"/>
              <w:rPr>
                <w:sz w:val="13"/>
                <w:szCs w:val="13"/>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tcPr>
          <w:p>
            <w:pPr>
              <w:spacing w:after="0"/>
              <w:rPr>
                <w:sz w:val="13"/>
                <w:szCs w:val="13"/>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89"/>
        </w:trPr>
        <w:tc>
          <w:tcPr>
            <w:tcW w:w="43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28,513</w:t>
            </w: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717,797</w:t>
            </w: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(5,246)</w:t>
            </w:r>
          </w:p>
        </w:tc>
        <w:tc>
          <w:tcPr>
            <w:tcW w:w="1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(450,477)</w:t>
            </w:r>
          </w:p>
        </w:tc>
        <w:tc>
          <w:tcPr>
            <w:tcW w:w="1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262,103</w:t>
            </w:r>
          </w:p>
        </w:tc>
        <w:tc>
          <w:tcPr>
            <w:tcW w:w="0" w:type="dxa"/>
            <w:vAlign w:val="bottom"/>
          </w:tcPr>
          <w:p>
            <w:pPr>
              <w:spacing w:after="0"/>
              <w:rPr>
                <w:sz w:val="1"/>
                <w:szCs w:val="1"/>
                <w:color w:val="auto"/>
              </w:rPr>
            </w:pPr>
          </w:p>
        </w:tc>
      </w:tr>
      <w:tr>
        <w:trPr>
          <w:trHeight w:val="135"/>
        </w:trPr>
        <w:tc>
          <w:tcPr>
            <w:tcW w:w="430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Issuance of common stock from exercises of options and employee</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4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Repurchases and retirements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92"/>
              </w:rPr>
              <w:t>(2)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(38,816)</w:t>
            </w: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8,860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8,860</w:t>
            </w:r>
          </w:p>
        </w:tc>
        <w:tc>
          <w:tcPr>
            <w:tcW w:w="0" w:type="dxa"/>
            <w:vAlign w:val="bottom"/>
          </w:tcPr>
          <w:p>
            <w:pPr>
              <w:spacing w:after="0"/>
              <w:rPr>
                <w:sz w:val="1"/>
                <w:szCs w:val="1"/>
                <w:color w:val="auto"/>
              </w:rPr>
            </w:pPr>
          </w:p>
        </w:tc>
      </w:tr>
      <w:tr>
        <w:trPr>
          <w:trHeight w:val="195"/>
        </w:trPr>
        <w:tc>
          <w:tcPr>
            <w:tcW w:w="4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Comprehensive gain, net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(44,255)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(44,255)</w:t>
            </w:r>
          </w:p>
        </w:tc>
        <w:tc>
          <w:tcPr>
            <w:tcW w:w="0" w:type="dxa"/>
            <w:vAlign w:val="bottom"/>
          </w:tcPr>
          <w:p>
            <w:pPr>
              <w:spacing w:after="0"/>
              <w:rPr>
                <w:sz w:val="1"/>
                <w:szCs w:val="1"/>
                <w:color w:val="auto"/>
              </w:rPr>
            </w:pPr>
          </w:p>
        </w:tc>
      </w:tr>
      <w:tr>
        <w:trPr>
          <w:trHeight w:val="176"/>
        </w:trPr>
        <w:tc>
          <w:tcPr>
            <w:tcW w:w="43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27,018</w:t>
            </w:r>
          </w:p>
        </w:tc>
        <w:tc>
          <w:tcPr>
            <w:tcW w:w="10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689,065</w:t>
            </w:r>
          </w:p>
        </w:tc>
        <w:tc>
          <w:tcPr>
            <w:tcW w:w="1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(3,267)</w:t>
            </w:r>
          </w:p>
        </w:tc>
        <w:tc>
          <w:tcPr>
            <w:tcW w:w="10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(494,732)</w:t>
            </w:r>
          </w:p>
        </w:tc>
        <w:tc>
          <w:tcPr>
            <w:tcW w:w="10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191,093</w:t>
            </w:r>
          </w:p>
        </w:tc>
        <w:tc>
          <w:tcPr>
            <w:tcW w:w="0" w:type="dxa"/>
            <w:vAlign w:val="bottom"/>
          </w:tcPr>
          <w:p>
            <w:pPr>
              <w:spacing w:after="0"/>
              <w:rPr>
                <w:sz w:val="1"/>
                <w:szCs w:val="1"/>
                <w:color w:val="auto"/>
              </w:rPr>
            </w:pPr>
          </w:p>
        </w:tc>
      </w:tr>
      <w:tr>
        <w:trPr>
          <w:trHeight w:val="121"/>
        </w:trPr>
        <w:tc>
          <w:tcPr>
            <w:tcW w:w="4300" w:type="dxa"/>
            <w:vAlign w:val="bottom"/>
            <w:shd w:val="clear" w:color="auto" w:fill="CFF0FC"/>
          </w:tcPr>
          <w:p>
            <w:pPr>
              <w:ind w:left="100"/>
              <w:spacing w:after="0" w:line="121" w:lineRule="exact"/>
              <w:rPr>
                <w:sz w:val="20"/>
                <w:szCs w:val="20"/>
                <w:color w:val="auto"/>
              </w:rPr>
            </w:pPr>
            <w:r>
              <w:rPr>
                <w:rFonts w:ascii="Times New Roman" w:cs="Times New Roman" w:eastAsia="Times New Roman" w:hAnsi="Times New Roman"/>
                <w:sz w:val="14"/>
                <w:szCs w:val="14"/>
                <w:color w:val="auto"/>
              </w:rPr>
              <w:t>Issuance of common stock from exercises of options and employee</w:t>
            </w: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 purchase plan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0" w:type="dxa"/>
            <w:vAlign w:val="bottom"/>
          </w:tcPr>
          <w:p>
            <w:pPr>
              <w:spacing w:after="0"/>
              <w:rPr>
                <w:sz w:val="1"/>
                <w:szCs w:val="1"/>
                <w:color w:val="auto"/>
              </w:rPr>
            </w:pPr>
          </w:p>
        </w:tc>
      </w:tr>
      <w:tr>
        <w:trPr>
          <w:trHeight w:val="195"/>
        </w:trPr>
        <w:tc>
          <w:tcPr>
            <w:tcW w:w="4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Repurchases and retirements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(11,656)</w:t>
            </w: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8,427</w:t>
            </w:r>
          </w:p>
        </w:tc>
        <w:tc>
          <w:tcPr>
            <w:tcW w:w="0" w:type="dxa"/>
            <w:vAlign w:val="bottom"/>
          </w:tcPr>
          <w:p>
            <w:pPr>
              <w:spacing w:after="0"/>
              <w:rPr>
                <w:sz w:val="1"/>
                <w:szCs w:val="1"/>
                <w:color w:val="auto"/>
              </w:rPr>
            </w:pPr>
          </w:p>
        </w:tc>
      </w:tr>
      <w:tr>
        <w:trPr>
          <w:trHeight w:val="195"/>
        </w:trPr>
        <w:tc>
          <w:tcPr>
            <w:tcW w:w="4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Comprehensive loss, net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(39,845)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(39,845)</w:t>
            </w: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26,531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686,611</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(534,577)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148,450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(90,596)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(84,100)</w:t>
            </w:r>
          </w:p>
        </w:tc>
      </w:tr>
      <w:tr>
        <w:trPr>
          <w:trHeight w:val="232"/>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13"/>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1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17,675</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17,287</w:t>
            </w:r>
          </w:p>
        </w:tc>
      </w:tr>
      <w:tr>
        <w:trPr>
          <w:trHeight w:val="213"/>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Accretion/amortization of investments, net</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w:t>
            </w:r>
          </w:p>
        </w:tc>
      </w:tr>
      <w:tr>
        <w:trPr>
          <w:trHeight w:val="21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of right-of-use assets – operating</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w:t>
            </w:r>
          </w:p>
        </w:tc>
      </w:tr>
      <w:tr>
        <w:trPr>
          <w:trHeight w:val="213"/>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8,694</w:t>
            </w:r>
          </w:p>
        </w:tc>
      </w:tr>
      <w:tr>
        <w:trPr>
          <w:trHeight w:val="21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13"/>
        </w:trPr>
        <w:tc>
          <w:tcPr>
            <w:tcW w:w="77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Receivables from collaborative partners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r>
      <w:tr>
        <w:trPr>
          <w:trHeight w:val="219"/>
        </w:trPr>
        <w:tc>
          <w:tcPr>
            <w:tcW w:w="7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(1,241)</w:t>
            </w:r>
          </w:p>
        </w:tc>
      </w:tr>
      <w:tr>
        <w:trPr>
          <w:trHeight w:val="213"/>
        </w:trPr>
        <w:tc>
          <w:tcPr>
            <w:tcW w:w="77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15,138</w:t>
            </w:r>
          </w:p>
        </w:tc>
      </w:tr>
      <w:tr>
        <w:trPr>
          <w:trHeight w:val="219"/>
        </w:trPr>
        <w:tc>
          <w:tcPr>
            <w:tcW w:w="77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(798)</w:t>
            </w:r>
          </w:p>
        </w:tc>
      </w:tr>
      <w:tr>
        <w:trPr>
          <w:trHeight w:val="207"/>
        </w:trPr>
        <w:tc>
          <w:tcPr>
            <w:tcW w:w="7780" w:type="dxa"/>
            <w:vAlign w:val="bottom"/>
            <w:tcBorders>
              <w:bottom w:val="single" w:sz="8" w:color="CFF0FC"/>
            </w:tcBorders>
          </w:tcPr>
          <w:p>
            <w:pPr>
              <w:ind w:left="7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(58,575)</w:t>
            </w:r>
          </w:p>
        </w:tc>
        <w:tc>
          <w:tcPr>
            <w:tcW w:w="10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(49,977)</w:t>
            </w:r>
          </w:p>
        </w:tc>
      </w:tr>
      <w:tr>
        <w:trPr>
          <w:trHeight w:val="19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(167,564)</w:t>
            </w:r>
          </w:p>
        </w:tc>
      </w:tr>
      <w:tr>
        <w:trPr>
          <w:trHeight w:val="21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 and maturities of investments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274,383</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232,870</w:t>
            </w:r>
          </w:p>
        </w:tc>
      </w:tr>
      <w:tr>
        <w:trPr>
          <w:trHeight w:val="213"/>
        </w:trPr>
        <w:tc>
          <w:tcPr>
            <w:tcW w:w="77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12"/>
        </w:trPr>
        <w:tc>
          <w:tcPr>
            <w:tcW w:w="77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66,174</w:t>
            </w:r>
          </w:p>
        </w:tc>
        <w:tc>
          <w:tcPr>
            <w:tcW w:w="10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64,941</w:t>
            </w:r>
          </w:p>
        </w:tc>
      </w:tr>
      <w:tr>
        <w:trPr>
          <w:trHeight w:val="19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2,048</w:t>
            </w: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and retirements of common stock</w:t>
            </w:r>
          </w:p>
        </w:tc>
        <w:tc>
          <w:tcPr>
            <w:tcW w:w="10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the sale of future royalties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for net share settlement of equity awards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Repayment of liability for sale of future royalties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(15,993)</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(3,071)</w:t>
            </w:r>
          </w:p>
        </w:tc>
      </w:tr>
      <w:tr>
        <w:trPr>
          <w:trHeight w:val="213"/>
        </w:trPr>
        <w:tc>
          <w:tcPr>
            <w:tcW w:w="77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2"/>
        </w:trPr>
        <w:tc>
          <w:tcPr>
            <w:tcW w:w="77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28,257</w:t>
            </w:r>
          </w:p>
        </w:tc>
        <w:tc>
          <w:tcPr>
            <w:tcW w:w="10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(51,066)</w:t>
            </w:r>
          </w:p>
        </w:tc>
      </w:tr>
      <w:tr>
        <w:trPr>
          <w:trHeight w:val="207"/>
        </w:trPr>
        <w:tc>
          <w:tcPr>
            <w:tcW w:w="778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(36,102)</w:t>
            </w:r>
          </w:p>
        </w:tc>
      </w:tr>
      <w:tr>
        <w:trPr>
          <w:trHeight w:val="21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35,965</w:t>
            </w: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71,308</w:t>
            </w:r>
          </w:p>
        </w:tc>
      </w:tr>
      <w:tr>
        <w:trPr>
          <w:trHeight w:val="20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0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71,821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35,206</w:t>
            </w:r>
          </w:p>
        </w:tc>
      </w:tr>
      <w:tr>
        <w:trPr>
          <w:trHeight w:val="20"/>
        </w:trPr>
        <w:tc>
          <w:tcPr>
            <w:tcW w:w="778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Amounts accrued for property and equipment</w:t>
            </w:r>
          </w:p>
        </w:tc>
        <w:tc>
          <w:tcPr>
            <w:tcW w:w="100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3"/>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Amounts accrued for issuance costs related to the sale of future royalties</w:t>
            </w: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Amounts accrued for repurchases of common stock</w:t>
            </w:r>
          </w:p>
        </w:tc>
        <w:tc>
          <w:tcPr>
            <w:tcW w:w="100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10"/>
        </w:trPr>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Receivable related to issuance of common stock, upon exercise of stock options</w:t>
            </w: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16" w:lineRule="exact"/>
        <w:rPr>
          <w:sz w:val="20"/>
          <w:szCs w:val="20"/>
          <w:color w:val="auto"/>
        </w:rPr>
      </w:pPr>
    </w:p>
    <w:p>
      <w:pPr>
        <w:ind w:right="60" w:firstLine="567"/>
        <w:spacing w:after="0" w:line="236" w:lineRule="auto"/>
        <w:rPr>
          <w:sz w:val="20"/>
          <w:szCs w:val="20"/>
          <w:color w:val="auto"/>
        </w:rPr>
      </w:pPr>
      <w:r>
        <w:rPr>
          <w:rFonts w:ascii="Times New Roman" w:cs="Times New Roman" w:eastAsia="Times New Roman" w:hAnsi="Times New Roman"/>
          <w:sz w:val="18"/>
          <w:szCs w:val="18"/>
          <w:color w:val="auto"/>
        </w:rPr>
        <w:t>AnaptysBio, Inc. (“we,” “us,” “our,” or the “Company”) was incorporated in the state of Delaware in November 2005. We are a clinical-stage biotechnology company focused on delivering innovative immunology therapeutics. We are developing immune cell modulating antibodies, including two wholly owned checkpoint agonists in clinical-stage development, for autoimmune and inflammatory diseases: rosnilimab, our PD-1 agonist in a Phase 2b trial for the treatment of moderate-to-severe rheumatoid arthritis (“RA”) and a Phase 2 trial for the treatment of moderate-to-severe ulcerative colitis (“UC”); and ANB032, our BTLA agonist, in a Phase 2b trial for the treatment of moderate-to-severe atopic dermatitis (“AD”). We also have other immune cell modulator candidates in our portfolio, including ANB033, an anti-CD122 antagonist antibody, entering a Phase 1 trial and ANB101, a BDCA2 modulator antibody, in preclinical development. In addition, we have developed two cytokine antagonists that we are exploring options for out-licensing: imsidolimab, our anti-IL-36R antibody, that has completed Phase 3 trials for the treatment of generalized pustular psoriasis (“GPP”), and etokimab, our anti-IL-33 antagonist that is Phase 2/3 ready. We have also discovered multiple therapeutic antibodies licensed to GlaxoSmithKline, Inc. (“GSK”) in a financial collaboration for immuno-oncology, including an anti-PD-1 antagonist antibody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(dostarlimab-gxly) 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and an anti-TIM-3 antagonist antibody (cobolimab, GSK4069889). We currently recognize revenue from milestones and royalties achieved under our immuno-oncology collaboration with GSK.</w:t>
      </w:r>
    </w:p>
    <w:p>
      <w:pPr>
        <w:spacing w:after="0" w:line="96" w:lineRule="exact"/>
        <w:rPr>
          <w:sz w:val="20"/>
          <w:szCs w:val="20"/>
          <w:color w:val="auto"/>
        </w:rPr>
      </w:pPr>
    </w:p>
    <w:p>
      <w:pPr>
        <w:ind w:right="20" w:firstLine="567"/>
        <w:spacing w:after="0" w:line="272" w:lineRule="auto"/>
        <w:rPr>
          <w:sz w:val="20"/>
          <w:szCs w:val="20"/>
          <w:color w:val="auto"/>
        </w:rPr>
      </w:pPr>
      <w:r>
        <w:rPr>
          <w:rFonts w:ascii="Times New Roman" w:cs="Times New Roman" w:eastAsia="Times New Roman" w:hAnsi="Times New Roman"/>
          <w:sz w:val="17"/>
          <w:szCs w:val="17"/>
          <w:color w:val="auto"/>
        </w:rPr>
        <w:t>Since our inception, we have devoted our primary effort to research and development activities. Our financial support has been provided primarily from the sale of our common stock,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AnaptysBio management believes our currently available resources will provide sufficient funds to enable us to meet our operating plans for at least the next twelve months from the issuance of our consolidated financial statements. The accompanying consolidated financial statements do not include any adjustments that might be necessary if we are unable to continue as a going concern.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six months ended June 30, 2024 are not necessarily indicative of the results that may be expected for the year ending December 31, 2024. The financial statements should be read in conjunction with our audited financial statements for the year ended December 31, 2023 included in our Annual Report on Form 10-K.</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400" w:firstLine="486"/>
        <w:spacing w:after="0" w:line="312"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us and our wholly owned Australian subsidiary. All intercompany accounts and transactions have been eliminated in consolidation. We operate in one reportable segment, and our functional and reporting currency is the U.S. dollar.</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revenue recognition, accrued research and development expenses, stock-based compensation, and the liability related to the sale of future royalties. We evaluate our estimates and assumptions on an ongoing basis. Our actual results could differ from these estimates under different assumptions or conditions.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72"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6500" w:type="dxa"/>
            <w:vAlign w:val="bottom"/>
          </w:tcPr>
          <w:p>
            <w:pPr>
              <w:spacing w:after="0"/>
              <w:rPr>
                <w:sz w:val="17"/>
                <w:szCs w:val="17"/>
                <w:color w:val="auto"/>
              </w:rPr>
            </w:pPr>
          </w:p>
        </w:tc>
        <w:tc>
          <w:tcPr>
            <w:tcW w:w="1440" w:type="dxa"/>
            <w:vAlign w:val="bottom"/>
            <w:tcBorders>
              <w:bottom w:val="single" w:sz="8" w:color="auto"/>
            </w:tcBorders>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8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48"/>
        </w:trPr>
        <w:tc>
          <w:tcPr>
            <w:tcW w:w="65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w:t>
      </w:r>
    </w:p>
    <w:p>
      <w:pPr>
        <w:spacing w:after="0" w:line="121" w:lineRule="exact"/>
        <w:rPr>
          <w:sz w:val="20"/>
          <w:szCs w:val="20"/>
          <w:color w:val="auto"/>
        </w:rPr>
      </w:pPr>
    </w:p>
    <w:p>
      <w:pPr>
        <w:jc w:val="both"/>
        <w:ind w:right="420" w:firstLine="567"/>
        <w:spacing w:after="0" w:line="266" w:lineRule="auto"/>
        <w:rPr>
          <w:sz w:val="20"/>
          <w:szCs w:val="20"/>
          <w:color w:val="auto"/>
        </w:rPr>
      </w:pPr>
      <w:r>
        <w:rPr>
          <w:rFonts w:ascii="Times New Roman" w:cs="Times New Roman" w:eastAsia="Times New Roman" w:hAnsi="Times New Roman"/>
          <w:sz w:val="18"/>
          <w:szCs w:val="18"/>
          <w:color w:val="auto"/>
        </w:rPr>
        <w:t>We have implemented all new accounting pronouncements that are in effect and may have an impact on our consolidated financial statements. Unless otherwise discussed, we believe the impact of any recently issued and not yet effective pronouncements will not have a material impact on our consolidated financial statements.</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9" w:lineRule="exact"/>
        <w:rPr>
          <w:sz w:val="20"/>
          <w:szCs w:val="20"/>
          <w:color w:val="auto"/>
        </w:rPr>
      </w:pPr>
    </w:p>
    <w:p>
      <w:pPr>
        <w:ind w:right="120" w:firstLine="567"/>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 Update (“ASU”)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requires enhanced disclosure of significant segment expenses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The guidance will be effective for fiscal years beginning after December 15, 2023, and interim periods within fiscal years beginning December 15, 2024, with early adoption permitted. Upon adoption, the guidance should be applied retrospectively to all prior periods presented in the financial statements. We are currently assessing the impact that this standard will have on our consolidated financial statements.</w:t>
      </w:r>
    </w:p>
    <w:p>
      <w:pPr>
        <w:spacing w:after="0" w:line="75" w:lineRule="exact"/>
        <w:rPr>
          <w:sz w:val="20"/>
          <w:szCs w:val="20"/>
          <w:color w:val="auto"/>
        </w:rPr>
      </w:pPr>
    </w:p>
    <w:p>
      <w:pPr>
        <w:ind w:right="120" w:firstLine="567"/>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 Income Taxes</w:t>
      </w:r>
      <w:r>
        <w:rPr>
          <w:rFonts w:ascii="Times New Roman" w:cs="Times New Roman" w:eastAsia="Times New Roman" w:hAnsi="Times New Roman"/>
          <w:sz w:val="18"/>
          <w:szCs w:val="18"/>
          <w:color w:val="auto"/>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15, 2024. Early adoption is permitted. Upon adoption, the guidance can be applied prospectively or retrospectively. We are currently assessing the impact that this standard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Accounts and Supplemental Disclosures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0" w:type="dxa"/>
            <w:vAlign w:val="bottom"/>
          </w:tcPr>
          <w:p>
            <w:pPr>
              <w:spacing w:after="0"/>
              <w:rPr>
                <w:sz w:val="1"/>
                <w:szCs w:val="1"/>
                <w:color w:val="auto"/>
              </w:rPr>
            </w:pPr>
          </w:p>
        </w:tc>
      </w:tr>
      <w:tr>
        <w:trPr>
          <w:trHeight w:val="223"/>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1"/>
        </w:trPr>
        <w:tc>
          <w:tcPr>
            <w:tcW w:w="79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7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development and manufacturing expenses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21,898</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for repurchases of common stock</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30,967</w:t>
            </w:r>
          </w:p>
        </w:tc>
        <w:tc>
          <w:tcPr>
            <w:tcW w:w="0" w:type="dxa"/>
            <w:vAlign w:val="bottom"/>
          </w:tcPr>
          <w:p>
            <w:pPr>
              <w:spacing w:after="0"/>
              <w:rPr>
                <w:sz w:val="1"/>
                <w:szCs w:val="1"/>
                <w:color w:val="auto"/>
              </w:rPr>
            </w:pPr>
          </w:p>
        </w:tc>
      </w:tr>
      <w:tr>
        <w:trPr>
          <w:trHeight w:val="20"/>
        </w:trPr>
        <w:tc>
          <w:tcPr>
            <w:tcW w:w="7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Collaborative Research and Development Agreements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GSK Collaboration</w:t>
      </w:r>
    </w:p>
    <w:p>
      <w:pPr>
        <w:spacing w:after="0" w:line="108" w:lineRule="exact"/>
        <w:rPr>
          <w:sz w:val="20"/>
          <w:szCs w:val="20"/>
          <w:color w:val="auto"/>
        </w:rPr>
      </w:pPr>
    </w:p>
    <w:p>
      <w:pPr>
        <w:ind w:right="40" w:firstLine="486"/>
        <w:spacing w:after="0" w:line="237" w:lineRule="auto"/>
        <w:rPr>
          <w:sz w:val="20"/>
          <w:szCs w:val="20"/>
          <w:color w:val="auto"/>
        </w:rPr>
      </w:pPr>
      <w:r>
        <w:rPr>
          <w:rFonts w:ascii="Times New Roman" w:cs="Times New Roman" w:eastAsia="Times New Roman" w:hAnsi="Times New Roman"/>
          <w:sz w:val="18"/>
          <w:szCs w:val="18"/>
          <w:color w:val="auto"/>
        </w:rPr>
        <w:t xml:space="preserve">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as a monotherapy for various solid tumor indications. In addition, GSK is developing dostarlimab in combination with additional therapies under the collaboration, including with another development program from the GSK Agreement: cobolimab, an anti-TIM-3 antibody, in 2L NSCLC. In October 2023, Amendment No. 5 to the GSK Agreement (the “GSK Amendment No. 5”) was agreed by both parties to terminate the anti-LAG-3 antagonist antibody development program under the GSK Agreement. In accordance with the GSK Agreement and the GSK Amendment No. 5, we have regained full global rights to the anti-LAG-3 antagonist antibody development program.</w:t>
      </w:r>
    </w:p>
    <w:p>
      <w:pPr>
        <w:spacing w:after="0" w:line="9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 xml:space="preserve">For each remaining development program under the GSK Agreement, we are eligible to receive milestone payments if certain preclinical and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“GSK Amendment No. 3”) was agreed to by both parties to permit GSK to conduct development and commercialization in combination with any third-party molecules of Zejula, an oral, once-daily poly (ADP-ribose) polymerase (PARP) inhibitor (“Zejula”). Under GSK Amendment No. 3, we were granted increased royalties upon sales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equal to 8% of Net Sales (as defined in the GSK Agreement) below $1.0 billion and from 12% up to 25% of Net Sales above $1.0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spacing w:after="0" w:line="80"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We assessed these arrangements in accordance with ASC 606 and concluded that the contract counterparty, GSK, is a customer. We identified the following material promises under the GSK Agreement: (1) the licenses under certain patent rights and transfer of certain development and regulatory information, (2) research and development (“R&amp;D”) services, and (3) joint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spacing w:after="0" w:line="75" w:lineRule="exact"/>
        <w:rPr>
          <w:sz w:val="20"/>
          <w:szCs w:val="20"/>
          <w:color w:val="auto"/>
        </w:rPr>
      </w:pPr>
    </w:p>
    <w:p>
      <w:pPr>
        <w:ind w:right="840"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the transaction price for the GSK Agreement and its associated amendments includes the upfront payment, research reimbursement revenue and milestones and royalties earned to date, which are allocated in their entirety to the single performance obligation.</w:t>
      </w:r>
    </w:p>
    <w:p>
      <w:pPr>
        <w:spacing w:after="0" w:line="54"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 xml:space="preserve">We recognized $11.0 million and $18.2 million in royalty revenue during the three and six months ended June 30, 2024, respectively, related to GSK’s net sales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Zejula during the period, which we estimate based on either GSK’s prior sales experience or actuals. Of the royalty revenue recognized during the three and six months ended June 30, 2024, $10.1 million and $16.3 million, respectively, is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non-cash revenue related to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and $0.9 million and $1.9 million, respectively, is Zejula non-cash revenue related to the Zejula Royalty Monetization Agreement, each of such agreements as described in Note 5. We recognized $3.5 million and $4.8 million in royalty revenue during the three and six months ended June 30, 2023, respectively, related to GSK’s net sales of Zejula and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during the period based on GSK’s prior sales experience or actuals. Of the royalty revenue recognized during the three and six months ended June 30, 2023, $2.8 million and $3.3 million is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non-cash revenue related to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and $0.7 million and $1.5 million is Zejula non-cash revenue related to the Zejula Royalty Monetization Agreement. GSK reports sales information to us on a one quarter lag and differences between actual and estimated royalty revenues will be adjusted in the following quarter. All royalty revenue related to Zejula global net sales starting July 2022 will be paid directly to a wholly owned subsidiary of DRI Healthcare Trust (“DRI”) pursuant to the Zejula Royalty Monetization Agreement, as described in Note 5.</w:t>
      </w:r>
    </w:p>
    <w:p>
      <w:pPr>
        <w:spacing w:after="0" w:line="8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No clinical milestones were recognized during the three and six months ended June 30, 2024 and 2023.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Milestones under the GSK Agreement are as follows:</w:t>
      </w:r>
    </w:p>
    <w:p>
      <w:pPr>
        <w:spacing w:after="0" w:line="138" w:lineRule="exact"/>
        <w:rPr>
          <w:sz w:val="20"/>
          <w:szCs w:val="20"/>
          <w:color w:val="auto"/>
        </w:rPr>
      </w:pPr>
    </w:p>
    <w:tbl>
      <w:tblPr>
        <w:tblLayout w:type="fixed"/>
        <w:tblInd w:w="32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80" w:type="dxa"/>
            <w:vAlign w:val="bottom"/>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Anti-PD-1</w:t>
            </w:r>
          </w:p>
        </w:tc>
        <w:tc>
          <w:tcPr>
            <w:tcW w:w="10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Anti-TIM-3</w:t>
            </w:r>
          </w:p>
        </w:tc>
        <w:tc>
          <w:tcPr>
            <w:tcW w:w="0" w:type="dxa"/>
            <w:vAlign w:val="bottom"/>
          </w:tcPr>
          <w:p>
            <w:pPr>
              <w:spacing w:after="0"/>
              <w:rPr>
                <w:sz w:val="1"/>
                <w:szCs w:val="1"/>
                <w:color w:val="auto"/>
              </w:rPr>
            </w:pPr>
          </w:p>
        </w:tc>
      </w:tr>
      <w:tr>
        <w:trPr>
          <w:trHeight w:val="197"/>
        </w:trPr>
        <w:tc>
          <w:tcPr>
            <w:tcW w:w="5860" w:type="dxa"/>
            <w:vAlign w:val="bottom"/>
          </w:tcPr>
          <w:p>
            <w:pPr>
              <w:spacing w:after="0"/>
              <w:rPr>
                <w:sz w:val="17"/>
                <w:szCs w:val="17"/>
                <w:color w:val="auto"/>
              </w:rPr>
            </w:pPr>
          </w:p>
        </w:tc>
        <w:tc>
          <w:tcPr>
            <w:tcW w:w="2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Jemperli</w:t>
            </w:r>
            <w:r>
              <w:rPr>
                <w:rFonts w:ascii="Times New Roman" w:cs="Times New Roman" w:eastAsia="Times New Roman" w:hAnsi="Times New Roman"/>
                <w:sz w:val="14"/>
                <w:szCs w:val="14"/>
                <w:b w:val="1"/>
                <w:bCs w:val="1"/>
                <w:color w:val="auto"/>
              </w:rPr>
              <w:t>/Dostarlimab)</w:t>
            </w:r>
          </w:p>
        </w:tc>
        <w:tc>
          <w:tcPr>
            <w:tcW w:w="100" w:type="dxa"/>
            <w:vAlign w:val="bottom"/>
          </w:tcPr>
          <w:p>
            <w:pPr>
              <w:spacing w:after="0"/>
              <w:rPr>
                <w:sz w:val="17"/>
                <w:szCs w:val="17"/>
                <w:color w:val="auto"/>
              </w:rPr>
            </w:pPr>
          </w:p>
        </w:tc>
        <w:tc>
          <w:tcPr>
            <w:tcW w:w="2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(GSK4069889A/Cobolimab)</w:t>
            </w:r>
          </w:p>
        </w:tc>
        <w:tc>
          <w:tcPr>
            <w:tcW w:w="0" w:type="dxa"/>
            <w:vAlign w:val="bottom"/>
          </w:tcPr>
          <w:p>
            <w:pPr>
              <w:spacing w:after="0"/>
              <w:rPr>
                <w:sz w:val="1"/>
                <w:szCs w:val="1"/>
                <w:color w:val="auto"/>
              </w:rPr>
            </w:pPr>
          </w:p>
        </w:tc>
      </w:tr>
      <w:tr>
        <w:trPr>
          <w:trHeight w:val="134"/>
        </w:trPr>
        <w:tc>
          <w:tcPr>
            <w:tcW w:w="586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tcPr>
          <w:p>
            <w:pPr>
              <w:jc w:val="center"/>
              <w:ind w:left="248"/>
              <w:spacing w:after="0" w:line="134" w:lineRule="exact"/>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1"/>
                <w:szCs w:val="11"/>
                <w:color w:val="auto"/>
              </w:rPr>
            </w:pPr>
          </w:p>
        </w:tc>
        <w:tc>
          <w:tcPr>
            <w:tcW w:w="11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96"/>
        </w:trPr>
        <w:tc>
          <w:tcPr>
            <w:tcW w:w="58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4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405"/>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Initiated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toxicology studies using good laboratory practices (GLPs)</w:t>
            </w:r>
          </w:p>
        </w:tc>
        <w:tc>
          <w:tcPr>
            <w:tcW w:w="840" w:type="dxa"/>
            <w:vAlign w:val="bottom"/>
            <w:tcBorders>
              <w:bottom w:val="single" w:sz="8" w:color="CFF0FC"/>
            </w:tcBorders>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rPr>
              <w:t>$1.0M</w:t>
            </w:r>
          </w:p>
        </w:tc>
        <w:tc>
          <w:tcPr>
            <w:tcW w:w="1480" w:type="dxa"/>
            <w:vAlign w:val="bottom"/>
            <w:tcBorders>
              <w:bottom w:val="single" w:sz="8" w:color="CFF0FC"/>
            </w:tcBorders>
            <w:shd w:val="clear" w:color="auto" w:fill="CFF0FC"/>
          </w:tcPr>
          <w:p>
            <w:pPr>
              <w:jc w:val="center"/>
              <w:ind w:left="248"/>
              <w:spacing w:after="0"/>
              <w:rPr>
                <w:sz w:val="20"/>
                <w:szCs w:val="20"/>
                <w:color w:val="auto"/>
              </w:rPr>
            </w:pPr>
            <w:r>
              <w:rPr>
                <w:rFonts w:ascii="Times New Roman" w:cs="Times New Roman" w:eastAsia="Times New Roman" w:hAnsi="Times New Roman"/>
                <w:sz w:val="14"/>
                <w:szCs w:val="14"/>
                <w:color w:val="auto"/>
              </w:rPr>
              <w:t>Q2'15</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$1.0M</w:t>
            </w:r>
          </w:p>
        </w:tc>
        <w:tc>
          <w:tcPr>
            <w:tcW w:w="11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Q4'15</w:t>
            </w:r>
          </w:p>
        </w:tc>
        <w:tc>
          <w:tcPr>
            <w:tcW w:w="0" w:type="dxa"/>
            <w:vAlign w:val="bottom"/>
          </w:tcPr>
          <w:p>
            <w:pPr>
              <w:spacing w:after="0"/>
              <w:rPr>
                <w:sz w:val="1"/>
                <w:szCs w:val="1"/>
                <w:color w:val="auto"/>
              </w:rPr>
            </w:pPr>
          </w:p>
        </w:tc>
      </w:tr>
      <w:tr>
        <w:trPr>
          <w:trHeight w:val="19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 clearance from the FDA</w:t>
            </w:r>
          </w:p>
        </w:tc>
        <w:tc>
          <w:tcPr>
            <w:tcW w:w="84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$4.0M</w:t>
            </w:r>
          </w:p>
        </w:tc>
        <w:tc>
          <w:tcPr>
            <w:tcW w:w="148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Q1'16</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Q2'16</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Phase 2 clinical trial initiation</w:t>
            </w:r>
          </w:p>
        </w:tc>
        <w:tc>
          <w:tcPr>
            <w:tcW w:w="840" w:type="dxa"/>
            <w:vAlign w:val="bottom"/>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rPr>
              <w:t>$3.0M</w:t>
            </w:r>
          </w:p>
        </w:tc>
        <w:tc>
          <w:tcPr>
            <w:tcW w:w="1480" w:type="dxa"/>
            <w:vAlign w:val="bottom"/>
            <w:shd w:val="clear" w:color="auto" w:fill="CFF0FC"/>
          </w:tcPr>
          <w:p>
            <w:pPr>
              <w:jc w:val="center"/>
              <w:ind w:left="248"/>
              <w:spacing w:after="0"/>
              <w:rPr>
                <w:sz w:val="20"/>
                <w:szCs w:val="20"/>
                <w:color w:val="auto"/>
              </w:rPr>
            </w:pPr>
            <w:r>
              <w:rPr>
                <w:rFonts w:ascii="Times New Roman" w:cs="Times New Roman" w:eastAsia="Times New Roman" w:hAnsi="Times New Roman"/>
                <w:sz w:val="14"/>
                <w:szCs w:val="14"/>
                <w:color w:val="auto"/>
              </w:rPr>
              <w:t>Q2'17</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$3.0M</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Q4'17</w:t>
            </w:r>
          </w:p>
        </w:tc>
        <w:tc>
          <w:tcPr>
            <w:tcW w:w="0" w:type="dxa"/>
            <w:vAlign w:val="bottom"/>
          </w:tcPr>
          <w:p>
            <w:pPr>
              <w:spacing w:after="0"/>
              <w:rPr>
                <w:sz w:val="1"/>
                <w:szCs w:val="1"/>
                <w:color w:val="auto"/>
              </w:rPr>
            </w:pPr>
          </w:p>
        </w:tc>
      </w:tr>
      <w:tr>
        <w:trPr>
          <w:trHeight w:val="19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Phase 3 clinical trial initiation - first indication</w:t>
            </w:r>
          </w:p>
        </w:tc>
        <w:tc>
          <w:tcPr>
            <w:tcW w:w="84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$5.0M</w:t>
            </w:r>
          </w:p>
        </w:tc>
        <w:tc>
          <w:tcPr>
            <w:tcW w:w="148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Q3'18</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Q4'22</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Phase 3 clinical trial initiation - second indication</w:t>
            </w:r>
          </w:p>
        </w:tc>
        <w:tc>
          <w:tcPr>
            <w:tcW w:w="840" w:type="dxa"/>
            <w:vAlign w:val="bottom"/>
            <w:shd w:val="clear" w:color="auto" w:fill="CFF0FC"/>
          </w:tcPr>
          <w:p>
            <w:pPr>
              <w:jc w:val="center"/>
              <w:ind w:left="228"/>
              <w:spacing w:after="0"/>
              <w:rPr>
                <w:sz w:val="20"/>
                <w:szCs w:val="20"/>
                <w:color w:val="auto"/>
              </w:rPr>
            </w:pPr>
            <w:r>
              <w:rPr>
                <w:rFonts w:ascii="Times New Roman" w:cs="Times New Roman" w:eastAsia="Times New Roman" w:hAnsi="Times New Roman"/>
                <w:sz w:val="14"/>
                <w:szCs w:val="14"/>
                <w:color w:val="auto"/>
              </w:rPr>
              <w:t>$5.0M</w:t>
            </w:r>
          </w:p>
        </w:tc>
        <w:tc>
          <w:tcPr>
            <w:tcW w:w="1480" w:type="dxa"/>
            <w:vAlign w:val="bottom"/>
            <w:shd w:val="clear" w:color="auto" w:fill="CFF0FC"/>
          </w:tcPr>
          <w:p>
            <w:pPr>
              <w:jc w:val="center"/>
              <w:ind w:left="248"/>
              <w:spacing w:after="0"/>
              <w:rPr>
                <w:sz w:val="20"/>
                <w:szCs w:val="20"/>
                <w:color w:val="auto"/>
              </w:rPr>
            </w:pPr>
            <w:r>
              <w:rPr>
                <w:rFonts w:ascii="Times New Roman" w:cs="Times New Roman" w:eastAsia="Times New Roman" w:hAnsi="Times New Roman"/>
                <w:sz w:val="14"/>
                <w:szCs w:val="14"/>
                <w:color w:val="auto"/>
              </w:rPr>
              <w:t>Q2'19</w:t>
            </w:r>
          </w:p>
        </w:tc>
        <w:tc>
          <w:tcPr>
            <w:tcW w:w="100" w:type="dxa"/>
            <w:vAlign w:val="bottom"/>
            <w:shd w:val="clear" w:color="auto" w:fill="CFF0FC"/>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$5.0M</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Filing of the first BLA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 first indication</w:t>
            </w:r>
          </w:p>
        </w:tc>
        <w:tc>
          <w:tcPr>
            <w:tcW w:w="84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$10.0M</w:t>
            </w:r>
          </w:p>
        </w:tc>
        <w:tc>
          <w:tcPr>
            <w:tcW w:w="148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Q1'20</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Filing of the first MAA</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 first indication</w:t>
            </w:r>
          </w:p>
        </w:tc>
        <w:tc>
          <w:tcPr>
            <w:tcW w:w="840" w:type="dxa"/>
            <w:vAlign w:val="bottom"/>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$5.0M</w:t>
            </w:r>
          </w:p>
        </w:tc>
        <w:tc>
          <w:tcPr>
            <w:tcW w:w="148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Q1'20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$5.0M</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Filing of the first BLA - second indication</w:t>
            </w:r>
          </w:p>
        </w:tc>
        <w:tc>
          <w:tcPr>
            <w:tcW w:w="84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$10.0M</w:t>
            </w:r>
          </w:p>
        </w:tc>
        <w:tc>
          <w:tcPr>
            <w:tcW w:w="148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Q1'21</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BLA approval - first indication</w:t>
            </w:r>
          </w:p>
        </w:tc>
        <w:tc>
          <w:tcPr>
            <w:tcW w:w="84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$20.0M</w:t>
            </w:r>
          </w:p>
        </w:tc>
        <w:tc>
          <w:tcPr>
            <w:tcW w:w="148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Q2'21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$20.0M</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8"/>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MAA approval - first indication</w:t>
            </w:r>
          </w:p>
        </w:tc>
        <w:tc>
          <w:tcPr>
            <w:tcW w:w="84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$10.0M</w:t>
            </w:r>
          </w:p>
        </w:tc>
        <w:tc>
          <w:tcPr>
            <w:tcW w:w="148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Q2'21</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BLA approval - second indication</w:t>
            </w:r>
          </w:p>
        </w:tc>
        <w:tc>
          <w:tcPr>
            <w:tcW w:w="84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$20.0M</w:t>
            </w:r>
          </w:p>
        </w:tc>
        <w:tc>
          <w:tcPr>
            <w:tcW w:w="148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Q3'21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$20.0M</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Filing of the first MAA - second indication</w:t>
            </w:r>
            <w:r>
              <w:rPr>
                <w:rFonts w:ascii="Times New Roman" w:cs="Times New Roman" w:eastAsia="Times New Roman" w:hAnsi="Times New Roman"/>
                <w:sz w:val="18"/>
                <w:szCs w:val="18"/>
                <w:color w:val="auto"/>
                <w:vertAlign w:val="superscript"/>
              </w:rPr>
              <w:t>(3)</w:t>
            </w:r>
          </w:p>
        </w:tc>
        <w:tc>
          <w:tcPr>
            <w:tcW w:w="84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$5.0M</w:t>
            </w:r>
          </w:p>
        </w:tc>
        <w:tc>
          <w:tcPr>
            <w:tcW w:w="148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First MAA approval - second indication</w:t>
            </w:r>
            <w:r>
              <w:rPr>
                <w:rFonts w:ascii="Times New Roman" w:cs="Times New Roman" w:eastAsia="Times New Roman" w:hAnsi="Times New Roman"/>
                <w:sz w:val="18"/>
                <w:szCs w:val="18"/>
                <w:color w:val="auto"/>
                <w:vertAlign w:val="superscript"/>
              </w:rPr>
              <w:t>(3)</w:t>
            </w:r>
          </w:p>
        </w:tc>
        <w:tc>
          <w:tcPr>
            <w:tcW w:w="84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$10.0M</w:t>
            </w:r>
          </w:p>
        </w:tc>
        <w:tc>
          <w:tcPr>
            <w:tcW w:w="148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$10.0M</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First commercial sales milestone</w:t>
            </w:r>
            <w:r>
              <w:rPr>
                <w:rFonts w:ascii="Times New Roman" w:cs="Times New Roman" w:eastAsia="Times New Roman" w:hAnsi="Times New Roman"/>
                <w:sz w:val="18"/>
                <w:szCs w:val="18"/>
                <w:color w:val="auto"/>
                <w:vertAlign w:val="superscript"/>
              </w:rPr>
              <w:t>(3)</w:t>
            </w:r>
          </w:p>
        </w:tc>
        <w:tc>
          <w:tcPr>
            <w:tcW w:w="84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$15.0M</w:t>
            </w:r>
          </w:p>
        </w:tc>
        <w:tc>
          <w:tcPr>
            <w:tcW w:w="148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Second commercial sales milestone</w:t>
            </w:r>
            <w:r>
              <w:rPr>
                <w:rFonts w:ascii="Times New Roman" w:cs="Times New Roman" w:eastAsia="Times New Roman" w:hAnsi="Times New Roman"/>
                <w:sz w:val="18"/>
                <w:szCs w:val="18"/>
                <w:color w:val="auto"/>
                <w:vertAlign w:val="superscript"/>
              </w:rPr>
              <w:t>(3)</w:t>
            </w:r>
          </w:p>
        </w:tc>
        <w:tc>
          <w:tcPr>
            <w:tcW w:w="84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$25.0M</w:t>
            </w:r>
          </w:p>
        </w:tc>
        <w:tc>
          <w:tcPr>
            <w:tcW w:w="148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$25.0M</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Third commercial sales milestone</w:t>
            </w:r>
            <w:r>
              <w:rPr>
                <w:rFonts w:ascii="Times New Roman" w:cs="Times New Roman" w:eastAsia="Times New Roman" w:hAnsi="Times New Roman"/>
                <w:sz w:val="18"/>
                <w:szCs w:val="18"/>
                <w:color w:val="auto"/>
                <w:vertAlign w:val="superscript"/>
              </w:rPr>
              <w:t>(3)</w:t>
            </w:r>
          </w:p>
        </w:tc>
        <w:tc>
          <w:tcPr>
            <w:tcW w:w="84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$50.0M</w:t>
            </w:r>
          </w:p>
        </w:tc>
        <w:tc>
          <w:tcPr>
            <w:tcW w:w="148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Fourth commercial sales milestone</w:t>
            </w:r>
          </w:p>
        </w:tc>
        <w:tc>
          <w:tcPr>
            <w:tcW w:w="84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$75.0M</w:t>
            </w:r>
          </w:p>
        </w:tc>
        <w:tc>
          <w:tcPr>
            <w:tcW w:w="148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$75.0M</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Milestones recognized through June 30, 2024</w:t>
            </w:r>
          </w:p>
        </w:tc>
        <w:tc>
          <w:tcPr>
            <w:tcW w:w="84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$93.0M</w:t>
            </w:r>
          </w:p>
        </w:tc>
        <w:tc>
          <w:tcPr>
            <w:tcW w:w="148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$13.0M</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Milestones that may be recognized in the future</w:t>
            </w:r>
          </w:p>
        </w:tc>
        <w:tc>
          <w:tcPr>
            <w:tcW w:w="84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$180.0M</w:t>
            </w:r>
          </w:p>
        </w:tc>
        <w:tc>
          <w:tcPr>
            <w:tcW w:w="148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$260.0M</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40" w:hanging="392"/>
        <w:spacing w:after="0"/>
        <w:tabs>
          <w:tab w:leader="none" w:pos="4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Biologics License Application (“BLA”)</w:t>
      </w:r>
    </w:p>
    <w:p>
      <w:pPr>
        <w:spacing w:after="0" w:line="15" w:lineRule="exact"/>
        <w:rPr>
          <w:rFonts w:ascii="Times New Roman" w:cs="Times New Roman" w:eastAsia="Times New Roman" w:hAnsi="Times New Roman"/>
          <w:sz w:val="23"/>
          <w:szCs w:val="23"/>
          <w:color w:val="auto"/>
          <w:vertAlign w:val="superscript"/>
        </w:rPr>
      </w:pPr>
    </w:p>
    <w:p>
      <w:pPr>
        <w:ind w:left="440" w:hanging="392"/>
        <w:spacing w:after="0" w:line="194" w:lineRule="auto"/>
        <w:tabs>
          <w:tab w:leader="none" w:pos="4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Marketing Authorization Application (“MAA”)</w:t>
      </w:r>
    </w:p>
    <w:p>
      <w:pPr>
        <w:spacing w:after="0" w:line="15" w:lineRule="exact"/>
        <w:rPr>
          <w:rFonts w:ascii="Times New Roman" w:cs="Times New Roman" w:eastAsia="Times New Roman" w:hAnsi="Times New Roman"/>
          <w:sz w:val="23"/>
          <w:szCs w:val="23"/>
          <w:color w:val="auto"/>
          <w:vertAlign w:val="superscript"/>
        </w:rPr>
      </w:pPr>
    </w:p>
    <w:p>
      <w:pPr>
        <w:ind w:left="460" w:right="100" w:hanging="412"/>
        <w:spacing w:after="0" w:line="230" w:lineRule="auto"/>
        <w:tabs>
          <w:tab w:leader="none" w:pos="448"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For </w:t>
      </w:r>
      <w:r>
        <w:rPr>
          <w:rFonts w:ascii="Times New Roman" w:cs="Times New Roman" w:eastAsia="Times New Roman" w:hAnsi="Times New Roman"/>
          <w:sz w:val="17"/>
          <w:szCs w:val="17"/>
          <w:i w:val="1"/>
          <w:iCs w:val="1"/>
          <w:color w:val="auto"/>
        </w:rPr>
        <w:t>Jemperli</w:t>
      </w:r>
      <w:r>
        <w:rPr>
          <w:rFonts w:ascii="Times New Roman" w:cs="Times New Roman" w:eastAsia="Times New Roman" w:hAnsi="Times New Roman"/>
          <w:sz w:val="17"/>
          <w:szCs w:val="17"/>
          <w:color w:val="auto"/>
        </w:rPr>
        <w:t>, the filing and approval of the first MAA for a second indication and first three commercial sales milestones are included as part of the royalty monetization agreement with Sagard (as defined below), see Note 5. Cash is generally received within 30 days of milestone achievement.</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Centessa</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On November 24, 2023, we entered into an exclusive license agreement (as amended,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CBS008 (renamed ANB102) and the related family of backup antibodies, for the treatment of autoimmune and inflammatory diseases.</w:t>
      </w:r>
    </w:p>
    <w:p>
      <w:pPr>
        <w:spacing w:after="0" w:line="7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In connection with the Centessa Agreement, we paid Centessa an upfront cash payment of $4.0 million and an additional cash payment of</w:t>
      </w:r>
    </w:p>
    <w:p>
      <w:pPr>
        <w:spacing w:after="0" w:line="27"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spacing w:after="0" w:line="78"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June 30, 2024, achievement of the milestone is not probable and, therefore, we have not recognized a liability for the associated $10.0 million contingent consideration.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Sale of Future Royalties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Jemperli Royalty Monetization Agreement</w:t>
      </w:r>
    </w:p>
    <w:p>
      <w:pPr>
        <w:spacing w:after="0" w:line="106" w:lineRule="exact"/>
        <w:rPr>
          <w:sz w:val="20"/>
          <w:szCs w:val="20"/>
          <w:color w:val="auto"/>
        </w:rPr>
      </w:pPr>
    </w:p>
    <w:p>
      <w:pPr>
        <w:ind w:firstLine="445"/>
        <w:spacing w:after="0" w:line="236" w:lineRule="auto"/>
        <w:rPr>
          <w:sz w:val="20"/>
          <w:szCs w:val="20"/>
          <w:color w:val="auto"/>
        </w:rPr>
      </w:pPr>
      <w:r>
        <w:rPr>
          <w:rFonts w:ascii="Times New Roman" w:cs="Times New Roman" w:eastAsia="Times New Roman" w:hAnsi="Times New Roman"/>
          <w:sz w:val="18"/>
          <w:szCs w:val="18"/>
          <w:color w:val="auto"/>
        </w:rPr>
        <w:t>In October 2021, we signed a royalty monetization agreement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with Sagard Healthcare Royalty Partners, LP (“Sagard”). Under the terms of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we received $250.0 million in exchange for royalties and milestones payable to us under our GSK collaboration on annual global net sales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below $1.0 billion starting in October 2021 (not including any combination products that contain both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another Development Antibody (as defined in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w:t>
      </w:r>
    </w:p>
    <w:p>
      <w:pPr>
        <w:spacing w:after="0" w:line="63" w:lineRule="exact"/>
        <w:rPr>
          <w:sz w:val="20"/>
          <w:szCs w:val="20"/>
          <w:color w:val="auto"/>
        </w:rPr>
      </w:pPr>
    </w:p>
    <w:p>
      <w:pPr>
        <w:ind w:right="140" w:firstLine="445"/>
        <w:spacing w:after="0" w:line="231" w:lineRule="auto"/>
        <w:rPr>
          <w:sz w:val="20"/>
          <w:szCs w:val="20"/>
          <w:color w:val="auto"/>
        </w:rPr>
      </w:pPr>
      <w:r>
        <w:rPr>
          <w:rFonts w:ascii="Times New Roman" w:cs="Times New Roman" w:eastAsia="Times New Roman" w:hAnsi="Times New Roman"/>
          <w:sz w:val="18"/>
          <w:szCs w:val="18"/>
          <w:color w:val="auto"/>
        </w:rPr>
        <w:t xml:space="preserve">In May 2024, we entered into an amendment to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Amendment No. 1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Amendment”) under which we sold additional receivables to Sagard in exchange for $50.0 million.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Amendment now includes all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sales, expands the definition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to include any product containing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whether or not such product constitutes a combination product, and increases the threshold amounts of aggregate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royalties and milestones to be received by Sagard under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to either $600.0 million if received by the end of March 31, 2031, or $675.0 million if received thereafter. Once either of these thresholds are met,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will expire, resulting in us regaining all subsequent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royalties and milestones. As of June 30, 2024, Sagard has received a total of $24.5 million in royalties and milestones.</w:t>
      </w:r>
    </w:p>
    <w:p>
      <w:pPr>
        <w:spacing w:after="0" w:line="79"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 xml:space="preserve">The proceeds received from Sagard of $250.0 million and $50.0 million were recorded as a liability, net of transaction costs of $0.4 million and $0.1 million, which will be amortized over the estimated life of the arrangement using the effective interest rate method. The aggregate future estimated payments, less the $299.5 million, net of proceeds, will be recognized as non-cash interest expense over the life of the agreement. Royalty and milestone revenue will be recognized as earned on net sales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these payments to Sagard will be recorded as a reduction of the liability when paid. As such payments are made to Sagard, the balance of the liability will be effectively repaid over the life of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w:t>
      </w:r>
    </w:p>
    <w:p>
      <w:pPr>
        <w:spacing w:after="0" w:line="73" w:lineRule="exact"/>
        <w:rPr>
          <w:sz w:val="20"/>
          <w:szCs w:val="20"/>
          <w:color w:val="auto"/>
        </w:rPr>
      </w:pPr>
    </w:p>
    <w:p>
      <w:pPr>
        <w:ind w:right="80" w:firstLine="445"/>
        <w:spacing w:after="0" w:line="257" w:lineRule="auto"/>
        <w:rPr>
          <w:sz w:val="20"/>
          <w:szCs w:val="20"/>
          <w:color w:val="auto"/>
        </w:rPr>
      </w:pPr>
      <w:r>
        <w:rPr>
          <w:rFonts w:ascii="Times New Roman" w:cs="Times New Roman" w:eastAsia="Times New Roman" w:hAnsi="Times New Roman"/>
          <w:sz w:val="18"/>
          <w:szCs w:val="18"/>
          <w:color w:val="auto"/>
        </w:rPr>
        <w:t xml:space="preserve">We estimate the effective interest rate used to record non-cash interest expense under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based on the estimate of future royalty payments to be received by Sagard. As of June 30, 2024, the estimated effective rate under the agreement was 17.2%.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prior estimates, we will prospectively adjust the imputed interest rate and the related amortization of the royalty obligation.</w:t>
      </w:r>
    </w:p>
    <w:p>
      <w:pPr>
        <w:spacing w:after="0" w:line="74" w:lineRule="exact"/>
        <w:rPr>
          <w:sz w:val="20"/>
          <w:szCs w:val="20"/>
          <w:color w:val="auto"/>
        </w:rPr>
      </w:pPr>
    </w:p>
    <w:p>
      <w:pPr>
        <w:ind w:right="80" w:firstLine="445"/>
        <w:spacing w:after="0" w:line="284" w:lineRule="auto"/>
        <w:rPr>
          <w:sz w:val="20"/>
          <w:szCs w:val="20"/>
          <w:color w:val="auto"/>
        </w:rPr>
      </w:pPr>
      <w:r>
        <w:rPr>
          <w:rFonts w:ascii="Times New Roman" w:cs="Times New Roman" w:eastAsia="Times New Roman" w:hAnsi="Times New Roman"/>
          <w:sz w:val="18"/>
          <w:szCs w:val="18"/>
          <w:color w:val="auto"/>
        </w:rPr>
        <w:t xml:space="preserve">We recognized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non-cash royalty revenue of approximately $10.1 million and $16.3 million during the three and six months ended June 30, 2024 and approximately $2.8 million and $3.3 million during the three and six months ended June 30, 2023, respectively.</w:t>
      </w:r>
    </w:p>
    <w:p>
      <w:pPr>
        <w:spacing w:after="0" w:line="52"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We recognized non-cash interest expense of approximately $10.7 million and $16.8 million during the three and six months ended June 30, 2024 and $4.2 million and $8.1 million during the three and six months ended June 30, 2023, respectively. The interest and amortization of issuance costs are reflected as non-cash interest expense for the sale of future royalties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the activity within the liability account for the six months ended June 30, 2024:</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40" w:right="1980" w:hanging="107"/>
        <w:spacing w:after="0" w:line="270" w:lineRule="auto"/>
        <w:rPr>
          <w:sz w:val="20"/>
          <w:szCs w:val="20"/>
          <w:color w:val="auto"/>
        </w:rPr>
      </w:pPr>
      <w:r>
        <w:rPr>
          <w:rFonts w:ascii="Times New Roman" w:cs="Times New Roman" w:eastAsia="Times New Roman" w:hAnsi="Times New Roman"/>
          <w:sz w:val="18"/>
          <w:szCs w:val="18"/>
          <w:color w:val="auto"/>
        </w:rPr>
        <w:t xml:space="preserve">Liability related to sale of future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royalties and milestones – balance at 12/31/2023 Proceeds from sale of future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Issuance costs related to the sale of future royalties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Amortization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Royalty and milestone payments to Sagard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Non-cash interest expense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royalties and milestones – ending balance</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Zejula Royalty Monetization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61" w:lineRule="exact"/>
        <w:rPr>
          <w:sz w:val="20"/>
          <w:szCs w:val="20"/>
          <w:color w:val="auto"/>
        </w:rPr>
      </w:pPr>
    </w:p>
    <w:p>
      <w:pPr>
        <w:ind w:left="1300" w:hanging="129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278,090</w:t>
      </w:r>
    </w:p>
    <w:p>
      <w:pPr>
        <w:spacing w:after="0" w:line="27"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w:t>
      </w:r>
    </w:p>
    <w:p>
      <w:pPr>
        <w:spacing w:after="0" w:line="22"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w:t>
      </w:r>
    </w:p>
    <w:p>
      <w:pPr>
        <w:spacing w:after="0" w:line="22"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(14,099)</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16,801</w:t>
      </w:r>
    </w:p>
    <w:p>
      <w:pPr>
        <w:spacing w:after="0" w:line="31" w:lineRule="exact"/>
        <w:rPr>
          <w:sz w:val="20"/>
          <w:szCs w:val="20"/>
          <w:color w:val="auto"/>
        </w:rPr>
      </w:pPr>
    </w:p>
    <w:p>
      <w:pPr>
        <w:ind w:left="1300" w:hanging="1293"/>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330,717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12515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575" w:lineRule="exact"/>
        <w:rPr>
          <w:sz w:val="20"/>
          <w:szCs w:val="20"/>
          <w:color w:val="auto"/>
        </w:rPr>
      </w:pPr>
    </w:p>
    <w:p>
      <w:pPr>
        <w:sectPr>
          <w:pgSz w:w="11900" w:h="16838" w:orient="portrait"/>
          <w:cols w:equalWidth="0" w:num="2">
            <w:col w:w="8560" w:space="720"/>
            <w:col w:w="1960"/>
          </w:cols>
          <w:pgMar w:left="320" w:top="1440" w:right="339" w:bottom="1440" w:gutter="0" w:footer="0" w:header="0"/>
        </w:sectPr>
      </w:pPr>
    </w:p>
    <w:p>
      <w:pPr>
        <w:ind w:right="720" w:firstLine="405"/>
        <w:spacing w:after="0" w:line="282" w:lineRule="auto"/>
        <w:rPr>
          <w:sz w:val="20"/>
          <w:szCs w:val="20"/>
          <w:color w:val="auto"/>
        </w:rPr>
      </w:pPr>
      <w:r>
        <w:rPr>
          <w:rFonts w:ascii="Times New Roman" w:cs="Times New Roman" w:eastAsia="Times New Roman" w:hAnsi="Times New Roman"/>
          <w:sz w:val="18"/>
          <w:szCs w:val="18"/>
          <w:color w:val="auto"/>
        </w:rPr>
        <w:t>In October 2020, in connection with GSK Amendment No. 3, GSK agreed, under the terms of a settlement agreement (the “GSK Settlement Agreement”), to pay us a royalty of 0.5% on all GSK net sales of Zejula starting January 1, 2021.</w:t>
      </w:r>
    </w:p>
    <w:p>
      <w:pPr>
        <w:spacing w:after="0" w:line="54"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In September 2022, we signed a purchase and sale agreement (the “Zejula Royalty Monetization Agreement”) with a wholly owned subsidiary of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In addition, under the Zejula Royalty Monetization Agreement, we are entitled to receive an additional $10.0 million payment from DRI if Zejula is approved by the U.S. Food and Drug Administration for the treatment of endometrial cancer on or prior to December 31, 2025.</w:t>
      </w:r>
    </w:p>
    <w:p>
      <w:pPr>
        <w:spacing w:after="0" w:line="7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proceeds received from DRI of $35.0 million were recorded as a liability, net of transaction costs of $0.2 million, which will be amortized over the estimated life of the arrangement using the effective interest rate method. Royalty revenue will be recognized as earned on net sales of Zejula, and these royalty payments to DRI will be recorded as a reduction of the liability when paid. The aggregate future estimated payments, less the $34.8 million, of net proceeds, will be recorded as non-cash interest expense over the life of the agreement. As such payments are made to DRI, the balance of the liability will be effectively repaid over the life of the Zejula Royalty Monetization Agreement.</w:t>
      </w:r>
    </w:p>
    <w:p>
      <w:pPr>
        <w:spacing w:after="0" w:line="75"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We recognized Zejula non-cash royalty revenue of approximately $0.9 million and $1.9 million during the three and six months ended June 30, 2024 and $0.7 million and $1.5 million during the three and six months ended June 30, 2023, respectively.</w:t>
      </w:r>
    </w:p>
    <w:p>
      <w:pPr>
        <w:spacing w:after="0" w:line="54"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We recognized non-cash interest expense of approximately $0.2 million and $0.4 million during the three and six months ended June 30, 2024 and $0.2 million and $0.6 million six months ended June 30, 2023, respectively. The interest and amortization of issuance costs is reflected as non-cash interest expense for the sale of future royalties in the Consolidated Statements of Operations.</w:t>
      </w:r>
    </w:p>
    <w:p>
      <w:pPr>
        <w:sectPr>
          <w:pgSz w:w="11900" w:h="16838" w:orient="portrait"/>
          <w:cols w:equalWidth="0" w:num="1">
            <w:col w:w="11240"/>
          </w:cols>
          <w:pgMar w:left="320" w:top="1440" w:right="339" w:bottom="1440" w:gutter="0" w:footer="0" w:header="0"/>
          <w:type w:val="continuous"/>
        </w:sectPr>
      </w:pP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the activity within the liability account for the six months ended June 30, 2024:</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140" w:right="2120" w:hanging="107"/>
        <w:spacing w:after="0" w:line="268" w:lineRule="auto"/>
        <w:rPr>
          <w:sz w:val="20"/>
          <w:szCs w:val="20"/>
          <w:color w:val="auto"/>
        </w:rPr>
      </w:pPr>
      <w:r>
        <w:rPr>
          <w:rFonts w:ascii="Times New Roman" w:cs="Times New Roman" w:eastAsia="Times New Roman" w:hAnsi="Times New Roman"/>
          <w:sz w:val="18"/>
          <w:szCs w:val="18"/>
          <w:color w:val="auto"/>
        </w:rPr>
        <w:t>Liability related to sale of future Zejula royalties and milestones – balance at 12/31/2023 Amortization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Royalty and milestone payments to DRI</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Non-cash interest expense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royalties and milestones – ending balance</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16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
        </w:trPr>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32,717</w:t>
            </w:r>
          </w:p>
        </w:tc>
      </w:tr>
      <w:tr>
        <w:trPr>
          <w:trHeight w:val="230"/>
        </w:trPr>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34"/>
        </w:trPr>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40" w:space="720"/>
            <w:col w:w="19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200" w:lineRule="exact"/>
        <w:rPr>
          <w:sz w:val="20"/>
          <w:szCs w:val="20"/>
          <w:color w:val="auto"/>
        </w:rPr>
      </w:pPr>
    </w:p>
    <w:p>
      <w:pPr>
        <w:spacing w:after="0" w:line="206" w:lineRule="exact"/>
        <w:rPr>
          <w:sz w:val="20"/>
          <w:szCs w:val="20"/>
          <w:color w:val="auto"/>
        </w:rPr>
      </w:pPr>
    </w:p>
    <w:p>
      <w:pPr>
        <w:ind w:left="260" w:right="6320" w:hanging="252"/>
        <w:spacing w:after="0" w:line="377" w:lineRule="auto"/>
        <w:tabs>
          <w:tab w:leader="none" w:pos="197"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and Available for Sale Investments </w:t>
      </w:r>
      <w:r>
        <w:rPr>
          <w:rFonts w:ascii="Times New Roman" w:cs="Times New Roman" w:eastAsia="Times New Roman" w:hAnsi="Times New Roman"/>
          <w:sz w:val="18"/>
          <w:szCs w:val="18"/>
          <w:b w:val="1"/>
          <w:bCs w:val="1"/>
          <w:i w:val="1"/>
          <w:iCs w:val="1"/>
          <w:color w:val="auto"/>
        </w:rPr>
        <w:t>Fair Value Measurements</w:t>
      </w:r>
    </w:p>
    <w:p>
      <w:pPr>
        <w:spacing w:after="0" w:line="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6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activities, therefore requiring an entity to develop its own assumptions.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assets and liabilities that require fair value measurements on a recurring basis and their respective input levels based on the fair value hierarchy: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End of Period Using:</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58"/>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Quoted Market</w:t>
            </w: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3"/>
                <w:szCs w:val="13"/>
                <w:color w:val="auto"/>
              </w:rPr>
            </w:pPr>
          </w:p>
        </w:tc>
        <w:tc>
          <w:tcPr>
            <w:tcW w:w="1280" w:type="dxa"/>
            <w:vAlign w:val="bottom"/>
          </w:tcPr>
          <w:p>
            <w:pPr>
              <w:jc w:val="center"/>
              <w:ind w:right="135"/>
              <w:spacing w:after="0" w:line="158" w:lineRule="exact"/>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Prices for</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20" w:type="dxa"/>
            <w:vAlign w:val="bottom"/>
          </w:tcPr>
          <w:p>
            <w:pPr>
              <w:spacing w:after="0"/>
              <w:rPr>
                <w:sz w:val="14"/>
                <w:szCs w:val="14"/>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4"/>
                <w:szCs w:val="14"/>
                <w:color w:val="auto"/>
              </w:rPr>
            </w:pPr>
          </w:p>
        </w:tc>
        <w:tc>
          <w:tcPr>
            <w:tcW w:w="12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90"/>
        </w:trPr>
        <w:tc>
          <w:tcPr>
            <w:tcW w:w="20" w:type="dxa"/>
            <w:vAlign w:val="bottom"/>
          </w:tcPr>
          <w:p>
            <w:pPr>
              <w:spacing w:after="0"/>
              <w:rPr>
                <w:sz w:val="16"/>
                <w:szCs w:val="16"/>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484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At June 30, 2024</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8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59,280</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48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48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At December 31, 2023</w:t>
            </w:r>
          </w:p>
        </w:tc>
        <w:tc>
          <w:tcPr>
            <w:tcW w:w="3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48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27,789</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0" w:type="dxa"/>
            <w:vAlign w:val="bottom"/>
          </w:tcPr>
          <w:p>
            <w:pPr>
              <w:spacing w:after="0"/>
              <w:rPr>
                <w:sz w:val="22"/>
                <w:szCs w:val="22"/>
                <w:color w:val="auto"/>
              </w:rPr>
            </w:pPr>
          </w:p>
        </w:tc>
        <w:tc>
          <w:tcPr>
            <w:tcW w:w="48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840" w:type="dxa"/>
            <w:vAlign w:val="bottom"/>
            <w:gridSpan w:val="3"/>
          </w:tcPr>
          <w:p>
            <w:pPr>
              <w:ind w:left="40"/>
              <w:spacing w:after="0" w:line="230"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bl>
    <w:p>
      <w:pPr>
        <w:spacing w:after="0" w:line="114" w:lineRule="exact"/>
        <w:rPr>
          <w:sz w:val="20"/>
          <w:szCs w:val="20"/>
          <w:color w:val="auto"/>
        </w:rPr>
      </w:pPr>
    </w:p>
    <w:p>
      <w:pPr>
        <w:ind w:left="280" w:hanging="232"/>
        <w:spacing w:after="0"/>
        <w:tabs>
          <w:tab w:leader="none" w:pos="28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cash and cash equivalents in the accompanying consolidated balance sheets.</w:t>
      </w:r>
    </w:p>
    <w:p>
      <w:pPr>
        <w:spacing w:after="0" w:line="28" w:lineRule="exact"/>
        <w:rPr>
          <w:rFonts w:ascii="Times New Roman" w:cs="Times New Roman" w:eastAsia="Times New Roman" w:hAnsi="Times New Roman"/>
          <w:sz w:val="23"/>
          <w:szCs w:val="23"/>
          <w:color w:val="auto"/>
          <w:vertAlign w:val="superscript"/>
        </w:rPr>
      </w:pPr>
    </w:p>
    <w:p>
      <w:pPr>
        <w:ind w:left="300" w:hanging="252"/>
        <w:spacing w:after="0" w:line="194" w:lineRule="auto"/>
        <w:tabs>
          <w:tab w:leader="none" w:pos="3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short-term or long-term investments in the accompanying consolidated balance sheets depending on the respective maturity date.</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financial instruments for which it is practicable to estimate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97" w:lineRule="exact"/>
        <w:rPr>
          <w:sz w:val="20"/>
          <w:szCs w:val="20"/>
          <w:color w:val="auto"/>
        </w:rPr>
      </w:pPr>
    </w:p>
    <w:p>
      <w:pPr>
        <w:jc w:val="both"/>
        <w:ind w:right="2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w:t>
      </w:r>
      <w:r>
        <w:rPr>
          <w:rFonts w:ascii="Times New Roman" w:cs="Times New Roman" w:eastAsia="Times New Roman" w:hAnsi="Times New Roman"/>
          <w:sz w:val="18"/>
          <w:szCs w:val="18"/>
          <w:color w:val="auto"/>
        </w:rPr>
        <w:t>For fair values determined by Level 1 inputs, which utilize quoted prices in active markets for identical assets,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6" w:name="page17"/>
    <w:bookmarkEnd w:id="16"/>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Other Financial Instruments</w:t>
      </w:r>
    </w:p>
    <w:p>
      <w:pPr>
        <w:spacing w:after="0" w:line="121" w:lineRule="exact"/>
        <w:rPr>
          <w:sz w:val="20"/>
          <w:szCs w:val="20"/>
          <w:color w:val="auto"/>
        </w:rPr>
      </w:pPr>
    </w:p>
    <w:p>
      <w:pPr>
        <w:ind w:right="720" w:firstLine="528"/>
        <w:spacing w:after="0" w:line="282" w:lineRule="auto"/>
        <w:rPr>
          <w:sz w:val="20"/>
          <w:szCs w:val="20"/>
          <w:color w:val="auto"/>
        </w:rPr>
      </w:pPr>
      <w:r>
        <w:rPr>
          <w:rFonts w:ascii="Times New Roman" w:cs="Times New Roman" w:eastAsia="Times New Roman" w:hAnsi="Times New Roman"/>
          <w:sz w:val="18"/>
          <w:szCs w:val="18"/>
          <w:color w:val="auto"/>
        </w:rPr>
        <w:t>The carrying amounts of certain of our financial instruments, including cash and cash equivalents, accounts payable, and accrued expenses approximate fair value due to their short-term nature.</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Available for Sale Investments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short-term and long-term investments as of June 30, 2024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1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40" w:type="dxa"/>
            <w:vAlign w:val="bottom"/>
          </w:tcPr>
          <w:p>
            <w:pPr>
              <w:spacing w:after="0"/>
              <w:rPr>
                <w:sz w:val="17"/>
                <w:szCs w:val="17"/>
                <w:color w:val="auto"/>
              </w:rPr>
            </w:pPr>
          </w:p>
        </w:tc>
        <w:tc>
          <w:tcPr>
            <w:tcW w:w="11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524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296,985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296,797</w:t>
            </w:r>
          </w:p>
        </w:tc>
        <w:tc>
          <w:tcPr>
            <w:tcW w:w="0" w:type="dxa"/>
            <w:vAlign w:val="bottom"/>
          </w:tcPr>
          <w:p>
            <w:pPr>
              <w:spacing w:after="0"/>
              <w:rPr>
                <w:sz w:val="1"/>
                <w:szCs w:val="1"/>
                <w:color w:val="auto"/>
              </w:rPr>
            </w:pPr>
          </w:p>
        </w:tc>
      </w:tr>
      <w:tr>
        <w:trPr>
          <w:trHeight w:val="22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available for sale investments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321,837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321,629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right="240" w:hanging="412"/>
        <w:spacing w:after="0" w:line="229" w:lineRule="auto"/>
        <w:tabs>
          <w:tab w:leader="none" w:pos="29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agency securities, $5.1 million have maturity dates of less than one year and $0.0 million have maturity dates between one to two years as of June 30, 2024.</w:t>
      </w:r>
    </w:p>
    <w:p>
      <w:pPr>
        <w:spacing w:after="0" w:line="22" w:lineRule="exact"/>
        <w:rPr>
          <w:rFonts w:ascii="Times New Roman" w:cs="Times New Roman" w:eastAsia="Times New Roman" w:hAnsi="Times New Roman"/>
          <w:sz w:val="23"/>
          <w:szCs w:val="23"/>
          <w:color w:val="auto"/>
          <w:vertAlign w:val="superscript"/>
        </w:rPr>
      </w:pPr>
    </w:p>
    <w:p>
      <w:pPr>
        <w:ind w:left="460" w:right="40" w:hanging="412"/>
        <w:spacing w:after="0" w:line="229" w:lineRule="auto"/>
        <w:tabs>
          <w:tab w:leader="none" w:pos="30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commercial and corporate obligations, $19.8 million have maturity dates of less than one year and $0.0 million have a maturity date of between one to two years as of June 30, 2024.</w:t>
      </w:r>
    </w:p>
    <w:p>
      <w:pPr>
        <w:spacing w:after="0" w:line="9" w:lineRule="exact"/>
        <w:rPr>
          <w:rFonts w:ascii="Times New Roman" w:cs="Times New Roman" w:eastAsia="Times New Roman" w:hAnsi="Times New Roman"/>
          <w:sz w:val="23"/>
          <w:szCs w:val="23"/>
          <w:color w:val="auto"/>
          <w:vertAlign w:val="superscript"/>
        </w:rPr>
      </w:pPr>
    </w:p>
    <w:p>
      <w:pPr>
        <w:ind w:left="460" w:right="40" w:hanging="412"/>
        <w:spacing w:after="0" w:line="229" w:lineRule="auto"/>
        <w:tabs>
          <w:tab w:leader="none" w:pos="29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U.S. Treasury securities, $254.2 million have maturity dates of less than one year and $42.6 million have a maturity date of between one to two years as of June 30, 2024.</w:t>
      </w:r>
    </w:p>
    <w:p>
      <w:pPr>
        <w:spacing w:after="0" w:line="198"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aggregate market value, cost basis, and gross unrealized gains and losses of available for sale investments by security type, classified in short-term and long-term investments as of December 31, 2023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11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516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Agency securities</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20,322</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Certificates of deposit</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3"/>
                <w:szCs w:val="23"/>
                <w:color w:val="auto"/>
                <w:vertAlign w:val="superscript"/>
              </w:rPr>
              <w:t>(3)</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325,714</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available for sale investments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382,555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381,965</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425196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51960" cy="154305"/>
                    </a:xfrm>
                    <a:prstGeom prst="rect">
                      <a:avLst/>
                    </a:prstGeom>
                    <a:noFill/>
                  </pic:spPr>
                </pic:pic>
              </a:graphicData>
            </a:graphic>
          </wp:anchor>
        </w:drawing>
      </w:r>
    </w:p>
    <w:p>
      <w:pPr>
        <w:spacing w:after="0" w:line="97" w:lineRule="exact"/>
        <w:rPr>
          <w:sz w:val="20"/>
          <w:szCs w:val="20"/>
          <w:color w:val="auto"/>
        </w:rPr>
      </w:pPr>
    </w:p>
    <w:p>
      <w:pPr>
        <w:ind w:left="460" w:right="140" w:hanging="412"/>
        <w:spacing w:after="0" w:line="229" w:lineRule="auto"/>
        <w:tabs>
          <w:tab w:leader="none" w:pos="371"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agency securities, $20.3 million have maturity dates of less than one year and $0.0 million have a maturity date of between one to two years as of December 31, 2023.</w:t>
      </w:r>
    </w:p>
    <w:p>
      <w:pPr>
        <w:spacing w:after="0" w:line="9" w:lineRule="exact"/>
        <w:rPr>
          <w:rFonts w:ascii="Times New Roman" w:cs="Times New Roman" w:eastAsia="Times New Roman" w:hAnsi="Times New Roman"/>
          <w:sz w:val="23"/>
          <w:szCs w:val="23"/>
          <w:color w:val="auto"/>
          <w:vertAlign w:val="superscript"/>
        </w:rPr>
      </w:pPr>
    </w:p>
    <w:p>
      <w:pPr>
        <w:ind w:left="460" w:right="80" w:hanging="412"/>
        <w:spacing w:after="0" w:line="229" w:lineRule="auto"/>
        <w:tabs>
          <w:tab w:leader="none" w:pos="33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certificates of deposit, $0.2 million have a maturity date of less than one year and $0.0 million have a maturity date of between one to two years as of December 31, 2023.</w:t>
      </w:r>
    </w:p>
    <w:p>
      <w:pPr>
        <w:spacing w:after="0" w:line="22" w:lineRule="exact"/>
        <w:rPr>
          <w:rFonts w:ascii="Times New Roman" w:cs="Times New Roman" w:eastAsia="Times New Roman" w:hAnsi="Times New Roman"/>
          <w:sz w:val="23"/>
          <w:szCs w:val="23"/>
          <w:color w:val="auto"/>
          <w:vertAlign w:val="superscript"/>
        </w:rPr>
      </w:pPr>
    </w:p>
    <w:p>
      <w:pPr>
        <w:ind w:left="460" w:right="180" w:hanging="412"/>
        <w:spacing w:after="0" w:line="229" w:lineRule="auto"/>
        <w:tabs>
          <w:tab w:leader="none" w:pos="416"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commercial and corporate obligations, $25.8 million have maturity dates of less than one year and $10.0 million have a maturity date of between one to two years as of December 31, 2023.</w:t>
      </w:r>
    </w:p>
    <w:p>
      <w:pPr>
        <w:spacing w:after="0" w:line="22" w:lineRule="exact"/>
        <w:rPr>
          <w:rFonts w:ascii="Times New Roman" w:cs="Times New Roman" w:eastAsia="Times New Roman" w:hAnsi="Times New Roman"/>
          <w:sz w:val="23"/>
          <w:szCs w:val="23"/>
          <w:color w:val="auto"/>
          <w:vertAlign w:val="superscript"/>
        </w:rPr>
      </w:pPr>
    </w:p>
    <w:p>
      <w:pPr>
        <w:ind w:left="460" w:right="560" w:hanging="412"/>
        <w:spacing w:after="0" w:line="229" w:lineRule="auto"/>
        <w:tabs>
          <w:tab w:leader="none" w:pos="416"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our outstanding U.S. Treasury securities, $308.6 million have maturity dates of less than one year and $17.1 million have a maturity date of between one to two years as of December 31, 2023.</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gross unrealized losses and fair values for those investments that were in an unrealized loss position as of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December 31, 2023, aggregated by investment category and the length of time that individual securities have been in a continuous loss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Gross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0" w:type="dxa"/>
            <w:vAlign w:val="bottom"/>
          </w:tcPr>
          <w:p>
            <w:pPr>
              <w:jc w:val="center"/>
              <w:ind w:left="339"/>
              <w:spacing w:after="0" w:line="15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3"/>
                <w:szCs w:val="13"/>
                <w:color w:val="auto"/>
              </w:rPr>
            </w:pPr>
          </w:p>
        </w:tc>
        <w:tc>
          <w:tcPr>
            <w:tcW w:w="1000" w:type="dxa"/>
            <w:vAlign w:val="bottom"/>
          </w:tcPr>
          <w:p>
            <w:pPr>
              <w:jc w:val="center"/>
              <w:ind w:right="193"/>
              <w:spacing w:after="0" w:line="151"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90"/>
        </w:trPr>
        <w:tc>
          <w:tcPr>
            <w:tcW w:w="3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23"/>
        </w:trPr>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corporate obligations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182,460</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52,401</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3"/>
        </w:trPr>
        <w:tc>
          <w:tcPr>
            <w:tcW w:w="3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196,718</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61,271</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257,989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0" w:type="dxa"/>
            <w:vAlign w:val="bottom"/>
          </w:tcPr>
          <w:p>
            <w:pPr>
              <w:jc w:val="center"/>
              <w:ind w:left="339"/>
              <w:spacing w:after="0" w:line="13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1"/>
                <w:szCs w:val="11"/>
                <w:color w:val="auto"/>
              </w:rPr>
            </w:pPr>
          </w:p>
        </w:tc>
        <w:tc>
          <w:tcPr>
            <w:tcW w:w="1000" w:type="dxa"/>
            <w:vAlign w:val="bottom"/>
          </w:tcPr>
          <w:p>
            <w:pPr>
              <w:jc w:val="center"/>
              <w:ind w:right="193"/>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95"/>
        </w:trPr>
        <w:tc>
          <w:tcPr>
            <w:tcW w:w="3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17,723</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corporate obligations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98,840</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unrealized losses on available-for-sale investments were $0.2 million and $0.8 million, respectively, with unrealized losses of $0.1 million, on available for sale investments that were in an unrealized loss position for greater than 12 months as of June 30, 2024. We do not intend to sell the investments and it is not more likely than not that we will be required to sell the investments before recovery of their amortized cost basis, accordingly, no allowance for credit losses was recorded.</w:t>
      </w:r>
    </w:p>
    <w:p>
      <w:pPr>
        <w:spacing w:after="0" w:line="284" w:lineRule="exact"/>
        <w:rPr>
          <w:sz w:val="20"/>
          <w:szCs w:val="20"/>
          <w:color w:val="auto"/>
        </w:rPr>
      </w:pPr>
    </w:p>
    <w:p>
      <w:pPr>
        <w:ind w:left="260" w:right="9420" w:hanging="252"/>
        <w:spacing w:after="0" w:line="400" w:lineRule="auto"/>
        <w:tabs>
          <w:tab w:leader="none" w:pos="197"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Common Stock</w:t>
      </w:r>
    </w:p>
    <w:p>
      <w:pPr>
        <w:ind w:left="260" w:right="1800" w:firstLine="243"/>
        <w:spacing w:after="0" w:line="375" w:lineRule="auto"/>
        <w:rPr>
          <w:sz w:val="20"/>
          <w:szCs w:val="20"/>
          <w:color w:val="auto"/>
        </w:rPr>
      </w:pPr>
      <w:r>
        <w:rPr>
          <w:rFonts w:ascii="Times New Roman" w:cs="Times New Roman" w:eastAsia="Times New Roman" w:hAnsi="Times New Roman"/>
          <w:sz w:val="18"/>
          <w:szCs w:val="18"/>
          <w:color w:val="auto"/>
        </w:rPr>
        <w:t xml:space="preserve">Of the 500,000,000 shares of common stock authorized, 27,434,033 shares were issued and outstanding as of June 30, 2024. </w:t>
      </w:r>
      <w:r>
        <w:rPr>
          <w:rFonts w:ascii="Times New Roman" w:cs="Times New Roman" w:eastAsia="Times New Roman" w:hAnsi="Times New Roman"/>
          <w:sz w:val="18"/>
          <w:szCs w:val="18"/>
          <w:b w:val="1"/>
          <w:bCs w:val="1"/>
          <w:i w:val="1"/>
          <w:iCs w:val="1"/>
          <w:color w:val="auto"/>
        </w:rPr>
        <w:t>Stock Repurchase Program</w:t>
      </w:r>
    </w:p>
    <w:p>
      <w:pPr>
        <w:spacing w:after="0" w:line="1" w:lineRule="exact"/>
        <w:rPr>
          <w:sz w:val="20"/>
          <w:szCs w:val="20"/>
          <w:color w:val="auto"/>
        </w:rPr>
      </w:pPr>
    </w:p>
    <w:p>
      <w:pPr>
        <w:ind w:right="220" w:firstLine="567"/>
        <w:spacing w:after="0" w:line="282" w:lineRule="auto"/>
        <w:rPr>
          <w:sz w:val="20"/>
          <w:szCs w:val="20"/>
          <w:color w:val="auto"/>
        </w:rPr>
      </w:pPr>
      <w:r>
        <w:rPr>
          <w:rFonts w:ascii="Times New Roman" w:cs="Times New Roman" w:eastAsia="Times New Roman" w:hAnsi="Times New Roman"/>
          <w:sz w:val="18"/>
          <w:szCs w:val="18"/>
          <w:color w:val="auto"/>
        </w:rPr>
        <w:t>In January 2023, our Board of Directors authorized a stock repurchase program (the “Repurchase Program”) to repurchase up to $50.0 million of our outstanding common stock, par value $0.001 per share. The Repurchase Program was completed in May 2023.</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the repurchase activity from January 1, 2023 through May 5, 2023, the end date of the Repurchase Program:</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72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jc w:val="right"/>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of shares purchased</w:t>
            </w:r>
          </w:p>
        </w:tc>
        <w:tc>
          <w:tcPr>
            <w:tcW w:w="0" w:type="dxa"/>
            <w:vAlign w:val="bottom"/>
          </w:tcPr>
          <w:p>
            <w:pPr>
              <w:spacing w:after="0"/>
              <w:rPr>
                <w:sz w:val="1"/>
                <w:szCs w:val="1"/>
                <w:color w:val="auto"/>
              </w:rPr>
            </w:pPr>
          </w:p>
        </w:tc>
      </w:tr>
      <w:tr>
        <w:trPr>
          <w:trHeight w:val="195"/>
        </w:trPr>
        <w:tc>
          <w:tcPr>
            <w:tcW w:w="5900" w:type="dxa"/>
            <w:vAlign w:val="bottom"/>
          </w:tcPr>
          <w:p>
            <w:pPr>
              <w:spacing w:after="0"/>
              <w:rPr>
                <w:sz w:val="16"/>
                <w:szCs w:val="16"/>
                <w:color w:val="auto"/>
              </w:rPr>
            </w:pPr>
          </w:p>
        </w:tc>
        <w:tc>
          <w:tcPr>
            <w:tcW w:w="17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6"/>
                <w:szCs w:val="16"/>
                <w:color w:val="auto"/>
              </w:rPr>
            </w:pPr>
          </w:p>
        </w:tc>
        <w:tc>
          <w:tcPr>
            <w:tcW w:w="15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2023</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1,589,424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38,456</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Second Quarter 2023</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2,124,214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60" w:firstLine="567"/>
        <w:spacing w:after="0" w:line="282" w:lineRule="auto"/>
        <w:rPr>
          <w:sz w:val="20"/>
          <w:szCs w:val="20"/>
          <w:color w:val="auto"/>
        </w:rPr>
      </w:pPr>
      <w:r>
        <w:rPr>
          <w:rFonts w:ascii="Times New Roman" w:cs="Times New Roman" w:eastAsia="Times New Roman" w:hAnsi="Times New Roman"/>
          <w:sz w:val="18"/>
          <w:szCs w:val="18"/>
          <w:color w:val="auto"/>
        </w:rPr>
        <w:t>The repurchased common stock was subsequently retired after the repurchase and the par value of the shares was charged to common stock. The excess of the repurchase price over the par value was applied against additional paid 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Sales Agreement</w:t>
      </w:r>
    </w:p>
    <w:p>
      <w:pPr>
        <w:spacing w:after="0" w:line="121" w:lineRule="exact"/>
        <w:rPr>
          <w:sz w:val="20"/>
          <w:szCs w:val="20"/>
          <w:color w:val="auto"/>
        </w:rPr>
      </w:pPr>
    </w:p>
    <w:p>
      <w:pPr>
        <w:ind w:right="140" w:firstLine="567"/>
        <w:spacing w:after="0" w:line="282" w:lineRule="auto"/>
        <w:rPr>
          <w:sz w:val="20"/>
          <w:szCs w:val="20"/>
          <w:color w:val="auto"/>
        </w:rPr>
      </w:pPr>
      <w:r>
        <w:rPr>
          <w:rFonts w:ascii="Times New Roman" w:cs="Times New Roman" w:eastAsia="Times New Roman" w:hAnsi="Times New Roman"/>
          <w:sz w:val="18"/>
          <w:szCs w:val="18"/>
          <w:color w:val="auto"/>
        </w:rPr>
        <w:t>In November 2022, we entered into the Cowen Sales Agreement with Cowen, through which we may offer and sell shares of our common stock, having an aggregate offering of up to $150.0 million through Cowen as our sales agent. As of June 30, 2024, we had sold no shares under this agreement.</w:t>
      </w:r>
    </w:p>
    <w:p>
      <w:pPr>
        <w:spacing w:after="0" w:line="266" w:lineRule="exact"/>
        <w:rPr>
          <w:sz w:val="20"/>
          <w:szCs w:val="20"/>
          <w:color w:val="auto"/>
        </w:rPr>
      </w:pPr>
    </w:p>
    <w:p>
      <w:pPr>
        <w:ind w:left="260" w:right="8920" w:hanging="252"/>
        <w:spacing w:after="0" w:line="400" w:lineRule="auto"/>
        <w:tabs>
          <w:tab w:leader="none" w:pos="197"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Incentive Plans </w:t>
      </w:r>
      <w:r>
        <w:rPr>
          <w:rFonts w:ascii="Times New Roman" w:cs="Times New Roman" w:eastAsia="Times New Roman" w:hAnsi="Times New Roman"/>
          <w:sz w:val="17"/>
          <w:szCs w:val="17"/>
          <w:b w:val="1"/>
          <w:bCs w:val="1"/>
          <w:i w:val="1"/>
          <w:iCs w:val="1"/>
          <w:color w:val="auto"/>
        </w:rPr>
        <w:t>2017 Equity Incentive Plan</w:t>
      </w: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were to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1,063,871 shares as of January 1, 2024. At our annual stockholder meeting on June 12, 2024, the 2017 Plan was amended, eliminating the automatic annual share increase and number of shares available for issuance was increased by 2,700,000 shares. All future share increases will require stockholder approval. As of June 30, 2024, 3,653,227 shares were available for future issuance.</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January 2017, our Board of Directors and stockholders approved and adopted the 2017 Employee Stock Purchase Plan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265,967 shares as of January 1, 2024. As of June 30, 2024, 151,842 shares have been issued under the ESPP and 1,946,965 shares were available for future issuance.</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six months ended June 30, 2024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4"/>
                <w:szCs w:val="14"/>
                <w:color w:val="auto"/>
              </w:rPr>
            </w:pPr>
          </w:p>
        </w:tc>
        <w:tc>
          <w:tcPr>
            <w:tcW w:w="126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4"/>
                <w:szCs w:val="14"/>
                <w:color w:val="auto"/>
              </w:rPr>
            </w:pPr>
          </w:p>
        </w:tc>
        <w:tc>
          <w:tcPr>
            <w:tcW w:w="126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to</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60" w:type="dxa"/>
            <w:vAlign w:val="bottom"/>
          </w:tcPr>
          <w:p>
            <w:pPr>
              <w:spacing w:after="0"/>
              <w:rPr>
                <w:sz w:val="14"/>
                <w:szCs w:val="14"/>
                <w:color w:val="auto"/>
              </w:rPr>
            </w:pPr>
          </w:p>
        </w:tc>
        <w:tc>
          <w:tcPr>
            <w:tcW w:w="126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6"/>
                <w:szCs w:val="16"/>
                <w:color w:val="auto"/>
              </w:rPr>
            </w:pPr>
          </w:p>
        </w:tc>
        <w:tc>
          <w:tcPr>
            <w:tcW w:w="126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3"/>
        </w:trPr>
        <w:tc>
          <w:tcPr>
            <w:tcW w:w="47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2,159,889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 and cancellations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(207,690)</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6,102,906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0" w:type="dxa"/>
            <w:vAlign w:val="bottom"/>
          </w:tcPr>
          <w:p>
            <w:pPr>
              <w:spacing w:after="0" w:line="20" w:lineRule="exact"/>
              <w:rPr>
                <w:sz w:val="1"/>
                <w:szCs w:val="1"/>
                <w:color w:val="auto"/>
              </w:rPr>
            </w:pPr>
          </w:p>
        </w:tc>
      </w:tr>
      <w:tr>
        <w:trPr>
          <w:trHeight w:val="208"/>
        </w:trPr>
        <w:tc>
          <w:tcPr>
            <w:tcW w:w="4780" w:type="dxa"/>
            <w:vAlign w:val="bottom"/>
            <w:vMerge w:val="continue"/>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2,636,860</w:t>
            </w:r>
          </w:p>
        </w:tc>
        <w:tc>
          <w:tcPr>
            <w:tcW w:w="26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60" w:right="1560"/>
        <w:spacing w:after="0" w:line="383" w:lineRule="auto"/>
        <w:rPr>
          <w:sz w:val="20"/>
          <w:szCs w:val="20"/>
          <w:color w:val="auto"/>
        </w:rPr>
      </w:pPr>
      <w:r>
        <w:rPr>
          <w:rFonts w:ascii="Times New Roman" w:cs="Times New Roman" w:eastAsia="Times New Roman" w:hAnsi="Times New Roman"/>
          <w:sz w:val="18"/>
          <w:szCs w:val="18"/>
          <w:color w:val="auto"/>
        </w:rPr>
        <w:t xml:space="preserve">Total cash received from the exercise of stock options was approximately $1.1 million during the six months ended June 30, 2024. </w:t>
      </w:r>
      <w:r>
        <w:rPr>
          <w:rFonts w:ascii="Times New Roman" w:cs="Times New Roman" w:eastAsia="Times New Roman" w:hAnsi="Times New Roman"/>
          <w:sz w:val="18"/>
          <w:szCs w:val="18"/>
          <w:b w:val="1"/>
          <w:bCs w:val="1"/>
          <w:i w:val="1"/>
          <w:iCs w:val="1"/>
          <w:color w:val="auto"/>
        </w:rPr>
        <w:t>Time-Based Restricted Stock Units</w:t>
      </w:r>
    </w:p>
    <w:p>
      <w:pPr>
        <w:spacing w:after="0" w:line="1" w:lineRule="exact"/>
        <w:rPr>
          <w:sz w:val="20"/>
          <w:szCs w:val="20"/>
          <w:color w:val="auto"/>
        </w:rPr>
      </w:pPr>
    </w:p>
    <w:p>
      <w:pPr>
        <w:ind w:right="20" w:firstLine="243"/>
        <w:spacing w:after="0" w:line="266" w:lineRule="auto"/>
        <w:rPr>
          <w:sz w:val="20"/>
          <w:szCs w:val="20"/>
          <w:color w:val="auto"/>
        </w:rPr>
      </w:pPr>
      <w:r>
        <w:rPr>
          <w:rFonts w:ascii="Times New Roman" w:cs="Times New Roman" w:eastAsia="Times New Roman" w:hAnsi="Times New Roman"/>
          <w:sz w:val="18"/>
          <w:szCs w:val="18"/>
          <w:color w:val="auto"/>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straight-line basis. The RSUs do not entitle the participants to the rights of holders of common stock, such as voting rights, until the shares are issued.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6"/>
                <w:szCs w:val="16"/>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12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300" w:type="dxa"/>
            <w:vAlign w:val="bottom"/>
          </w:tcPr>
          <w:p>
            <w:pPr>
              <w:spacing w:after="0"/>
              <w:rPr>
                <w:sz w:val="12"/>
                <w:szCs w:val="12"/>
                <w:color w:val="auto"/>
              </w:rPr>
            </w:pPr>
          </w:p>
        </w:tc>
        <w:tc>
          <w:tcPr>
            <w:tcW w:w="12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98"/>
        </w:trPr>
        <w:tc>
          <w:tcPr>
            <w:tcW w:w="5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31,735</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786,108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(1,055,959)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 and cancellations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5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1,204,349</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RSU expected to vest at June 30, 2024</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5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tcBorders>
              <w:top w:val="single" w:sz="8" w:color="CCEEFF"/>
              <w:bottom w:val="single" w:sz="8" w:color="CCEEFF"/>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30,181</w:t>
            </w:r>
          </w:p>
        </w:tc>
        <w:tc>
          <w:tcPr>
            <w:tcW w:w="0" w:type="dxa"/>
            <w:vAlign w:val="bottom"/>
          </w:tcPr>
          <w:p>
            <w:pPr>
              <w:spacing w:after="0" w:line="20" w:lineRule="exact"/>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1,204,349</w:t>
            </w:r>
          </w:p>
        </w:tc>
        <w:tc>
          <w:tcPr>
            <w:tcW w:w="22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were determined on the date of grant using the Black-Scholes option valuation model with the following weighted-average assumptions:</w:t>
      </w:r>
    </w:p>
    <w:p>
      <w:pPr>
        <w:spacing w:after="0" w:line="100"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80" w:type="dxa"/>
            <w:vAlign w:val="bottom"/>
            <w:tcBorders>
              <w:bottom w:val="single" w:sz="8" w:color="CFF0FC"/>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FF0FC"/>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auto"/>
            </w:tcBorders>
          </w:tcPr>
          <w:p>
            <w:pPr>
              <w:spacing w:after="0"/>
              <w:rPr>
                <w:sz w:val="17"/>
                <w:szCs w:val="17"/>
                <w:color w:val="auto"/>
              </w:rPr>
            </w:pPr>
          </w:p>
        </w:tc>
      </w:tr>
      <w:tr>
        <w:trPr>
          <w:trHeight w:val="229"/>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8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tcPr>
          <w:p>
            <w:pPr>
              <w:spacing w:after="0"/>
              <w:rPr>
                <w:sz w:val="19"/>
                <w:szCs w:val="19"/>
                <w:color w:val="auto"/>
              </w:rPr>
            </w:pPr>
          </w:p>
        </w:tc>
      </w:tr>
      <w:tr>
        <w:trPr>
          <w:trHeight w:val="230"/>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per share</w:t>
            </w:r>
          </w:p>
        </w:tc>
        <w:tc>
          <w:tcPr>
            <w:tcW w:w="108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8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16.50</w:t>
            </w:r>
          </w:p>
        </w:tc>
        <w:tc>
          <w:tcPr>
            <w:tcW w:w="240" w:type="dxa"/>
            <w:vAlign w:val="bottom"/>
            <w:shd w:val="clear" w:color="auto" w:fill="CFF0FC"/>
          </w:tcPr>
          <w:p>
            <w:pPr>
              <w:spacing w:after="0"/>
              <w:rPr>
                <w:sz w:val="19"/>
                <w:szCs w:val="19"/>
                <w:color w:val="auto"/>
              </w:rPr>
            </w:pPr>
          </w:p>
        </w:tc>
      </w:tr>
    </w:tbl>
    <w:p>
      <w:pPr>
        <w:spacing w:after="0" w:line="29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02"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Total non-cash stock-based compensation expense for all stock awards that was recognized in the consolidated statements of operations and comprehensive loss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4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96"/>
        </w:trPr>
        <w:tc>
          <w:tcPr>
            <w:tcW w:w="5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r>
      <w:tr>
        <w:trPr>
          <w:trHeight w:val="196"/>
        </w:trPr>
        <w:tc>
          <w:tcPr>
            <w:tcW w:w="50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r>
      <w:tr>
        <w:trPr>
          <w:trHeight w:val="229"/>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360" w:type="dxa"/>
            <w:vAlign w:val="bottom"/>
            <w:shd w:val="clear" w:color="auto" w:fill="CFF0FC"/>
          </w:tcPr>
          <w:p>
            <w:pPr>
              <w:spacing w:after="0"/>
              <w:rPr>
                <w:sz w:val="19"/>
                <w:szCs w:val="19"/>
                <w:color w:val="auto"/>
              </w:rPr>
            </w:pPr>
          </w:p>
        </w:tc>
      </w:tr>
      <w:tr>
        <w:trPr>
          <w:trHeight w:val="230"/>
        </w:trPr>
        <w:tc>
          <w:tcPr>
            <w:tcW w:w="50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3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3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rPr>
              <w:t>(3)</w:t>
            </w:r>
          </w:p>
        </w:tc>
      </w:tr>
      <w:tr>
        <w:trPr>
          <w:trHeight w:val="248"/>
        </w:trPr>
        <w:tc>
          <w:tcPr>
            <w:tcW w:w="5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3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17,675</w:t>
            </w:r>
          </w:p>
        </w:tc>
        <w:tc>
          <w:tcPr>
            <w:tcW w:w="3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360" w:type="dxa"/>
            <w:vAlign w:val="bottom"/>
            <w:tcBorders>
              <w:bottom w:val="single" w:sz="8" w:color="auto"/>
            </w:tcBorders>
            <w:shd w:val="clear" w:color="auto" w:fill="CFF0FC"/>
          </w:tcPr>
          <w:p>
            <w:pPr>
              <w:spacing w:after="0"/>
              <w:rPr>
                <w:sz w:val="21"/>
                <w:szCs w:val="21"/>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280" w:hanging="232"/>
        <w:spacing w:after="0"/>
        <w:tabs>
          <w:tab w:leader="none" w:pos="2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$2.9 million related to 2 year RSU initially issued to our new CEO in March 2022 and now fully recognized.</w:t>
      </w:r>
    </w:p>
    <w:p>
      <w:pPr>
        <w:spacing w:after="0" w:line="28" w:lineRule="exact"/>
        <w:rPr>
          <w:rFonts w:ascii="Times New Roman" w:cs="Times New Roman" w:eastAsia="Times New Roman" w:hAnsi="Times New Roman"/>
          <w:sz w:val="23"/>
          <w:szCs w:val="23"/>
          <w:color w:val="auto"/>
          <w:vertAlign w:val="superscript"/>
        </w:rPr>
      </w:pPr>
    </w:p>
    <w:p>
      <w:pPr>
        <w:ind w:left="300" w:hanging="252"/>
        <w:spacing w:after="0" w:line="194" w:lineRule="auto"/>
        <w:tabs>
          <w:tab w:leader="none" w:pos="30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$2.6 million related to 2 year RSU initially issued to our new CEO in March 2022 and now fully recognized.</w:t>
      </w:r>
    </w:p>
    <w:p>
      <w:pPr>
        <w:spacing w:after="0" w:line="42" w:lineRule="exact"/>
        <w:rPr>
          <w:rFonts w:ascii="Times New Roman" w:cs="Times New Roman" w:eastAsia="Times New Roman" w:hAnsi="Times New Roman"/>
          <w:sz w:val="23"/>
          <w:szCs w:val="23"/>
          <w:color w:val="auto"/>
          <w:vertAlign w:val="superscript"/>
        </w:rPr>
      </w:pPr>
    </w:p>
    <w:p>
      <w:pPr>
        <w:ind w:left="300" w:hanging="252"/>
        <w:spacing w:after="0" w:line="194" w:lineRule="auto"/>
        <w:tabs>
          <w:tab w:leader="none" w:pos="30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$5.8 million related to 2 year RSU initially issued to our new CEO in March 2022 and now fully recognized.</w:t>
      </w:r>
    </w:p>
    <w:p>
      <w:pPr>
        <w:spacing w:after="0" w:line="9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At June 30, 2024, there was $51.2 million of unrecognized compensation cost related to unvested stock option awards, which is expected to be recognized over a remaining weighted-average vesting period of 3.03 years and $22.1 million of unrecognized cost related to unvested RSU awards, which is expected to be recognized over a period of 3.10 years and $0.2 million of unrecognized compensation cost related to the ESPP, which is expected to be recognized over a remaining weighted-average vesting period of 0.38 years.</w:t>
      </w:r>
    </w:p>
    <w:p>
      <w:pPr>
        <w:spacing w:after="0" w:line="284" w:lineRule="exact"/>
        <w:rPr>
          <w:sz w:val="20"/>
          <w:szCs w:val="20"/>
          <w:color w:val="auto"/>
        </w:rPr>
      </w:pPr>
    </w:p>
    <w:p>
      <w:pPr>
        <w:ind w:left="300" w:right="8500" w:hanging="292"/>
        <w:spacing w:after="0" w:line="378" w:lineRule="auto"/>
        <w:tabs>
          <w:tab w:leader="none" w:pos="19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Operating Leases</w:t>
      </w: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right-of-use asset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June 30, 2024, we have recorded $0.3 million as a security deposit in accordance with the terms of the Lease Agreement.</w:t>
      </w:r>
    </w:p>
    <w:p>
      <w:pPr>
        <w:spacing w:after="0" w:line="8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7.2 years.</w:t>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non-cancellable office lease costs are included in our consolidated statements of cash flow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r>
      <w:tr>
        <w:trPr>
          <w:trHeight w:val="195"/>
        </w:trPr>
        <w:tc>
          <w:tcPr>
            <w:tcW w:w="4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5"/>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Cash Flow</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shd w:val="clear" w:color="auto" w:fill="CCEEFF"/>
          </w:tcPr>
          <w:p>
            <w:pPr>
              <w:spacing w:after="0"/>
              <w:rPr>
                <w:sz w:val="19"/>
                <w:szCs w:val="19"/>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184"/>
        </w:trPr>
        <w:tc>
          <w:tcPr>
            <w:tcW w:w="48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4"/>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3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June 30, 2024, the future minimum annual obligations for the Company’s operating lease liabilities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9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payments required</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candidate development activities and ongoing and planned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develop and commercialize antibodies, including our two checkpoint agonists in clinical-stage development: rosnilimab and ANB032;</w:t>
      </w:r>
    </w:p>
    <w:p>
      <w:pPr>
        <w:spacing w:after="0" w:line="1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w:t>
      </w:r>
    </w:p>
    <w:p>
      <w:pPr>
        <w:spacing w:after="0" w:line="117" w:lineRule="exact"/>
        <w:rPr>
          <w:rFonts w:ascii="Times New Roman" w:cs="Times New Roman" w:eastAsia="Times New Roman" w:hAnsi="Times New Roman"/>
          <w:sz w:val="18"/>
          <w:szCs w:val="18"/>
          <w:color w:val="auto"/>
        </w:rPr>
      </w:pPr>
    </w:p>
    <w:p>
      <w:pPr>
        <w:jc w:val="both"/>
        <w:ind w:left="660" w:right="38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likelihood that the clinical data generated in any study we performed, are performing, or plan to perform in a non-U.S. jurisdiction will be subsequently accepted by the </w:t>
      </w:r>
      <w:r>
        <w:rPr>
          <w:rFonts w:ascii="Times New Roman" w:cs="Times New Roman" w:eastAsia="Times New Roman" w:hAnsi="Times New Roman"/>
          <w:sz w:val="18"/>
          <w:szCs w:val="18"/>
          <w:color w:val="231F20"/>
        </w:rPr>
        <w:t>U.S. Food and Drug Administration (“FDA”)</w:t>
      </w:r>
      <w:r>
        <w:rPr>
          <w:rFonts w:ascii="Times New Roman" w:cs="Times New Roman" w:eastAsia="Times New Roman" w:hAnsi="Times New Roman"/>
          <w:sz w:val="18"/>
          <w:szCs w:val="18"/>
          <w:color w:val="auto"/>
        </w:rPr>
        <w:t xml:space="preserve"> and/or by foreign regulatory authorities outside of the jurisdiction where the study was being performed;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advantages of our product candidates and approaches versus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ability to obtain and maintain regulatory approvals for our product candidates, partnered product candidates and/or product candidates for which we may receive royalties;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approved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any approved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and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economic or public health events on our business and the United States (“U.S.”) and global economies;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factors, including volatility in equity markets, and fluctuations in interest rates and foreign exchange rates;</w:t>
      </w:r>
    </w:p>
    <w:p>
      <w:pPr>
        <w:spacing w:after="0" w:line="11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on favorable terms or at all, including funding necessary to complete further development and commercialization of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 licensing partner for imsidolimab and etokimab;</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our collaborators to develop and commercialize our partnered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our public offerings and other financing transactions;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not occur, and actual results could differ materially and adversely from those anticipated or implied in the forward-looking statements.</w:t>
      </w:r>
    </w:p>
    <w:p>
      <w:pPr>
        <w:spacing w:after="0" w:line="117"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72"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with the understanding that our actual future results, levels of activity, performance, and events and circumstances may be materially different from what we expect.</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as used in this Quarterly Report, the terms “AnaptysBio,” “Anaptys,”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consolidated financial statements and related notes for the six months ended June 30, 2024, included in Part I, Item 1 of this report and with our audited consolidated financial statements and related notes thereto for the year ended December 31, 2023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innovative immunology therapeutics. We are developing immune cell modulating antibodies, including two wholly owned checkpoint agonists in clinical-stage development, for autoimmune and inflammatory diseases: rosnilimab, our PD-1 agonist in a Phase 2b trial for the treatment of moderate-to-severe rheumatoid arthritis (“RA”) and a Phase 2 trial for the treatment of moderate-to-severe ulcerative colitis (“UC”); and ANB032, our BTLA agonist, in a Phase 2b trial for the treatment of moderate-to-severe atopic dermatitis (“AD”). We also have other immune cell modulator candidates in our portfolio, including ANB033, an anti-CD122 antagonist antibody, entering a Phase 1 trial and ANB101, a BDCA2 modulator antibody, in preclinical development. In addition, we have developed two cytokine antagonists that we are exploring options for out-licensing: imsidolimab, our anti-IL-36R antibody, that has completed Phase 3 trials for the treatment of generalized pustular psoriasis (“GPP”), and etokimab, our anti-IL-33 antagonist that is Phase 2/3 ready. We have also discovered multiple therapeutic antibodies licensed to GlaxoSmithKline, Inc. (“GSK”) in a financial collaboration for immuno-oncology, including an anti-PD-1 antagonist antibody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(dostarlimab-gxly) 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and an anti-TIM-3 antagonist antibody (cobolimab, GSK4069889). We currently recognize revenue from milestones and royalties achieved under our immuno-oncology collaboration with GSK.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Wholly Owned Product Candidate Pipeline</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Our immune cell modulating antibodies, including checkpoint agonists for PD-1 and BTLA, treat inflammatory disorders by down regulating immune responses mediated by multiple immune cell types including T cells, B cells, and dendritic cells. T cells require both antigen presentation to the T cell receptor and co-stimulation to be activated. When these interactions are inhibited, T cells can’t be effectively primed to expand and differentiate into inflammatory T cells. Inhibition of at least one of these signals is the basis of checkpoint agonism.</w:t>
      </w:r>
    </w:p>
    <w:p>
      <w:pPr>
        <w:spacing w:after="0" w:line="72"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We believe these molecules have potential applicability across a broad range of autoimmune and inflammatory diseases including dermatology, rheumatology, gastroenterology, respiratory, and neurology therapeutic areas.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Rosnilimab</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PD-1, or programmed cell death protein 1, is an inhibitory checkpoint receptor that regulates T cell proliferation, and cytokine secretion. It is expressed preferentially on activated T cells, reducing the potential for off-target activity by rosnilimab. Genetic mutations in the PD-1 pathway are known to be associated with increased susceptibility to human inflammatory diseases which leads us to believe that rosnilimab is applicable to diseases where PD-1 checkpoint receptor function may be insufficient to maintain immune homeostasis.</w:t>
      </w:r>
    </w:p>
    <w:p>
      <w:pPr>
        <w:spacing w:after="0" w:line="72"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Rosnilimab is an IgG1 antibody that directly targets PD-1+ T cells, resulting in their agonism or depletion, broadly impacting pathogenic drivers of autoimmune and inflammatory diseases. An IgG1 PD-1 agonist acts through three distinct mechanisms; depletion of PD-1</w:t>
      </w:r>
      <w:r>
        <w:rPr>
          <w:rFonts w:ascii="Times New Roman" w:cs="Times New Roman" w:eastAsia="Times New Roman" w:hAnsi="Times New Roman"/>
          <w:sz w:val="23"/>
          <w:szCs w:val="23"/>
          <w:color w:val="auto"/>
          <w:vertAlign w:val="superscript"/>
        </w:rPr>
        <w:t>high</w:t>
      </w:r>
      <w:r>
        <w:rPr>
          <w:rFonts w:ascii="Times New Roman" w:cs="Times New Roman" w:eastAsia="Times New Roman" w:hAnsi="Times New Roman"/>
          <w:sz w:val="18"/>
          <w:szCs w:val="18"/>
          <w:color w:val="auto"/>
        </w:rPr>
        <w:t xml:space="preserve"> effector T cells, depletion of PD-1</w:t>
      </w:r>
      <w:r>
        <w:rPr>
          <w:rFonts w:ascii="Times New Roman" w:cs="Times New Roman" w:eastAsia="Times New Roman" w:hAnsi="Times New Roman"/>
          <w:sz w:val="23"/>
          <w:szCs w:val="23"/>
          <w:color w:val="auto"/>
          <w:vertAlign w:val="superscript"/>
        </w:rPr>
        <w:t>high</w:t>
      </w:r>
      <w:r>
        <w:rPr>
          <w:rFonts w:ascii="Times New Roman" w:cs="Times New Roman" w:eastAsia="Times New Roman" w:hAnsi="Times New Roman"/>
          <w:sz w:val="18"/>
          <w:szCs w:val="18"/>
          <w:color w:val="auto"/>
        </w:rPr>
        <w:t xml:space="preserve"> Tfh and Tph cells, and agonism of PD-1</w:t>
      </w:r>
      <w:r>
        <w:rPr>
          <w:rFonts w:ascii="Times New Roman" w:cs="Times New Roman" w:eastAsia="Times New Roman" w:hAnsi="Times New Roman"/>
          <w:sz w:val="23"/>
          <w:szCs w:val="23"/>
          <w:color w:val="auto"/>
          <w:vertAlign w:val="superscript"/>
        </w:rPr>
        <w:t>int</w:t>
      </w:r>
      <w:r>
        <w:rPr>
          <w:rFonts w:ascii="Times New Roman" w:cs="Times New Roman" w:eastAsia="Times New Roman" w:hAnsi="Times New Roman"/>
          <w:sz w:val="18"/>
          <w:szCs w:val="18"/>
          <w:color w:val="auto"/>
        </w:rPr>
        <w:t xml:space="preserve"> T cells. This drives specific immunological outcomes in both inflamed tissue and the periphery, such as reduction in T cell proliferation, migration, and cytokine secretion, and reduction of plasma cell generation and autoantibody levels. Rosnilimab is designed to enable formation of a tight immune synapse by binding to the PD-1 checkpoint receptor on a membrane-proximal epitope, and simultaneously anchoring to an Fc receptor, on an opposing cell, supporting crosslinking and excluding activating phosphatases such as CD45. Rosnilimab also facilitates depletion by bringing effector cells into closer proximity to pathogenically activated PD-1</w:t>
      </w:r>
      <w:r>
        <w:rPr>
          <w:rFonts w:ascii="Times New Roman" w:cs="Times New Roman" w:eastAsia="Times New Roman" w:hAnsi="Times New Roman"/>
          <w:sz w:val="23"/>
          <w:szCs w:val="23"/>
          <w:color w:val="auto"/>
          <w:vertAlign w:val="superscript"/>
        </w:rPr>
        <w:t>high</w:t>
      </w:r>
      <w:r>
        <w:rPr>
          <w:rFonts w:ascii="Times New Roman" w:cs="Times New Roman" w:eastAsia="Times New Roman" w:hAnsi="Times New Roman"/>
          <w:sz w:val="18"/>
          <w:szCs w:val="18"/>
          <w:color w:val="auto"/>
        </w:rPr>
        <w:t xml:space="preserve"> T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in </w:t>
      </w:r>
      <w:r>
        <w:rPr>
          <w:rFonts w:ascii="Times New Roman" w:cs="Times New Roman" w:eastAsia="Times New Roman" w:hAnsi="Times New Roman"/>
          <w:sz w:val="18"/>
          <w:szCs w:val="18"/>
          <w:i w:val="1"/>
          <w:iCs w:val="1"/>
          <w:color w:val="auto"/>
        </w:rPr>
        <w:t>vitro</w:t>
      </w:r>
      <w:r>
        <w:rPr>
          <w:rFonts w:ascii="Times New Roman" w:cs="Times New Roman" w:eastAsia="Times New Roman" w:hAnsi="Times New Roman"/>
          <w:sz w:val="18"/>
          <w:szCs w:val="18"/>
          <w:color w:val="auto"/>
        </w:rPr>
        <w:t xml:space="preserve"> studies, when PD-1+ T cells were cocultured in the presence of NK cells, rosnilimab demonstrated potent depletion of PD-1+ T cells. In separate in </w:t>
      </w:r>
      <w:r>
        <w:rPr>
          <w:rFonts w:ascii="Times New Roman" w:cs="Times New Roman" w:eastAsia="Times New Roman" w:hAnsi="Times New Roman"/>
          <w:sz w:val="18"/>
          <w:szCs w:val="18"/>
          <w:i w:val="1"/>
          <w:iCs w:val="1"/>
          <w:color w:val="auto"/>
        </w:rPr>
        <w:t>vitro</w:t>
      </w:r>
      <w:r>
        <w:rPr>
          <w:rFonts w:ascii="Times New Roman" w:cs="Times New Roman" w:eastAsia="Times New Roman" w:hAnsi="Times New Roman"/>
          <w:sz w:val="18"/>
          <w:szCs w:val="18"/>
          <w:color w:val="auto"/>
        </w:rPr>
        <w:t xml:space="preserve"> studies, in which T cells were stimulated in the presence of only dendritic cells (in the absence of any cells capable of mediating depletion), rosnilimab demonstrated potent agonism properties such as a reduction in PD-1+T cell proliferation and reduction in secretion of inflammatory cytokines.</w:t>
      </w:r>
    </w:p>
    <w:p>
      <w:pPr>
        <w:spacing w:after="0" w:line="7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announced positive top-line data from a healthy volunteer Phase 1 trial of rosnilimab in November 2021. A total of 144 subjects were enrolled in the randomized, double-blind, placebo-controlled healthy volunteer Phase 1 trial, where single ascending dose (“SAD”) cohorts received subcutaneous or intravenous (“IV”) single doses of rosnilimab up to 600mg or placebo, while multiple ascending dose (“MAD”) cohorts received four weekly subcutaneous doses of rosnilimab ranging up to 400mg or placebo. Rosnilimab was generally well-tolerated and no dose limiting toxicities were observed. Two serious adverse events (“SAEs”) were reported in single dose cohorts, including obstructive pancreatitis in a placebo-dosed subject and COVID-19 infection in a rosnilimab-dosed subject leading to discontinuation. The COVID-19 infection was deemed unrelated to treatment. No SAEs were reported in subjects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multiple doses of rosnilimab or placebo</w:t>
      </w:r>
      <w:r>
        <w:rPr>
          <w:rFonts w:ascii="Times New Roman" w:cs="Times New Roman" w:eastAsia="Times New Roman" w:hAnsi="Times New Roman"/>
          <w:sz w:val="21"/>
          <w:szCs w:val="21"/>
          <w:color w:val="008080"/>
        </w:rPr>
        <w:t>.</w:t>
      </w:r>
    </w:p>
    <w:p>
      <w:pPr>
        <w:spacing w:after="0" w:line="105" w:lineRule="exact"/>
        <w:rPr>
          <w:sz w:val="20"/>
          <w:szCs w:val="20"/>
          <w:color w:val="auto"/>
        </w:rPr>
      </w:pPr>
    </w:p>
    <w:p>
      <w:pPr>
        <w:ind w:right="160" w:firstLine="486"/>
        <w:spacing w:after="0" w:line="239" w:lineRule="auto"/>
        <w:rPr>
          <w:sz w:val="20"/>
          <w:szCs w:val="20"/>
          <w:color w:val="auto"/>
        </w:rPr>
      </w:pPr>
      <w:r>
        <w:rPr>
          <w:rFonts w:ascii="Times New Roman" w:cs="Times New Roman" w:eastAsia="Times New Roman" w:hAnsi="Times New Roman"/>
          <w:sz w:val="18"/>
          <w:szCs w:val="18"/>
          <w:color w:val="auto"/>
        </w:rPr>
        <w:t>Rosnilimab demonstrated a favorable pharmacokinetic (“PK”) profile with an estimated two-week half-life for subcutaneous and IV routes of administration. Full PD-1 receptor occupancy was observed rapidly and was maintained for at least 30 days. Potent and sustained reduction was observed in peripheral PD-1+ T cells for &gt;30 days, including &gt;90% reduction of PD-1</w:t>
      </w:r>
      <w:r>
        <w:rPr>
          <w:rFonts w:ascii="Times New Roman" w:cs="Times New Roman" w:eastAsia="Times New Roman" w:hAnsi="Times New Roman"/>
          <w:sz w:val="23"/>
          <w:szCs w:val="23"/>
          <w:color w:val="auto"/>
          <w:vertAlign w:val="superscript"/>
        </w:rPr>
        <w:t>high</w:t>
      </w:r>
      <w:r>
        <w:rPr>
          <w:rFonts w:ascii="Times New Roman" w:cs="Times New Roman" w:eastAsia="Times New Roman" w:hAnsi="Times New Roman"/>
          <w:sz w:val="18"/>
          <w:szCs w:val="18"/>
          <w:color w:val="auto"/>
        </w:rPr>
        <w:t xml:space="preserve"> T cells and a &gt;50% reduction of PD-1+ T cells bringing the overall T cell composition to a less activated state, without meaningfully reducing overall T cell numbers.</w:t>
      </w:r>
    </w:p>
    <w:p>
      <w:pPr>
        <w:spacing w:after="0" w:line="90"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are conducting a randomized placebo-controlled global Phase 2b trial assessing three dose levels of subcutaneously administrated rosnilimab in moderate-to-severe RA for up to 28 weeks on well-established endpoints including ACR20/50/70 and DAS28-CRP. We anticipate reporting top-line data on the primary endpoint in the RA trial in the first quarter of 2025. We are also conducting a randomized placebo-controlled 130-patient, global Phase 2 trial assessing two dose levels of subcutaneously administered rosnilimab in moderate-to-severe UC for up to 24 weeks on well-established endpoints including clinical remission on the modified Mayo score (“mMS”), clinical response on the mMS and endoscopic remission. We anticipate reporting top-line data on the primary endpoint in the UC trial in the first quarter of 2026.</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ANB032</w:t>
      </w:r>
    </w:p>
    <w:p>
      <w:pPr>
        <w:spacing w:after="0" w:line="121"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BTLA, or B and T lymphocyte attenuator, is an inhibitory checkpoint receptor that regulates T cells, B cells, and dendritic cell function. BTLA is expressed only on immune cells and preferentially on activated immune cells, potentially enabling a broad mechanism of action while avoiding off-target activity.</w:t>
      </w:r>
    </w:p>
    <w:p>
      <w:pPr>
        <w:spacing w:after="0" w:line="6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ANB032 is an IgG4 non-depleting antibody that binds to BTLA, and is anticipated to down-modulate the activity of T cells, B cells and dendritic cells both in inflamed tissue and the periphery via: agonism resulting in inhibition of T cell expansion and migration, broad reduction of inflammatory Th1, Th2, Th17 and Th22 cytokines, and modulation of dendritic cells including inhibition of dendritic cell maturation, reduction in costimulatory molecule expression, and enhanced inducement of Tregs.</w:t>
      </w:r>
    </w:p>
    <w:p>
      <w:pPr>
        <w:spacing w:after="0" w:line="70" w:lineRule="exact"/>
        <w:rPr>
          <w:sz w:val="20"/>
          <w:szCs w:val="20"/>
          <w:color w:val="auto"/>
        </w:rPr>
      </w:pPr>
    </w:p>
    <w:p>
      <w:pPr>
        <w:ind w:right="140" w:firstLine="486"/>
        <w:spacing w:after="0" w:line="284"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ANB032 demonstrated potent agonism and, in a murine model of GvHD, demonstrated superior disease-modification compared to control antibodies.</w:t>
      </w:r>
    </w:p>
    <w:p>
      <w:pPr>
        <w:spacing w:after="0" w:line="5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announced positive top-line data from a healthy volunteer Phase 1 trial of ANB032, under a CTN, in April 2022. A total of 96 subjects were enrolled in the randomized, double-blind, placebo-controlled healthy volunteer Phase 1 trial, where SAD cohorts received subcutaneous or IV single doses of ANB032 or placebo, while MAD cohorts received four weekly subcutaneous doses of ANB032 or placebo. ANB032 was generally well-tolerated and no dose limiting toxicities were observed. No SAEs were reported. ANB032 demonstrated a favorable PK profile with an estimated two-week half-life for subcutaneous and IV routes of administration. Full BTLA receptor occupancy was observed rapidly and was maintained for at least 30 days.</w:t>
      </w:r>
    </w:p>
    <w:p>
      <w:pPr>
        <w:spacing w:after="0" w:line="7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While Th2 targeted therapies provide benefit to patients with chronic moderate-to-severe atopic dermatitis (“AD”), there is compelling evidence that AD is broader than a Th2 driven disease, as Th1, Th17, Th22 and other cell types, including dendritic cells, contribute significantly to the pathogenesis. ANB032 inhibition of inflammatory Th1, Th2, Th17 and Th22 activity, and modulation of additional cell types such as B cells and dendritic cells, creates the potential for broader, deeper and more durable responses than more narrowly targeted interventions.</w:t>
      </w:r>
    </w:p>
    <w:p>
      <w:pPr>
        <w:spacing w:after="0" w:line="7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have completed enrollment of a randomized, placebo-controlled global Phase 2b trial assessing three dose levels of subcutaneously administered ANB032 in moderate-to-severe AD for 12 weeks on well-established endpoints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EASI75, EASI90 and IGA 0/1 measured at week 14. Patients will be followed for an additional 24 weeks after the final dose at week 12 to understand longer term safety as well as the potential for prolonged and sustained efficacy. We anticipate reporting top-line data on the primary endpoint from this trial in December 2024.</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ANB033</w:t>
      </w:r>
    </w:p>
    <w:p>
      <w:pPr>
        <w:spacing w:after="0" w:line="121"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ANB033 targets CD122, the common beta subunit shared by the IL-15 and IL-2 receptors. IL-15 and IL-2 signaling mediate the proliferation and survival of NK cells and certain CD8 T cell subsets. ANB033 is an antibody designed with an affinity to CD122 that inhibits IL-15 and IL-2 signaling through the low affinity IL-2 receptor (comprised of CD122 and the common gamma subunit, CD132) while sparing IL-2 signaling through the high affinity IL-2 receptor (comprised of CD122, CD132 and the alpha receptor subunit for IL-2, CD25) expressed by regulatory T cells. This leads to the potential to achieve and maintain remission of inflammation through the reduction of disease-causing NK cells and certain CD8 T cell subsets, while sparing regulatory T cells. By preventing the consumption of IL-2 by pathogenic cells that express the low affinity IL-2 receptor, circulating levels of IL-2 may increase, potentially enhancing regulatory T cell numbers that express the high affinity IL-2 receptor in the setting of inflammation. We anticipate starting the Phase 1 trial in the fourth quarter of 2024.</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ANB101</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Blood dendritic cell antigen 2 (“BDCA2”) is a molecule specifically expressed on plasmacytoid dendritic cells (“pDCs”), a class of immune cells which, while found in relatively small numbers in healthy patients,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 ANB101 is a BDCA2 modulator antibody that targets pDCs and potently inhibits interferon secretion and modulates antigen presentation for the treatment of autoimmune and inflammatory diseases. We anticipate submitting an IND for a Phase 1 clinical trial with ANB101 in the fourth quarter of 2024.</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Imsidolimab</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Imsidolimab is an IgG4 antibody that inhibits the function of the interleukin-36-receptor, or IL-36R, that is being developed for the treatment of GPP. We completed a Phase 1 clinical trial in healthy volunteers, which was presented at the European Academy of Allergy and Clinical Immunology in 2018, where imsidolimab was well-tolerated, no dose-limiting toxicities were observed, and no SAEs were reported. In July 2020, the FDA granted Orphan Drug Designation for imsidolimab for the treatment of patients with GPP.</w:t>
      </w:r>
    </w:p>
    <w:p>
      <w:pPr>
        <w:spacing w:after="0" w:line="72" w:lineRule="exact"/>
        <w:rPr>
          <w:sz w:val="20"/>
          <w:szCs w:val="20"/>
          <w:color w:val="auto"/>
        </w:rPr>
      </w:pPr>
    </w:p>
    <w:p>
      <w:pPr>
        <w:jc w:val="both"/>
        <w:ind w:right="140" w:firstLine="486"/>
        <w:spacing w:after="0" w:line="281" w:lineRule="auto"/>
        <w:rPr>
          <w:sz w:val="20"/>
          <w:szCs w:val="20"/>
          <w:color w:val="auto"/>
        </w:rPr>
      </w:pPr>
      <w:r>
        <w:rPr>
          <w:rFonts w:ascii="Times New Roman" w:cs="Times New Roman" w:eastAsia="Times New Roman" w:hAnsi="Times New Roman"/>
          <w:sz w:val="17"/>
          <w:szCs w:val="17"/>
          <w:color w:val="auto"/>
        </w:rPr>
        <w:t>We completed two Phase 3 clinical trials for imsidolimab in GPP. The first randomized placebo-controlled trial, called GEMINI-1, in 45 patients, assessed two, single dose levels of intravenous (IV)-administered imsidolimab. As of October 2023, of the patients who received a single dose of 750mg IV imsidolimab, 53% achieved GPP Physician Global Assessment (“GPPPGA”) 0/1 (clear or almost clear) at Week 4, our primary endpoint, compared to 13% of patients on placebo (p=0.0131). Of the 15 patients who received a single dose of 300mg IV imsidolimab, 53% achieved GPPPGA 0/1 at Week 4.</w:t>
      </w:r>
    </w:p>
    <w:p>
      <w:pPr>
        <w:spacing w:after="0" w:line="56"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GPPPGA assessment, representing a stringent and comprehensive characterization of disease severity, required satisfying an overall clinical response score of 0/1 collectively across each GPP disease attribute, including pustulation, erythema and scaling.</w:t>
      </w:r>
    </w:p>
    <w:p>
      <w:pPr>
        <w:spacing w:after="0" w:line="54"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Patients completing the GEMINI-1 trial were eligible to be subsequently enrolled in GEMINI-2, our second Phase 3 trial for imsidolimab in GPP, where they received monthly doses of 200mg subcutaneous (“SC”) imsidolimab or placebo. The objective of GEMINI-2 was to assess the safety and efficacy of imsidolimab for maintenance of response, and the prevention of GPP flares with monthly SC dosing.</w:t>
      </w:r>
    </w:p>
    <w:p>
      <w:pPr>
        <w:spacing w:after="0" w:line="68"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Sixteen GPPPGA 0/1 responder patients from GEMINI-1 were subsequently re-randomized to monthly maintenance dosing of either 200mg SC imsidolimab or placebo in the GEMINI-2 Phase 3 trial. Patients were followed for at least 24 weeks and up to a maximum of 92 weeks. Of the eight responding patients from GEMINI-1 who were re-randomized to monthly 200mg SC imsidolimab maintenance therapy, 100% maintained a GPPPGA score of 0/1 and none of them experienced a flare. Of the remaining eight responding patients from GEMINI-1 who were re-randomized to placebo, 25% maintained a GPPPGA score of 0/1 and 63% experienced a flare.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9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Data from both trials demonstrate a consistent, favorable safety and tolerability profile with no treatment-related serious adverse events (“SAEs”) or SAEs leading to discontinuation reported in imsidolimab-treated patients. Additionally, the data demonstrated low incidence and no elevation of infections versus placebo; no cases reported of Drug Reaction with Eosinophilia and Systemic Symptoms (“DRESS”) or Guillain-Barre syndrome (“GBS”); no infusion reactions and overall incidence of anti-drug antibodies (“ADA”) was low and, when detected, determined to be non-neutralizing.</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intend to out-license imsidolimab in 2024.</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Etokimab</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Etokimab inhibits IL-33 function and acts upstream of key cell types involved in atopy and the subsequent release of Th2 cytokines. IL-33 is a pro-inflammatory cytokine that signals through the ST2 receptor, which multiple studies suggest serves as a central mediator of various immune responses leading to Th2-type inflammatory disorders, including asthma, COPD, atopic and other epithelial-driven diseases.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Th2 effector cells and Innate Lymphoid Cell Type 2 (ILC2), two types of white blood cells that initiate and orchestrate atopic responses. We have no ongoing clinical trials of etokimab and etokimab is available to out-license.</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certain key information about our wholly owned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85725</wp:posOffset>
            </wp:positionV>
            <wp:extent cx="5554980" cy="3215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54980" cy="321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Programs</w:t>
      </w:r>
    </w:p>
    <w:p>
      <w:pPr>
        <w:spacing w:after="0" w:line="121"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Multiple Company-discovered antibody programs have been advanced to preclinical and clinical milestones under our collaborations. Our collaborations include an immuno-oncology-focused collaboration with GSK.</w:t>
      </w:r>
    </w:p>
    <w:p>
      <w:pPr>
        <w:spacing w:after="0" w:line="5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Under the GSK Agreement, a BLA for our most advanced partnered program, which is an anti-PD-1 antagonist antibody called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28" w:name="page29"/>
    <w:bookmarkEnd w:id="28"/>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authorization in the European Union (“EU”)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for use in women with mismatch repair deficient (“dMMR”)/microsatellite instability-high (“MSI-H”) recurrent or advanced endometrial cancer who have progressed on or following prior treatment with a platinum containing regimen. A second FDA approval was received in August 2021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in pan-deficient mismatch repair tumors (PdMMRT). In July 2023, the FDA approved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in combination with chemotherapy for the treatment of adult patients with dMMR MSI-H primary advanced or recurrent endometrial cancer. In December 2023, the EMA approved, in the EU,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plus chemotherapy for dMMR/MSI-H primary advanced or recurrent endometrial cancer.</w:t>
      </w:r>
    </w:p>
    <w:p>
      <w:pPr>
        <w:spacing w:after="0" w:line="75" w:lineRule="exact"/>
        <w:rPr>
          <w:sz w:val="20"/>
          <w:szCs w:val="20"/>
          <w:color w:val="auto"/>
        </w:rPr>
      </w:pPr>
    </w:p>
    <w:p>
      <w:pPr>
        <w:ind w:right="1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Jemperli </w:t>
      </w:r>
      <w:r>
        <w:rPr>
          <w:rFonts w:ascii="Times New Roman" w:cs="Times New Roman" w:eastAsia="Times New Roman" w:hAnsi="Times New Roman"/>
          <w:sz w:val="18"/>
          <w:szCs w:val="18"/>
          <w:color w:val="auto"/>
        </w:rPr>
        <w:t>is in clinical trials for various solid tumor indications, including a Phase 3 trial in first-line ovarian cancer with top-line results expected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second half of 2024.</w:t>
      </w:r>
    </w:p>
    <w:p>
      <w:pPr>
        <w:spacing w:after="0" w:line="5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addition, under the collaboration, GSK is developing dostarlimab in combination with another development program from the GSK Agreement, including cobolimab, an anti-TIM-3 antibody.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 with top-line results expected in 2025.</w:t>
      </w:r>
    </w:p>
    <w:p>
      <w:pPr>
        <w:spacing w:after="0" w:line="7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For more information about these collaborations, see Note 4 — Collaborative Research and Development Agreements in the accompanying notes to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Our revenue has been derived from amortization of upfront license payments, research and development funding, milestone and royalty payments under collaboration and license agreements with our collaborators. From inception through June 30, 2024, we have recognized $273.4 million in revenue from our collaborators. We have not generated any revenue from product sales.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54" w:lineRule="exact"/>
        <w:rPr>
          <w:sz w:val="20"/>
          <w:szCs w:val="20"/>
          <w:color w:val="auto"/>
        </w:rPr>
      </w:pPr>
    </w:p>
    <w:p>
      <w:pPr>
        <w:ind w:left="900" w:right="20" w:hanging="406"/>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stock-based compensation;</w:t>
      </w:r>
    </w:p>
    <w:p>
      <w:pPr>
        <w:spacing w:after="0" w:line="117" w:lineRule="exact"/>
        <w:rPr>
          <w:rFonts w:ascii="Times New Roman" w:cs="Times New Roman" w:eastAsia="Times New Roman" w:hAnsi="Times New Roman"/>
          <w:sz w:val="18"/>
          <w:szCs w:val="18"/>
          <w:color w:val="auto"/>
        </w:rPr>
      </w:pPr>
    </w:p>
    <w:p>
      <w:pPr>
        <w:ind w:left="900" w:right="600" w:hanging="406"/>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and sub-license fees.</w:t>
      </w:r>
    </w:p>
    <w:p>
      <w:pPr>
        <w:spacing w:after="0" w:line="117"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We may also incur in-process research and development expenses as we acquire assets from other parties. Acquired in-process research and development costs that have no alternative future use are immediately expensed.</w:t>
      </w:r>
    </w:p>
    <w:p>
      <w:pPr>
        <w:spacing w:after="0" w:line="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54"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and pharmacology studies, manufacturing, and clinical trials.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expect our research and development expenses to be higher for the foreseeable future as we continue to advance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121" w:lineRule="exact"/>
        <w:rPr>
          <w:sz w:val="20"/>
          <w:szCs w:val="20"/>
          <w:color w:val="auto"/>
        </w:rPr>
      </w:pPr>
    </w:p>
    <w:p>
      <w:pPr>
        <w:ind w:right="60" w:firstLine="567"/>
        <w:spacing w:after="0" w:line="261" w:lineRule="auto"/>
        <w:rPr>
          <w:sz w:val="20"/>
          <w:szCs w:val="20"/>
          <w:color w:val="auto"/>
        </w:rPr>
      </w:pPr>
      <w:r>
        <w:rPr>
          <w:rFonts w:ascii="Times New Roman" w:cs="Times New Roman" w:eastAsia="Times New Roman" w:hAnsi="Times New Roman"/>
          <w:sz w:val="18"/>
          <w:szCs w:val="18"/>
          <w:color w:val="auto"/>
        </w:rPr>
        <w:t>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Royalty Monetization Agreements. Our estimate of the interest rate under the arrangements is based on forecasted royalty and milestone payments expected to be made over the life of the agreements.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short-term and long-term investments and is recognized when earned.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Securities and Exchange Commission (the “SEC”) on March 11,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the Three and Six Months Ended June 30, 2024 and 2023</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Collaboration revenue consists of both milestone payments under the collaborations, and royalty payments. We recognized $0 in milestone revenue during each of the three and six months ended June 30, 2024 and 2023. We expect that any collaboration revenue we generate will continue to fluctuate from period to period as a result of the timing and amount of milestones from our existing collaborations.</w:t>
      </w:r>
    </w:p>
    <w:p>
      <w:pPr>
        <w:spacing w:after="0" w:line="6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Royalty revenue is a function of our partners’ product sales and the applicable royalty rate. During the three months ended June 30, 2024 and 2023, we recognized $11.0 million and $3.5 million, respectively, related to the net sales of GSK’s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Zejula, which we estimate based on either GSK’s prior sales experience or actuals. During the six months ended June 30, 2024 and 2023, we recognized $18.2 million and $4.8 million, respectively, of royalty revenue related to the net sales of GSK’s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Zejula. All royalty revenue related to Zejula global net sales starting July 2022 is paid directly to a wholly owned subsidiary of DRI Healthcare Trust pursuant to the Zejula Royalty Monetization Agreement. For more information see Note 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Sale of Future Royalties in the accompanying notes to the consolidated financial statements.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$42.0 million during the three months ended June 30, 2024 compared to $32.9 million during the three months ended June 30, 2023 for an increase of $9.1 million, primarily due to a $12.1 million increase in clinical expenses, $3.2 million increase in salaries and related expenses, including stock-based compensation expense, and $0.4 million increase in other research and development expenses, offset by a decrease of $6.6 million in outside services for manufacturing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9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$79.0 million during the six months ended June 30, 2024 compared to $67.9 million during the six months ended June 30, 2023 for an increase of $11.1 million, primarily due to a $17.7 million increase in clinical expenses, $6.3 million increase in salaries and related expenses, including stock-based compensation expense, and $0.9 million increase in other research and development expenses, offset by a decrease of $13.8 million in outside services for manufacturing expenses.</w:t>
      </w:r>
    </w:p>
    <w:p>
      <w:pPr>
        <w:spacing w:after="0" w:line="7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6"/>
        </w:trPr>
        <w:tc>
          <w:tcPr>
            <w:tcW w:w="3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280" w:type="dxa"/>
            <w:vAlign w:val="bottom"/>
          </w:tcPr>
          <w:p>
            <w:pPr>
              <w:spacing w:after="0"/>
              <w:rPr>
                <w:sz w:val="17"/>
                <w:szCs w:val="17"/>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Increase/(Decrease)</w:t>
            </w:r>
          </w:p>
        </w:tc>
      </w:tr>
      <w:tr>
        <w:trPr>
          <w:trHeight w:val="216"/>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Costs</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Rosnilimab</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w:t>
            </w: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ANB032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ANB033</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ANB101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Imsidolimab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(17,935)</w:t>
            </w: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Preclinical and other unallocated costs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External Costs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Costs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32,923</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67,880</w:t>
            </w:r>
          </w:p>
        </w:tc>
        <w:tc>
          <w:tcPr>
            <w:tcW w:w="12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11,159</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$9.3 million during the three months ended June 30, 2024 compared to $10.7 million during the three months ended June 30, 2023 for a decrease of $1.4 million, primarily due to a $1.5 million decrease in personnel costs, including stock-based compensation expense, offset by an increase of $0.1 million increase in legal and other general and administrative expenses.</w:t>
      </w:r>
    </w:p>
    <w:p>
      <w:pPr>
        <w:spacing w:after="0" w:line="6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$21.6 million during the six months ended June 30, 2024 compared to $21.5 million during the six months ended June 30, 2023 for an increase of $0.1 million, primarily due to a $0.4 million increase in legal and other general and administrative expenses, and a $0.1 million increase in personnel costs, including stock-based compensation expense, offset by a decrease of $0.4 million in market research cost and insurance expense.</w:t>
      </w:r>
    </w:p>
    <w:p>
      <w:pPr>
        <w:spacing w:after="0" w:line="72" w:lineRule="exact"/>
        <w:rPr>
          <w:sz w:val="20"/>
          <w:szCs w:val="20"/>
          <w:color w:val="auto"/>
        </w:rPr>
      </w:pPr>
    </w:p>
    <w:p>
      <w:pPr>
        <w:ind w:right="220" w:firstLine="567"/>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as we incur costs associated with being a publicly traded company, including stock compensation expense,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Non-cash interest expense was $11.0 million and $4.4 million during the three months ended June 30, 2024 and 2023, respectively. The increase of $6.6 million in non-cash interest expense is primarily due to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Amendment which increased the threshold amounts of aggregate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royalties and milestones to be received by Sagard.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 xml:space="preserve">Non-cash interest expense was $17.3 million and $8.7 million during the six months ended June 30, 2024 and 2023, respectively. The increase of $8.6 million in non-cash interest expense is primarily due to the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Amendment which increased the threshold amounts of aggregate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royalties and milestones to be received by Sagard.</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Interest income was $4.6 million and $4.7 million during the three months ended June 30, 2024 and 2023, respectively, which primarily related to our short-term and long-term investments. The slight decrease in interest income is primarily due to the timing of sales, maturities and purchases of our investments.</w:t>
      </w:r>
    </w:p>
    <w:p>
      <w:pPr>
        <w:spacing w:after="0" w:line="68"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Interest income was $9.2 million and $9.1 million during the six months ended June 30, 2024 and 2023, respectively, which primarily related to our short-term and long-term investments. The slight increase in interest income is primarily due to the timing of sales, maturities and purchases of our investments.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Other income, net was less than $0.1 million for both the three months ended June 30, 2024 and 2023, which primarily related to foreign exchange transactions with our foreign CROs and CMOs.</w:t>
      </w:r>
    </w:p>
    <w:p>
      <w:pPr>
        <w:spacing w:after="0" w:line="54"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Other expense, net was less than $0.1 million for both the six months ended June 30, 2024 and 2023, which primarily related to foreign exchange transactions with our foreign CROs and CMOs.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From our inception through June 30, 2024, we have received an aggregate of $1.2 billion to fund our operations, which included $639.1 million from the sale of equity securities, $335.0 million from the sale of future royalties, and $234.2 million from our collaboration agreements. As of June 30, 2024, we had $393.5 million in cash, cash equivalents and investments.</w:t>
      </w:r>
    </w:p>
    <w:p>
      <w:pPr>
        <w:spacing w:after="0" w:line="6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and the GSK Settlement Agreement.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spacing w:after="0" w:line="75" w:lineRule="exact"/>
        <w:rPr>
          <w:sz w:val="20"/>
          <w:szCs w:val="20"/>
          <w:color w:val="auto"/>
        </w:rPr>
      </w:pPr>
    </w:p>
    <w:p>
      <w:pPr>
        <w:ind w:right="300" w:firstLine="567"/>
        <w:spacing w:after="0" w:line="266" w:lineRule="auto"/>
        <w:rPr>
          <w:sz w:val="20"/>
          <w:szCs w:val="20"/>
          <w:color w:val="auto"/>
        </w:rPr>
      </w:pPr>
      <w:r>
        <w:rPr>
          <w:rFonts w:ascii="Times New Roman" w:cs="Times New Roman" w:eastAsia="Times New Roman" w:hAnsi="Times New Roman"/>
          <w:sz w:val="18"/>
          <w:szCs w:val="18"/>
          <w:color w:val="auto"/>
        </w:rPr>
        <w:t>In November 2022, we entered into a Sales Agreement (the “Cowen Sales Agreement”) with Cowen and Company, LLC (“Cowen”), through which we may offer and sell shares of our common stock, having an aggregate offering of up to $150.0 million through Cowen as our sales agent. As of June 30, 2024, we had sold no shares under this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21"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68"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183"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Cash, cash equivalents and investments totaled $393.5 million as of June 30, 2024, compared to $417.9 million as of December 31, 2023.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30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process of testing product candidates in clinical trials and seeking regulatory approval is costly, and the timing of progress and expenses in these trials is uncertain.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2024 and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r>
      <w:tr>
        <w:trPr>
          <w:trHeight w:val="196"/>
        </w:trPr>
        <w:tc>
          <w:tcPr>
            <w:tcW w:w="7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458"/>
              <w:spacing w:after="0"/>
              <w:rPr>
                <w:sz w:val="20"/>
                <w:szCs w:val="20"/>
                <w:color w:val="auto"/>
              </w:rPr>
            </w:pPr>
            <w:r>
              <w:rPr>
                <w:rFonts w:ascii="Times New Roman" w:cs="Times New Roman" w:eastAsia="Times New Roman" w:hAnsi="Times New Roman"/>
                <w:sz w:val="18"/>
                <w:szCs w:val="18"/>
                <w:color w:val="auto"/>
                <w:w w:val="97"/>
              </w:rPr>
              <w:t>(58,575)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rPr>
              <w:t>(49,977)</w:t>
            </w:r>
          </w:p>
        </w:tc>
      </w:tr>
      <w:tr>
        <w:trPr>
          <w:trHeight w:val="230"/>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left="478"/>
              <w:spacing w:after="0"/>
              <w:rPr>
                <w:sz w:val="20"/>
                <w:szCs w:val="20"/>
                <w:color w:val="auto"/>
              </w:rPr>
            </w:pPr>
            <w:r>
              <w:rPr>
                <w:rFonts w:ascii="Times New Roman" w:cs="Times New Roman" w:eastAsia="Times New Roman" w:hAnsi="Times New Roman"/>
                <w:sz w:val="18"/>
                <w:szCs w:val="18"/>
                <w:color w:val="auto"/>
              </w:rPr>
              <w:t>66,174</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left="274"/>
              <w:spacing w:after="0"/>
              <w:rPr>
                <w:sz w:val="20"/>
                <w:szCs w:val="20"/>
                <w:color w:val="auto"/>
              </w:rPr>
            </w:pPr>
            <w:r>
              <w:rPr>
                <w:rFonts w:ascii="Times New Roman" w:cs="Times New Roman" w:eastAsia="Times New Roman" w:hAnsi="Times New Roman"/>
                <w:sz w:val="18"/>
                <w:szCs w:val="18"/>
                <w:color w:val="auto"/>
                <w:w w:val="96"/>
              </w:rPr>
              <w:t>64,941</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478"/>
              <w:spacing w:after="0"/>
              <w:rPr>
                <w:sz w:val="20"/>
                <w:szCs w:val="20"/>
                <w:color w:val="auto"/>
              </w:rPr>
            </w:pPr>
            <w:r>
              <w:rPr>
                <w:rFonts w:ascii="Times New Roman" w:cs="Times New Roman" w:eastAsia="Times New Roman" w:hAnsi="Times New Roman"/>
                <w:sz w:val="18"/>
                <w:szCs w:val="18"/>
                <w:color w:val="auto"/>
              </w:rPr>
              <w:t>28,257</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8"/>
                <w:szCs w:val="18"/>
                <w:color w:val="auto"/>
              </w:rPr>
              <w:t>(51,066)</w:t>
            </w:r>
          </w:p>
        </w:tc>
      </w:tr>
      <w:tr>
        <w:trPr>
          <w:trHeight w:val="248"/>
        </w:trPr>
        <w:tc>
          <w:tcPr>
            <w:tcW w:w="7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center"/>
              <w:ind w:left="478"/>
              <w:spacing w:after="0"/>
              <w:rPr>
                <w:sz w:val="20"/>
                <w:szCs w:val="20"/>
                <w:color w:val="auto"/>
              </w:rPr>
            </w:pPr>
            <w:r>
              <w:rPr>
                <w:rFonts w:ascii="Times New Roman" w:cs="Times New Roman" w:eastAsia="Times New Roman" w:hAnsi="Times New Roman"/>
                <w:sz w:val="18"/>
                <w:szCs w:val="18"/>
                <w:color w:val="auto"/>
              </w:rPr>
              <w:t>35,856</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center"/>
              <w:ind w:left="254"/>
              <w:spacing w:after="0"/>
              <w:rPr>
                <w:sz w:val="20"/>
                <w:szCs w:val="20"/>
                <w:color w:val="auto"/>
              </w:rPr>
            </w:pPr>
            <w:r>
              <w:rPr>
                <w:rFonts w:ascii="Times New Roman" w:cs="Times New Roman" w:eastAsia="Times New Roman" w:hAnsi="Times New Roman"/>
                <w:sz w:val="18"/>
                <w:szCs w:val="18"/>
                <w:color w:val="auto"/>
              </w:rPr>
              <w:t>(36,102)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2024 of $58.6 million was primarily due to our net loss of $90.6 million, adjusted for addbacks for non-cash expenses of $30.7 million, which includes stock-based compensation, amortization of operating ROU assets, non-cash interest expense, income from marketable securities and net increases in working capital of $1.3 million.</w:t>
      </w:r>
    </w:p>
    <w:p>
      <w:pPr>
        <w:spacing w:after="0" w:line="68"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2023 of $50.0 million was primarily due to our net loss of $84.1 million, adjusted for addbacks for non-cash expenses of $22.8 million, which includes stock-based compensation, amortization of operating ROU assets, non-cash interest expense, income from marketable securities and net increases in working capital of $11.3 million.</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six months ended June 30, 2024 and 2023 of $66.2 million and $64.9 million, respectively, primarily relates to the timing of sales, maturities and purchases of our investments.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net cash provided by financing activities during the six months ended June 30, 2024 of $28.3 million was primarily related to $50.0 million received for the sale of future royalties, $1.8 million of cash received for the issuance of common stock, offset by $16.0 million for repayments of the liability for the sale of future royalties and $7.5 million for net share settlement of equity awards.</w:t>
      </w:r>
    </w:p>
    <w:p>
      <w:pPr>
        <w:spacing w:after="0" w:line="68"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net cash used in financing activities during the six months ended June 30, 2023 of $51.1 million was primarily related to $50.0 million paid for repurchases and retirements of common stock, $3.1 million for repayments of the liability for the sale of future royalties, offset by $2.0 million of cash received for the issuance of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75"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our operating lease and future minimum annual obligations, see Note 9 — Commitments and Contingencies in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March 11,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June 30, 2024,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8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34" w:name="page35"/>
    <w:bookmarkEnd w:id="34"/>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60" w:firstLine="486"/>
        <w:spacing w:after="0" w:line="289" w:lineRule="auto"/>
        <w:rPr>
          <w:sz w:val="20"/>
          <w:szCs w:val="20"/>
          <w:color w:val="auto"/>
        </w:rPr>
      </w:pPr>
      <w:r>
        <w:rPr>
          <w:rFonts w:ascii="Times New Roman" w:cs="Times New Roman" w:eastAsia="Times New Roman" w:hAnsi="Times New Roman"/>
          <w:sz w:val="17"/>
          <w:szCs w:val="17"/>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right="200" w:firstLine="567"/>
        <w:spacing w:after="0" w:line="282"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54" w:lineRule="exact"/>
        <w:rPr>
          <w:sz w:val="20"/>
          <w:szCs w:val="20"/>
          <w:color w:val="auto"/>
        </w:rPr>
      </w:pPr>
    </w:p>
    <w:p>
      <w:pPr>
        <w:ind w:left="900" w:right="20" w:hanging="406"/>
        <w:spacing w:after="0" w:line="261"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1" w:lineRule="exact"/>
        <w:rPr>
          <w:rFonts w:ascii="Times New Roman" w:cs="Times New Roman" w:eastAsia="Times New Roman" w:hAnsi="Times New Roman"/>
          <w:sz w:val="18"/>
          <w:szCs w:val="18"/>
          <w:color w:val="auto"/>
        </w:rPr>
      </w:pPr>
    </w:p>
    <w:p>
      <w:pPr>
        <w:ind w:left="900" w:right="180" w:hanging="406"/>
        <w:spacing w:after="0" w:line="266"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67" w:lineRule="exact"/>
        <w:rPr>
          <w:rFonts w:ascii="Times New Roman" w:cs="Times New Roman" w:eastAsia="Times New Roman" w:hAnsi="Times New Roman"/>
          <w:sz w:val="18"/>
          <w:szCs w:val="18"/>
          <w:color w:val="auto"/>
        </w:rPr>
      </w:pPr>
    </w:p>
    <w:p>
      <w:pPr>
        <w:ind w:left="900" w:right="140" w:hanging="406"/>
        <w:spacing w:after="0" w:line="282"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 candidates receive regulatory approval, they will be subject to significant post-marketing regulatory requirements.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product candidates and develop marketable products.</w:t>
      </w:r>
    </w:p>
    <w:p>
      <w:pPr>
        <w:spacing w:after="0" w:line="117" w:lineRule="exact"/>
        <w:rPr>
          <w:rFonts w:ascii="Times New Roman" w:cs="Times New Roman" w:eastAsia="Times New Roman" w:hAnsi="Times New Roman"/>
          <w:sz w:val="18"/>
          <w:szCs w:val="18"/>
          <w:color w:val="auto"/>
        </w:rPr>
      </w:pPr>
    </w:p>
    <w:p>
      <w:pPr>
        <w:ind w:left="900" w:right="520" w:hanging="406"/>
        <w:spacing w:after="0" w:line="282"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recently commenced clinical development of rosnilimab and ANB032 , and have no history of commercializing biotechnology products, which may make it difficult to evaluate the prospects for our future viability.</w:t>
      </w:r>
    </w:p>
    <w:p>
      <w:pPr>
        <w:spacing w:after="0" w:line="53" w:lineRule="exact"/>
        <w:rPr>
          <w:rFonts w:ascii="Times New Roman" w:cs="Times New Roman" w:eastAsia="Times New Roman" w:hAnsi="Times New Roman"/>
          <w:sz w:val="18"/>
          <w:szCs w:val="18"/>
          <w:color w:val="auto"/>
        </w:rPr>
      </w:pPr>
    </w:p>
    <w:p>
      <w:pPr>
        <w:ind w:left="900" w:right="180" w:hanging="406"/>
        <w:spacing w:after="0" w:line="282"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53" w:lineRule="exact"/>
        <w:rPr>
          <w:rFonts w:ascii="Times New Roman" w:cs="Times New Roman" w:eastAsia="Times New Roman" w:hAnsi="Times New Roman"/>
          <w:sz w:val="18"/>
          <w:szCs w:val="18"/>
          <w:color w:val="auto"/>
        </w:rPr>
      </w:pPr>
    </w:p>
    <w:p>
      <w:pPr>
        <w:ind w:left="900" w:right="100" w:hanging="406"/>
        <w:spacing w:after="0" w:line="282"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achieve adequate market acceptance among physicians, patients, health care payors and others in the medical community necessary for commercial success.</w:t>
      </w:r>
    </w:p>
    <w:p>
      <w:pPr>
        <w:spacing w:after="0" w:line="53" w:lineRule="exact"/>
        <w:rPr>
          <w:rFonts w:ascii="Times New Roman" w:cs="Times New Roman" w:eastAsia="Times New Roman" w:hAnsi="Times New Roman"/>
          <w:sz w:val="18"/>
          <w:szCs w:val="18"/>
          <w:color w:val="auto"/>
        </w:rPr>
      </w:pPr>
    </w:p>
    <w:p>
      <w:pPr>
        <w:ind w:left="900" w:hanging="406"/>
        <w:spacing w:after="0" w:line="266"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194" w:lineRule="exact"/>
        <w:rPr>
          <w:sz w:val="20"/>
          <w:szCs w:val="20"/>
          <w:color w:val="auto"/>
        </w:rPr>
      </w:pPr>
    </w:p>
    <w:p>
      <w:pPr>
        <w:ind w:left="900" w:right="120" w:hanging="406"/>
        <w:spacing w:after="0" w:line="266"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67" w:lineRule="exact"/>
        <w:rPr>
          <w:rFonts w:ascii="Times New Roman" w:cs="Times New Roman" w:eastAsia="Times New Roman" w:hAnsi="Times New Roman"/>
          <w:sz w:val="18"/>
          <w:szCs w:val="18"/>
          <w:color w:val="auto"/>
        </w:rPr>
      </w:pPr>
    </w:p>
    <w:p>
      <w:pPr>
        <w:ind w:left="900" w:hanging="406"/>
        <w:spacing w:after="0" w:line="266"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revenue and a history of operational losses and may not achieve or sustain profitability.</w:t>
      </w:r>
    </w:p>
    <w:p>
      <w:pPr>
        <w:spacing w:after="0" w:line="117" w:lineRule="exact"/>
        <w:rPr>
          <w:rFonts w:ascii="Times New Roman" w:cs="Times New Roman" w:eastAsia="Times New Roman" w:hAnsi="Times New Roman"/>
          <w:sz w:val="18"/>
          <w:szCs w:val="18"/>
          <w:color w:val="auto"/>
        </w:rPr>
      </w:pPr>
    </w:p>
    <w:p>
      <w:pPr>
        <w:ind w:left="900" w:right="680" w:hanging="406"/>
        <w:spacing w:after="0" w:line="282"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products approved for commercial sale, and to date we have not generated any revenue or profit from sales of our product candidates.</w:t>
      </w:r>
    </w:p>
    <w:p>
      <w:pPr>
        <w:spacing w:after="0" w:line="53"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3" w:lineRule="exact"/>
        <w:rPr>
          <w:rFonts w:ascii="Times New Roman" w:cs="Times New Roman" w:eastAsia="Times New Roman" w:hAnsi="Times New Roman"/>
          <w:sz w:val="18"/>
          <w:szCs w:val="18"/>
          <w:color w:val="auto"/>
        </w:rPr>
      </w:pPr>
    </w:p>
    <w:p>
      <w:pPr>
        <w:ind w:left="900" w:right="280" w:hanging="406"/>
        <w:spacing w:after="0" w:line="282"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53" w:lineRule="exact"/>
        <w:rPr>
          <w:rFonts w:ascii="Times New Roman" w:cs="Times New Roman" w:eastAsia="Times New Roman" w:hAnsi="Times New Roman"/>
          <w:sz w:val="18"/>
          <w:szCs w:val="18"/>
          <w:color w:val="auto"/>
        </w:rPr>
      </w:pPr>
    </w:p>
    <w:p>
      <w:pPr>
        <w:ind w:left="900" w:right="60" w:hanging="406"/>
        <w:spacing w:after="0" w:line="312" w:lineRule="auto"/>
        <w:tabs>
          <w:tab w:leader="none" w:pos="89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spacing w:after="0" w:line="31" w:lineRule="exact"/>
        <w:rPr>
          <w:rFonts w:ascii="Times New Roman" w:cs="Times New Roman" w:eastAsia="Times New Roman" w:hAnsi="Times New Roman"/>
          <w:sz w:val="17"/>
          <w:szCs w:val="17"/>
          <w:color w:val="auto"/>
        </w:rPr>
      </w:pPr>
    </w:p>
    <w:p>
      <w:pPr>
        <w:ind w:left="900" w:right="800" w:hanging="406"/>
        <w:spacing w:after="0" w:line="282"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in the U.S. and throughout the world, we may not be able to compete effectively in our market.</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attract and retain highly skilled employees in order to succeed.</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stock has been and may continue to be volatile, and you could lose all or part of your investment.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and Development of Our Product Candidates</w:t>
      </w:r>
    </w:p>
    <w:p>
      <w:pPr>
        <w:spacing w:after="0" w:line="117"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2" w:lineRule="exact"/>
        <w:rPr>
          <w:sz w:val="20"/>
          <w:szCs w:val="20"/>
          <w:color w:val="auto"/>
        </w:rPr>
      </w:pPr>
    </w:p>
    <w:p>
      <w:pPr>
        <w:ind w:right="40" w:firstLine="567"/>
        <w:spacing w:after="0" w:line="266" w:lineRule="auto"/>
        <w:rPr>
          <w:sz w:val="20"/>
          <w:szCs w:val="20"/>
          <w:color w:val="auto"/>
        </w:rPr>
      </w:pPr>
      <w:r>
        <w:rPr>
          <w:rFonts w:ascii="Times New Roman" w:cs="Times New Roman" w:eastAsia="Times New Roman" w:hAnsi="Times New Roman"/>
          <w:sz w:val="18"/>
          <w:szCs w:val="18"/>
          <w:color w:val="auto"/>
        </w:rPr>
        <w:t>We are developing therapeutic antibodies, including our wholly owned product candidates, as well as other programs that are being developed by our collaborators. However, all of our wholly owned and most of partnered product candidates are in various stages of development, and, for a wide variety of reasons discussed below, may fail in development or suffer delays that adversely affect their commercial viability.</w:t>
      </w:r>
    </w:p>
    <w:p>
      <w:pPr>
        <w:spacing w:after="0" w:line="68" w:lineRule="exact"/>
        <w:rPr>
          <w:sz w:val="20"/>
          <w:szCs w:val="20"/>
          <w:color w:val="auto"/>
        </w:rPr>
      </w:pPr>
    </w:p>
    <w:p>
      <w:pPr>
        <w:ind w:right="140" w:firstLine="567"/>
        <w:spacing w:after="0" w:line="266" w:lineRule="auto"/>
        <w:rPr>
          <w:sz w:val="20"/>
          <w:szCs w:val="20"/>
          <w:color w:val="auto"/>
        </w:rPr>
      </w:pPr>
      <w:r>
        <w:rPr>
          <w:rFonts w:ascii="Times New Roman" w:cs="Times New Roman" w:eastAsia="Times New Roman" w:hAnsi="Times New Roman"/>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68" w:lineRule="exact"/>
        <w:rPr>
          <w:sz w:val="20"/>
          <w:szCs w:val="20"/>
          <w:color w:val="auto"/>
        </w:rPr>
      </w:pPr>
    </w:p>
    <w:p>
      <w:pPr>
        <w:ind w:right="40" w:firstLine="567"/>
        <w:spacing w:after="0" w:line="256" w:lineRule="auto"/>
        <w:rPr>
          <w:sz w:val="20"/>
          <w:szCs w:val="20"/>
          <w:color w:val="auto"/>
        </w:rPr>
      </w:pPr>
      <w:r>
        <w:rPr>
          <w:rFonts w:ascii="Times New Roman" w:cs="Times New Roman" w:eastAsia="Times New Roman" w:hAnsi="Times New Roman"/>
          <w:sz w:val="18"/>
          <w:szCs w:val="18"/>
          <w:color w:val="auto"/>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we believed imsidolimab’s mechanism of action, the inhibition of IL-36R, provided the potential for imsidolimab to be effective for treatment of a range of dermatological inflammatory diseases. However, top-line data from clinical trials of imsidolimab in indications other than GPP did not demonstrate efficacy.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ind w:right="160" w:firstLine="567"/>
        <w:spacing w:after="0" w:line="266" w:lineRule="auto"/>
        <w:rPr>
          <w:sz w:val="20"/>
          <w:szCs w:val="20"/>
          <w:color w:val="auto"/>
        </w:rPr>
      </w:pPr>
      <w:r>
        <w:rPr>
          <w:rFonts w:ascii="Times New Roman" w:cs="Times New Roman" w:eastAsia="Times New Roman" w:hAnsi="Times New Roman"/>
          <w:sz w:val="18"/>
          <w:szCs w:val="18"/>
          <w:color w:val="auto"/>
        </w:rPr>
        <w:t>If our other ongoing or future clinical trials of any of our product candidates, including, rosnilimab and ANB032 , ANB033 or ANB101, are unsuccessful, whether for one of the reasons mentioned above or otherwise, our product candidates may be delayed in development or fail entirely, which would have a material adverse impact on our business.</w:t>
      </w:r>
    </w:p>
    <w:p>
      <w:pPr>
        <w:spacing w:after="0" w:line="68" w:lineRule="exact"/>
        <w:rPr>
          <w:sz w:val="20"/>
          <w:szCs w:val="20"/>
          <w:color w:val="auto"/>
        </w:rPr>
      </w:pPr>
    </w:p>
    <w:p>
      <w:pPr>
        <w:ind w:right="560" w:firstLine="567"/>
        <w:spacing w:after="0" w:line="282" w:lineRule="auto"/>
        <w:rPr>
          <w:sz w:val="20"/>
          <w:szCs w:val="20"/>
          <w:color w:val="auto"/>
        </w:rPr>
      </w:pPr>
      <w:r>
        <w:rPr>
          <w:rFonts w:ascii="Times New Roman" w:cs="Times New Roman" w:eastAsia="Times New Roman" w:hAnsi="Times New Roman"/>
          <w:sz w:val="18"/>
          <w:szCs w:val="18"/>
          <w:color w:val="auto"/>
        </w:rPr>
        <w:t>The success of our current product candidates, and any other product candidates we may develop in the future, will depend on many factors, including the following:</w:t>
      </w:r>
    </w:p>
    <w:p>
      <w:pPr>
        <w:spacing w:after="0" w:line="54" w:lineRule="exact"/>
        <w:rPr>
          <w:sz w:val="20"/>
          <w:szCs w:val="20"/>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our planned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and/or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 for our product candidates and their components;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product candidates’ intended indications;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third parties;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 candidates through clinical trials and following regulatory approval.</w:t>
      </w:r>
    </w:p>
    <w:p>
      <w:pPr>
        <w:spacing w:after="0" w:line="117" w:lineRule="exact"/>
        <w:rPr>
          <w:sz w:val="20"/>
          <w:szCs w:val="20"/>
          <w:color w:val="auto"/>
        </w:rPr>
      </w:pPr>
    </w:p>
    <w:p>
      <w:pPr>
        <w:ind w:right="100" w:firstLine="567"/>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54" w:lineRule="exact"/>
        <w:rPr>
          <w:sz w:val="20"/>
          <w:szCs w:val="20"/>
          <w:color w:val="auto"/>
        </w:rPr>
      </w:pPr>
    </w:p>
    <w:p>
      <w:pPr>
        <w:ind w:right="60" w:firstLine="567"/>
        <w:spacing w:after="0" w:line="255" w:lineRule="auto"/>
        <w:rPr>
          <w:sz w:val="20"/>
          <w:szCs w:val="20"/>
          <w:color w:val="auto"/>
        </w:rPr>
      </w:pPr>
      <w:r>
        <w:rPr>
          <w:rFonts w:ascii="Times New Roman" w:cs="Times New Roman" w:eastAsia="Times New Roman" w:hAnsi="Times New Roman"/>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spacing w:after="0" w:line="18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67" w:lineRule="exact"/>
        <w:rPr>
          <w:sz w:val="20"/>
          <w:szCs w:val="20"/>
          <w:color w:val="auto"/>
        </w:rPr>
      </w:pPr>
    </w:p>
    <w:p>
      <w:pPr>
        <w:ind w:right="200" w:firstLine="567"/>
        <w:spacing w:after="0" w:line="258" w:lineRule="auto"/>
        <w:rPr>
          <w:sz w:val="20"/>
          <w:szCs w:val="20"/>
          <w:color w:val="auto"/>
        </w:rPr>
      </w:pPr>
      <w:r>
        <w:rPr>
          <w:rFonts w:ascii="Times New Roman" w:cs="Times New Roman" w:eastAsia="Times New Roman" w:hAnsi="Times New Roman"/>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75"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18"/>
          <w:szCs w:val="18"/>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Phase 2 clinical trials with rosnilimab and ANB032 are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56" w:lineRule="exact"/>
        <w:rPr>
          <w:sz w:val="20"/>
          <w:szCs w:val="20"/>
          <w:color w:val="auto"/>
        </w:rPr>
      </w:pPr>
    </w:p>
    <w:p>
      <w:pPr>
        <w:ind w:right="20" w:firstLine="567"/>
        <w:spacing w:after="0" w:line="253" w:lineRule="auto"/>
        <w:rPr>
          <w:sz w:val="20"/>
          <w:szCs w:val="20"/>
          <w:color w:val="auto"/>
        </w:rPr>
      </w:pPr>
      <w:r>
        <w:rPr>
          <w:rFonts w:ascii="Times New Roman" w:cs="Times New Roman" w:eastAsia="Times New Roman" w:hAnsi="Times New Roman"/>
          <w:sz w:val="18"/>
          <w:szCs w:val="18"/>
          <w:color w:val="auto"/>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spacing w:after="0" w:line="86"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84" w:lineRule="exact"/>
        <w:rPr>
          <w:sz w:val="20"/>
          <w:szCs w:val="20"/>
          <w:color w:val="auto"/>
        </w:rPr>
      </w:pPr>
    </w:p>
    <w:p>
      <w:pPr>
        <w:ind w:right="20" w:firstLine="567"/>
        <w:spacing w:after="0" w:line="261" w:lineRule="auto"/>
        <w:rPr>
          <w:sz w:val="20"/>
          <w:szCs w:val="20"/>
          <w:color w:val="auto"/>
        </w:rPr>
      </w:pPr>
      <w:r>
        <w:rPr>
          <w:rFonts w:ascii="Times New Roman" w:cs="Times New Roman" w:eastAsia="Times New Roman" w:hAnsi="Times New Roman"/>
          <w:sz w:val="18"/>
          <w:szCs w:val="18"/>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51"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ind w:right="80" w:firstLine="567"/>
        <w:spacing w:after="0" w:line="253" w:lineRule="auto"/>
        <w:rPr>
          <w:sz w:val="20"/>
          <w:szCs w:val="20"/>
          <w:color w:val="auto"/>
        </w:rPr>
      </w:pPr>
      <w:r>
        <w:rPr>
          <w:rFonts w:ascii="Times New Roman" w:cs="Times New Roman" w:eastAsia="Times New Roman" w:hAnsi="Times New Roman"/>
          <w:sz w:val="18"/>
          <w:szCs w:val="18"/>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although we believe our Phase 3 trials for imsidolimab for GPP, GEMINI-1 and GEMINI-2 have demonstrated evidence of efficacy and safety in GPP patients to be sufficient to obtain BLA approval, the FDA may determine that we will need additional clinical trials in order to obtain approval of a BLA.</w:t>
      </w:r>
    </w:p>
    <w:p>
      <w:pPr>
        <w:spacing w:after="0" w:line="86" w:lineRule="exact"/>
        <w:rPr>
          <w:sz w:val="20"/>
          <w:szCs w:val="20"/>
          <w:color w:val="auto"/>
        </w:rPr>
      </w:pPr>
    </w:p>
    <w:p>
      <w:pPr>
        <w:ind w:right="20" w:firstLine="567"/>
        <w:spacing w:after="0" w:line="266" w:lineRule="auto"/>
        <w:rPr>
          <w:sz w:val="20"/>
          <w:szCs w:val="20"/>
          <w:color w:val="auto"/>
        </w:rPr>
      </w:pPr>
      <w:r>
        <w:rPr>
          <w:rFonts w:ascii="Times New Roman" w:cs="Times New Roman" w:eastAsia="Times New Roman" w:hAnsi="Times New Roman"/>
          <w:sz w:val="18"/>
          <w:szCs w:val="18"/>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68" w:lineRule="exact"/>
        <w:rPr>
          <w:sz w:val="20"/>
          <w:szCs w:val="20"/>
          <w:color w:val="auto"/>
        </w:rPr>
      </w:pPr>
    </w:p>
    <w:p>
      <w:pPr>
        <w:ind w:left="900" w:right="360" w:hanging="406"/>
        <w:spacing w:after="0" w:line="282" w:lineRule="auto"/>
        <w:tabs>
          <w:tab w:leader="none" w:pos="8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for safety reasons or following an inspection of clinical trial operations or site by the FDA or other regulatory authorities;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challenges;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quality of product candidates or other materials necessary to conduct clinical trials;</w:t>
      </w:r>
    </w:p>
    <w:p>
      <w:pPr>
        <w:spacing w:after="0" w:line="117" w:lineRule="exact"/>
        <w:rPr>
          <w:rFonts w:ascii="Times New Roman" w:cs="Times New Roman" w:eastAsia="Times New Roman" w:hAnsi="Times New Roman"/>
          <w:sz w:val="18"/>
          <w:szCs w:val="18"/>
          <w:color w:val="auto"/>
        </w:rPr>
      </w:pPr>
    </w:p>
    <w:p>
      <w:pPr>
        <w:ind w:left="900" w:right="200" w:hanging="406"/>
        <w:spacing w:after="0" w:line="282" w:lineRule="auto"/>
        <w:tabs>
          <w:tab w:leader="none" w:pos="8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or clinical sites becoming unavailable due to political, economic, or public health events;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electing to terminate their participation in one of our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medical investigators to follow clinical trial protocols;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clinical trial administrative actions;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patient enrollment;</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standards of care;</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concerns;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or prevalence of use of a comparative drug or required prior therapy; or</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outcomes or financial constraints.</w:t>
      </w:r>
    </w:p>
    <w:p>
      <w:pPr>
        <w:spacing w:after="0" w:line="117"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or our collaborators experience any of the issues described above, or other similar or related issues, we or our collaborators may:</w:t>
      </w:r>
    </w:p>
    <w:p>
      <w:pPr>
        <w:spacing w:after="0" w:line="117" w:lineRule="exact"/>
        <w:rPr>
          <w:sz w:val="20"/>
          <w:szCs w:val="20"/>
          <w:color w:val="auto"/>
        </w:rPr>
      </w:pPr>
    </w:p>
    <w:p>
      <w:pPr>
        <w:ind w:left="900" w:hanging="40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94" w:lineRule="exact"/>
        <w:rPr>
          <w:sz w:val="20"/>
          <w:szCs w:val="20"/>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17" w:lineRule="exact"/>
        <w:rPr>
          <w:sz w:val="20"/>
          <w:szCs w:val="20"/>
          <w:color w:val="auto"/>
        </w:rPr>
      </w:pPr>
    </w:p>
    <w:p>
      <w:pPr>
        <w:ind w:right="180" w:firstLine="567"/>
        <w:spacing w:after="0" w:line="256" w:lineRule="auto"/>
        <w:rPr>
          <w:sz w:val="20"/>
          <w:szCs w:val="20"/>
          <w:color w:val="auto"/>
        </w:rPr>
      </w:pPr>
      <w:r>
        <w:rPr>
          <w:rFonts w:ascii="Times New Roman" w:cs="Times New Roman" w:eastAsia="Times New Roman" w:hAnsi="Times New Roman"/>
          <w:sz w:val="18"/>
          <w:szCs w:val="18"/>
          <w:color w:val="auto"/>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 if our product candidates receive regulatory approval, they will be subject to significant post-marketing regulatory requirements.</w:t>
      </w:r>
    </w:p>
    <w:p>
      <w:pPr>
        <w:spacing w:after="0" w:line="121" w:lineRule="exact"/>
        <w:rPr>
          <w:sz w:val="20"/>
          <w:szCs w:val="20"/>
          <w:color w:val="auto"/>
        </w:rPr>
      </w:pPr>
    </w:p>
    <w:p>
      <w:pPr>
        <w:ind w:firstLine="567"/>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or our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spacing w:after="0" w:line="8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BLAs or supplements to approved BLAs.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02" w:lineRule="exact"/>
        <w:rPr>
          <w:sz w:val="20"/>
          <w:szCs w:val="20"/>
          <w:color w:val="auto"/>
        </w:rPr>
      </w:pPr>
    </w:p>
    <w:p>
      <w:pPr>
        <w:ind w:right="460" w:firstLine="567"/>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alone or with our collaborators, to commercialize our product candidates and generate revenue.</w:t>
      </w:r>
    </w:p>
    <w:p>
      <w:pPr>
        <w:spacing w:after="0" w:line="54" w:lineRule="exact"/>
        <w:rPr>
          <w:sz w:val="20"/>
          <w:szCs w:val="20"/>
          <w:color w:val="auto"/>
        </w:rPr>
      </w:pPr>
    </w:p>
    <w:p>
      <w:pPr>
        <w:ind w:right="40" w:firstLine="567"/>
        <w:spacing w:after="0" w:line="258"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75"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successful in our efforts to expand our pipeline of product candidates and develop marketable products.</w:t>
      </w:r>
    </w:p>
    <w:p>
      <w:pPr>
        <w:spacing w:after="0" w:line="121" w:lineRule="exact"/>
        <w:rPr>
          <w:sz w:val="20"/>
          <w:szCs w:val="20"/>
          <w:color w:val="auto"/>
        </w:rPr>
      </w:pPr>
    </w:p>
    <w:p>
      <w:pPr>
        <w:ind w:right="160" w:firstLine="567"/>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spacing w:after="0" w:line="80"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8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We are currently in Phase 2 clinical development of rosnilimab and ANB032, and have no history of commercializing biotechnology products, which may make it difficult to evaluate the prospects for our future viability.</w:t>
      </w:r>
    </w:p>
    <w:p>
      <w:pPr>
        <w:spacing w:after="0" w:line="51" w:lineRule="exact"/>
        <w:rPr>
          <w:sz w:val="20"/>
          <w:szCs w:val="20"/>
          <w:color w:val="auto"/>
        </w:rPr>
      </w:pPr>
    </w:p>
    <w:p>
      <w:pPr>
        <w:ind w:right="380" w:firstLine="567"/>
        <w:spacing w:after="0" w:line="282" w:lineRule="auto"/>
        <w:rPr>
          <w:sz w:val="20"/>
          <w:szCs w:val="20"/>
          <w:color w:val="auto"/>
        </w:rPr>
      </w:pPr>
      <w:r>
        <w:rPr>
          <w:rFonts w:ascii="Times New Roman" w:cs="Times New Roman" w:eastAsia="Times New Roman" w:hAnsi="Times New Roman"/>
          <w:sz w:val="18"/>
          <w:szCs w:val="18"/>
          <w:color w:val="auto"/>
        </w:rPr>
        <w:t>Our operations to date have been largely limited to financing and staffing our company, developing our technology, and developing our wholly owned product candidates and other product candidates in partnerships with our collaborators.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 owned product candidates will require significant additional financial and management resources, and reliance on third-party clinical investigators, CROs, consultants or collaborators. Relying on third-party clinical investigators, third-party manufacturing, CROs or collaborators may result in delays that are outside of our control.</w:t>
      </w:r>
    </w:p>
    <w:p>
      <w:pPr>
        <w:spacing w:after="0" w:line="65" w:lineRule="exact"/>
        <w:rPr>
          <w:sz w:val="20"/>
          <w:szCs w:val="20"/>
          <w:color w:val="auto"/>
        </w:rPr>
      </w:pPr>
    </w:p>
    <w:p>
      <w:pPr>
        <w:ind w:right="380" w:firstLine="567"/>
        <w:spacing w:after="0" w:line="266" w:lineRule="auto"/>
        <w:rPr>
          <w:sz w:val="20"/>
          <w:szCs w:val="20"/>
          <w:color w:val="auto"/>
        </w:rPr>
      </w:pPr>
      <w:r>
        <w:rPr>
          <w:rFonts w:ascii="Times New Roman" w:cs="Times New Roman" w:eastAsia="Times New Roman" w:hAnsi="Times New Roman"/>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68" w:lineRule="exact"/>
        <w:rPr>
          <w:sz w:val="20"/>
          <w:szCs w:val="20"/>
          <w:color w:val="auto"/>
        </w:rPr>
      </w:pPr>
    </w:p>
    <w:p>
      <w:pPr>
        <w:ind w:left="900" w:right="600" w:hanging="406"/>
        <w:spacing w:after="0" w:line="282"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40"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suspension or termination of a clinical trial once commenced;</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foreign regulatory authorities regarding the number, scope or design of our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clinical trial materials or other supplies necessary for the conduct of our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during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7" w:lineRule="exact"/>
        <w:rPr>
          <w:rFonts w:ascii="Times New Roman" w:cs="Times New Roman" w:eastAsia="Times New Roman" w:hAnsi="Times New Roman"/>
          <w:sz w:val="18"/>
          <w:szCs w:val="18"/>
          <w:color w:val="auto"/>
        </w:rPr>
      </w:pPr>
    </w:p>
    <w:p>
      <w:pPr>
        <w:ind w:left="900" w:right="80" w:hanging="406"/>
        <w:spacing w:after="0" w:line="282"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900" w:right="340" w:hanging="406"/>
        <w:spacing w:after="0" w:line="282"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or otherwise unacceptable, drug-related side effects experienced by participants in our planned clinical trials or by individuals using drugs similar to our product candidates;</w:t>
      </w:r>
    </w:p>
    <w:p>
      <w:pPr>
        <w:spacing w:after="0" w:line="53" w:lineRule="exact"/>
        <w:rPr>
          <w:rFonts w:ascii="Times New Roman" w:cs="Times New Roman" w:eastAsia="Times New Roman" w:hAnsi="Times New Roman"/>
          <w:sz w:val="18"/>
          <w:szCs w:val="18"/>
          <w:color w:val="auto"/>
        </w:rPr>
      </w:pPr>
    </w:p>
    <w:p>
      <w:pPr>
        <w:ind w:left="900" w:right="500" w:hanging="406"/>
        <w:spacing w:after="0" w:line="282"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foreign regulatory authorities.</w:t>
      </w:r>
    </w:p>
    <w:p>
      <w:pPr>
        <w:spacing w:after="0" w:line="117" w:lineRule="exact"/>
        <w:rPr>
          <w:sz w:val="20"/>
          <w:szCs w:val="20"/>
          <w:color w:val="auto"/>
        </w:rPr>
      </w:pPr>
    </w:p>
    <w:p>
      <w:pPr>
        <w:ind w:right="180" w:firstLine="567"/>
        <w:spacing w:after="0" w:line="282" w:lineRule="auto"/>
        <w:rPr>
          <w:sz w:val="20"/>
          <w:szCs w:val="20"/>
          <w:color w:val="auto"/>
        </w:rPr>
      </w:pPr>
      <w:r>
        <w:rPr>
          <w:rFonts w:ascii="Times New Roman" w:cs="Times New Roman" w:eastAsia="Times New Roman" w:hAnsi="Times New Roman"/>
          <w:sz w:val="18"/>
          <w:szCs w:val="18"/>
          <w:color w:val="auto"/>
        </w:rPr>
        <w:t>Consequently, any predictions you make about our future success or viability based on our operating history may not be as accurate as they could be if we had an established track record in conducting clinical trials or commercializing products.</w:t>
      </w:r>
    </w:p>
    <w:p>
      <w:pPr>
        <w:spacing w:after="0" w:line="54" w:lineRule="exact"/>
        <w:rPr>
          <w:sz w:val="20"/>
          <w:szCs w:val="20"/>
          <w:color w:val="auto"/>
        </w:rPr>
      </w:pPr>
    </w:p>
    <w:p>
      <w:pPr>
        <w:ind w:right="340" w:firstLine="567"/>
        <w:spacing w:after="0" w:line="266" w:lineRule="auto"/>
        <w:rPr>
          <w:sz w:val="20"/>
          <w:szCs w:val="20"/>
          <w:color w:val="auto"/>
        </w:rPr>
      </w:pPr>
      <w:r>
        <w:rPr>
          <w:rFonts w:ascii="Times New Roman" w:cs="Times New Roman" w:eastAsia="Times New Roman" w:hAnsi="Times New Roman"/>
          <w:sz w:val="18"/>
          <w:szCs w:val="18"/>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1" w:lineRule="exact"/>
        <w:rPr>
          <w:sz w:val="20"/>
          <w:szCs w:val="20"/>
          <w:color w:val="auto"/>
        </w:rPr>
      </w:pPr>
    </w:p>
    <w:p>
      <w:pPr>
        <w:ind w:right="80" w:firstLine="567"/>
        <w:spacing w:after="0" w:line="258" w:lineRule="auto"/>
        <w:rPr>
          <w:sz w:val="20"/>
          <w:szCs w:val="20"/>
          <w:color w:val="auto"/>
        </w:rPr>
      </w:pPr>
      <w:r>
        <w:rPr>
          <w:rFonts w:ascii="Times New Roman" w:cs="Times New Roman" w:eastAsia="Times New Roman" w:hAnsi="Times New Roman"/>
          <w:sz w:val="18"/>
          <w:szCs w:val="18"/>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81"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For our PD-1 agonist antibody program, our competitors include other PD-1 agonist antibodies peresolimab (Eli Lilly) in Phase 2b development for the treatment of rheumatoid arthritis, JNJ-67484703 (Janssen) in Phase 2 development for the treatment of atopic dermatitis, GS-0151 (Gilead) in Phase 1b development for the treatment of rheumatoid arthritis, and a PD-1 agonist antibody (Boehringer Ingelheim)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 Commercial-stage competitors in moderate-to-severe ulcerative colitis include monoclonal antibodies targeting anti-TNF (Humira; Abbvie and Remicade; Johnson &amp; Johnson), anti-α4β7 (Entyvio; Takeda), anti-IL-23 (Stelara; Johnson &amp; Johnson and Omvoh; Eli Lilly) and S1P inhibitors (Zeposia; Bristol Myers Squibb and Velsipity; Pfizer) and janus kinase inhibitors (Rinvoq; AbbVie, and Xeljanz; Pfizer) as well as monoclonal antibodies targeting anti-TL1A (PRA023; Merck, RVT-3101; Roche and TEV’574; Teva/Sanofi) in Phase 2 and 3 development.</w:t>
      </w:r>
    </w:p>
    <w:p>
      <w:pPr>
        <w:spacing w:after="0" w:line="80"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For our BTLA agonist antibody program, our competitors include another BTLA agonist antibody, GS-0272 (Gilead) in Phase 1b development for the treatment of rheumatoid arthritis. Commercial-stage competitors in moderate-to-severe atopic dermatitis include topical and oral corticosteroids, calcineurin inhibitors (Protopic; LEO Pharma and Elidel; Bausch Health), monoclonal antibodies targeting IL-4/13 (Dupixent; Regeneron/Sanofi), IL-13 (Adbry; LEO Pharma and Ebglyss; Eli Lilly), IL-31 (nemolizumab; Galderma) and janus kinase inhibitors (Rinvoq; AbbVie and abrocitinib; Pfizer) as well as monoclonal antibodies targeting OX-40/OX40L (rocatinlimab; Amgen and amlitelimab; Sanofi) in Phase 3 development and CD200R (ucenprubart; Eli Lilly).</w:t>
      </w:r>
    </w:p>
    <w:p>
      <w:pPr>
        <w:spacing w:after="0" w:line="79" w:lineRule="exact"/>
        <w:rPr>
          <w:sz w:val="20"/>
          <w:szCs w:val="20"/>
          <w:color w:val="auto"/>
        </w:rPr>
      </w:pPr>
    </w:p>
    <w:p>
      <w:pPr>
        <w:jc w:val="both"/>
        <w:ind w:right="120" w:firstLine="567"/>
        <w:spacing w:after="0" w:line="258" w:lineRule="auto"/>
        <w:rPr>
          <w:sz w:val="20"/>
          <w:szCs w:val="20"/>
          <w:color w:val="auto"/>
        </w:rPr>
      </w:pPr>
      <w:r>
        <w:rPr>
          <w:rFonts w:ascii="Times New Roman" w:cs="Times New Roman" w:eastAsia="Times New Roman" w:hAnsi="Times New Roman"/>
          <w:sz w:val="18"/>
          <w:szCs w:val="18"/>
          <w:color w:val="auto"/>
        </w:rPr>
        <w:t>For our anti-CD122 antagonist antibody program, our clinical competitors include other anti-CD122 antagonist antibodies, auremolimab (Incyte), in Phase 1 development for the treatment of vitiligo and FB-102 (Forte Bioscience) in Phase 1 development, and three anti-IL-15 monoclonal antibodies, AMG 714 (Amgen), currently in Phase 2 development for the treatment of vitiligo, CALY-002 (Calypso, which Novartis has agreed to acquire), currently in Phase 1b development for the treatment of celiac disease and eosinophilic esophagitis, and TEV-‘408 (Teva), currently in Phase 1b development for the treatment of celiac disease.</w:t>
      </w:r>
    </w:p>
    <w:p>
      <w:pPr>
        <w:spacing w:after="0" w:line="75" w:lineRule="exact"/>
        <w:rPr>
          <w:sz w:val="20"/>
          <w:szCs w:val="20"/>
          <w:color w:val="auto"/>
        </w:rPr>
      </w:pPr>
    </w:p>
    <w:p>
      <w:pPr>
        <w:ind w:right="160" w:firstLine="567"/>
        <w:spacing w:after="0" w:line="266" w:lineRule="auto"/>
        <w:rPr>
          <w:sz w:val="20"/>
          <w:szCs w:val="20"/>
          <w:color w:val="auto"/>
        </w:rPr>
      </w:pPr>
      <w:r>
        <w:rPr>
          <w:rFonts w:ascii="Times New Roman" w:cs="Times New Roman" w:eastAsia="Times New Roman" w:hAnsi="Times New Roman"/>
          <w:sz w:val="18"/>
          <w:szCs w:val="18"/>
          <w:color w:val="auto"/>
        </w:rPr>
        <w:t>For our anti-BDCA2 program, our competitors include another anti-BDCA2 antibody, litifilimab (Biogen) in Phase 3 development for SLE and CLE, and an anti-ILT7 antibody, daxdilimab (Amgen) in Phase 2 development for dermatomyositis or anti-synthetase inflammatory myositis, and discoid lupus erythematosus.</w:t>
      </w:r>
    </w:p>
    <w:p>
      <w:pPr>
        <w:spacing w:after="0" w:line="68"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For imsidolimab in the treatment of GPP, our competitors include another anti-IL-36 receptor antibody called SPEVIGO or spesolimab (Boehringer Ingelheim), approved for GPP.</w:t>
      </w:r>
    </w:p>
    <w:p>
      <w:pPr>
        <w:spacing w:after="0" w:line="54" w:lineRule="exact"/>
        <w:rPr>
          <w:sz w:val="20"/>
          <w:szCs w:val="20"/>
          <w:color w:val="auto"/>
        </w:rPr>
      </w:pPr>
    </w:p>
    <w:p>
      <w:pPr>
        <w:ind w:right="60" w:firstLine="567"/>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biosimilar products. Even if our product candidates achieve marketing approval, they may be priced at a significant premium over competitive biosimilar products if any have been approved by then.</w:t>
      </w:r>
    </w:p>
    <w:p>
      <w:pPr>
        <w:spacing w:after="0" w:line="79" w:lineRule="exact"/>
        <w:rPr>
          <w:sz w:val="20"/>
          <w:szCs w:val="20"/>
          <w:color w:val="auto"/>
        </w:rPr>
      </w:pPr>
    </w:p>
    <w:p>
      <w:pPr>
        <w:ind w:right="180" w:firstLine="567"/>
        <w:spacing w:after="0" w:line="258"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compete effectively. Technological advances or products developed by our competitors may render our technologies or product candidates obsolete, less competitive or not economical.</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1" w:lineRule="exact"/>
        <w:rPr>
          <w:sz w:val="20"/>
          <w:szCs w:val="20"/>
          <w:color w:val="auto"/>
        </w:rPr>
      </w:pPr>
    </w:p>
    <w:p>
      <w:pPr>
        <w:ind w:right="80" w:firstLine="567"/>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68" w:lineRule="exact"/>
        <w:rPr>
          <w:sz w:val="20"/>
          <w:szCs w:val="20"/>
          <w:color w:val="auto"/>
        </w:rPr>
      </w:pPr>
    </w:p>
    <w:p>
      <w:pPr>
        <w:ind w:left="900" w:hanging="40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planned clinical trials;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900" w:right="80" w:hanging="406"/>
        <w:spacing w:after="0" w:line="282"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products, if approved, such as boxed warnings or contraindications in labeling or a REMS, if any, which may not be required of alternative treatments and competitor products;</w:t>
      </w:r>
    </w:p>
    <w:p>
      <w:pPr>
        <w:spacing w:after="0" w:line="53"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 parties and government authorities;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17"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w:t>
      </w:r>
    </w:p>
    <w:p>
      <w:pPr>
        <w:spacing w:after="0" w:line="185" w:lineRule="exact"/>
        <w:rPr>
          <w:sz w:val="20"/>
          <w:szCs w:val="20"/>
          <w:color w:val="auto"/>
        </w:rPr>
      </w:pPr>
    </w:p>
    <w:p>
      <w:pPr>
        <w:ind w:right="40" w:firstLine="567"/>
        <w:spacing w:after="0" w:line="282"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15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67"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team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4" w:name="page45"/>
    <w:bookmarkEnd w:id="44"/>
    <w:p>
      <w:pPr>
        <w:spacing w:after="0" w:line="29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67"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rely, and expect to continue to rely, on third parties, including manufacturers based in China, for the manufacture of our product candidates and future product candidates. We and our contract manufacturers must comply with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spacing w:after="0" w:line="84" w:lineRule="exact"/>
        <w:rPr>
          <w:sz w:val="20"/>
          <w:szCs w:val="20"/>
          <w:color w:val="auto"/>
        </w:rPr>
      </w:pPr>
    </w:p>
    <w:p>
      <w:pPr>
        <w:ind w:right="40" w:firstLine="567"/>
        <w:spacing w:after="0" w:line="261" w:lineRule="auto"/>
        <w:rPr>
          <w:sz w:val="20"/>
          <w:szCs w:val="20"/>
          <w:color w:val="auto"/>
        </w:rPr>
      </w:pPr>
      <w:r>
        <w:rPr>
          <w:rFonts w:ascii="Times New Roman" w:cs="Times New Roman" w:eastAsia="Times New Roman" w:hAnsi="Times New Roman"/>
          <w:sz w:val="18"/>
          <w:szCs w:val="18"/>
          <w:color w:val="auto"/>
        </w:rPr>
        <w:t>Furthermore, all of our therapeutic antibodies are manufactured by starting with cells which are stored in a cell bank. We have one master cell bank for each antibody manufactured in accordance with cGMP and create multiple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spacing w:after="0" w:line="72"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spacing w:after="0" w:line="84" w:lineRule="exact"/>
        <w:rPr>
          <w:sz w:val="20"/>
          <w:szCs w:val="20"/>
          <w:color w:val="auto"/>
        </w:rPr>
      </w:pPr>
    </w:p>
    <w:p>
      <w:pPr>
        <w:ind w:firstLine="567"/>
        <w:spacing w:after="0" w:line="252"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political, economic or public health events could cause such interruptions in the future. Further,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U.S. and China or other countries, what products and services may be subject to such actions or what actions may be taken by the other countries in retaliation.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9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may result in shipment delays, inventory shortages, lot failures, product withdrawals or recalls, or other interruptions in the supply of our product candidates or products.</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macroeconomic and geopolitical environment may have a material impact on the U.S. and global economies and could materially impact our business, financial condition and results of operations.</w:t>
      </w:r>
    </w:p>
    <w:p>
      <w:pPr>
        <w:spacing w:after="0" w:line="51"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The macroeconomic and geopolitical environment, including inflation, increased volatility in interest rates and the debt and equity markets, instability in the global banking system, global health crises and pandemics and geopolitical conflict have had, and may continue to have, an adverse impact on global economic conditions, which could have an adverse effect on our business and financial condition, including impairing our ability to raise additional capital on favorable terms.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51" w:lineRule="exact"/>
        <w:rPr>
          <w:sz w:val="20"/>
          <w:szCs w:val="20"/>
          <w:color w:val="auto"/>
        </w:rPr>
      </w:pPr>
    </w:p>
    <w:p>
      <w:pPr>
        <w:ind w:right="120" w:firstLine="567"/>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7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in every year except fiscal year 2014. For the six months ended June 30, 2024, we had $18.2 million in collaboration revenue and a net loss of $90.6 million. For the six months ended June 30, 2023, we had $4.8 million in collaboration revenue and a net loss of $84.1 million. As of June 30, 2024, we had an accumulated deficit of $704.7 million.</w:t>
      </w:r>
    </w:p>
    <w:p>
      <w:pPr>
        <w:spacing w:after="0" w:line="68"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 xml:space="preserve">We have financed our operations primarily through our initial public offering of common stock in January 2017, our follow-on public offerings of common stock in October 2017 and September 2018, our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Royalty Monetization Agreement and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Amendment, and our Zejula Royalty Monetization Agreement. We have devoted substantially all of our efforts to research and development. Rosnilimab and ANB032 are in Phase 2 clinical development and we expect that it will be several years, if ever, before any of our active product candidates are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8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existing and enter into new collaboration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preclinical studies and initiate clinical trials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approvals for the product candidates we develop or developed under our collaboration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executive, clinical, quality control and scientific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6" w:name="page47"/>
    <w:bookmarkEnd w:id="46"/>
    <w:p>
      <w:pPr>
        <w:spacing w:after="0" w:line="194" w:lineRule="exact"/>
        <w:rPr>
          <w:sz w:val="20"/>
          <w:szCs w:val="20"/>
          <w:color w:val="auto"/>
        </w:rPr>
      </w:pPr>
    </w:p>
    <w:p>
      <w:pPr>
        <w:ind w:left="660" w:right="4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our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our or our collaborators’ products, if any.</w:t>
      </w:r>
    </w:p>
    <w:p>
      <w:pPr>
        <w:spacing w:after="0" w:line="117" w:lineRule="exact"/>
        <w:rPr>
          <w:sz w:val="20"/>
          <w:szCs w:val="20"/>
          <w:color w:val="auto"/>
        </w:rPr>
      </w:pPr>
    </w:p>
    <w:p>
      <w:pPr>
        <w:ind w:right="20" w:firstLine="567"/>
        <w:spacing w:after="0" w:line="258" w:lineRule="auto"/>
        <w:rPr>
          <w:sz w:val="20"/>
          <w:szCs w:val="20"/>
          <w:color w:val="auto"/>
        </w:rPr>
      </w:pPr>
      <w:r>
        <w:rPr>
          <w:rFonts w:ascii="Times New Roman" w:cs="Times New Roman" w:eastAsia="Times New Roman" w:hAnsi="Times New Roman"/>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spacing w:after="0" w:line="75"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1"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As a research and development company, our operations have consumed substantial amounts of cash since our inception.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twelve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spacing w:after="0" w:line="80" w:lineRule="exact"/>
        <w:rPr>
          <w:sz w:val="20"/>
          <w:szCs w:val="20"/>
          <w:color w:val="auto"/>
        </w:rPr>
      </w:pPr>
    </w:p>
    <w:p>
      <w:pPr>
        <w:jc w:val="both"/>
        <w:ind w:firstLine="567"/>
        <w:spacing w:after="0" w:line="289" w:lineRule="auto"/>
        <w:rPr>
          <w:sz w:val="20"/>
          <w:szCs w:val="20"/>
          <w:color w:val="auto"/>
        </w:rPr>
      </w:pPr>
      <w:r>
        <w:rPr>
          <w:rFonts w:ascii="Times New Roman" w:cs="Times New Roman" w:eastAsia="Times New Roman" w:hAnsi="Times New Roman"/>
          <w:sz w:val="17"/>
          <w:szCs w:val="17"/>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our product candidates or cease operations altogether;</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research and development programs at an earlier stage than we would otherwise desire or on terms less favorable than might otherwise be available;</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future product candidates that we otherwise would seek to develop or commercialize ourselves;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9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staff to conserve resources.</w:t>
      </w:r>
    </w:p>
    <w:p>
      <w:pPr>
        <w:spacing w:after="0" w:line="117" w:lineRule="exact"/>
        <w:rPr>
          <w:sz w:val="20"/>
          <w:szCs w:val="20"/>
          <w:color w:val="auto"/>
        </w:rPr>
      </w:pPr>
    </w:p>
    <w:p>
      <w:pPr>
        <w:ind w:firstLine="567"/>
        <w:spacing w:after="0" w:line="272" w:lineRule="auto"/>
        <w:rPr>
          <w:sz w:val="20"/>
          <w:szCs w:val="20"/>
          <w:color w:val="auto"/>
        </w:rPr>
      </w:pPr>
      <w:r>
        <w:rPr>
          <w:rFonts w:ascii="Times New Roman" w:cs="Times New Roman" w:eastAsia="Times New Roman" w:hAnsi="Times New Roman"/>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rising interest rates, actual or perceived instability in the U.S. and global banking systems,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64" w:lineRule="exact"/>
        <w:rPr>
          <w:sz w:val="20"/>
          <w:szCs w:val="20"/>
          <w:color w:val="auto"/>
        </w:rPr>
      </w:pPr>
    </w:p>
    <w:p>
      <w:pPr>
        <w:ind w:left="660" w:right="2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size of clinical trials needed to show safety, efficacy and an acceptable risk/benefit profile for any of our product candidates;</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5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commercial success or failure of products sold by our collaborators, such as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by GSK, and the timing thereof;</w:t>
      </w:r>
    </w:p>
    <w:p>
      <w:pPr>
        <w:spacing w:after="0" w:line="1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enter into new collaboration agreements;</w:t>
      </w:r>
    </w:p>
    <w:p>
      <w:pPr>
        <w:spacing w:after="0" w:line="117" w:lineRule="exact"/>
        <w:rPr>
          <w:rFonts w:ascii="Times New Roman" w:cs="Times New Roman" w:eastAsia="Times New Roman" w:hAnsi="Times New Roman"/>
          <w:sz w:val="18"/>
          <w:szCs w:val="18"/>
          <w:color w:val="auto"/>
        </w:rPr>
      </w:pPr>
    </w:p>
    <w:p>
      <w:pPr>
        <w:jc w:val="both"/>
        <w:ind w:left="660" w:righ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recruiting and retaining key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any delays or cancellations of forecasted manufacturing batches;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manufacturing sites for commercial-scale manufacturing; and</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54" w:lineRule="exact"/>
        <w:rPr>
          <w:sz w:val="20"/>
          <w:szCs w:val="20"/>
          <w:color w:val="auto"/>
        </w:rPr>
      </w:pPr>
    </w:p>
    <w:p>
      <w:pPr>
        <w:ind w:right="180" w:firstLine="567"/>
        <w:spacing w:after="0" w:line="282"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1"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51" w:lineRule="exact"/>
        <w:rPr>
          <w:sz w:val="20"/>
          <w:szCs w:val="20"/>
          <w:color w:val="auto"/>
        </w:rPr>
      </w:pPr>
    </w:p>
    <w:p>
      <w:pPr>
        <w:ind w:right="180" w:firstLine="567"/>
        <w:spacing w:after="0" w:line="258" w:lineRule="auto"/>
        <w:rPr>
          <w:sz w:val="20"/>
          <w:szCs w:val="20"/>
          <w:color w:val="auto"/>
        </w:rPr>
      </w:pPr>
      <w:r>
        <w:rPr>
          <w:rFonts w:ascii="Times New Roman" w:cs="Times New Roman" w:eastAsia="Times New Roman" w:hAnsi="Times New Roman"/>
          <w:sz w:val="18"/>
          <w:szCs w:val="18"/>
          <w:color w:val="auto"/>
        </w:rPr>
        <w:t>We have entered into collaboration with GSK to develop several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For example, in October 2023, we agreed with GSK to terminate the anti-LAG-3 antagonist antibody development program under our existing collaboration. As a result, we will not receive any additional milestones or any royalties from GSK for that development program.</w:t>
      </w:r>
    </w:p>
    <w:p>
      <w:pPr>
        <w:spacing w:after="0" w:line="75"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October 2020, we settled a matter with GSK related to an alleged breach of our collaboration agreement in connection with GSK’s use of certain antibodies originally developed by us for the development of a drug not covered by the agreement. There can be no assurance that we will not encounter such issues under our collaborations with GSK or other parties in the future.</w:t>
      </w:r>
    </w:p>
    <w:p>
      <w:pPr>
        <w:spacing w:after="0" w:line="7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spacing w:after="0" w:line="51" w:lineRule="exact"/>
        <w:rPr>
          <w:sz w:val="20"/>
          <w:szCs w:val="20"/>
          <w:color w:val="auto"/>
        </w:rPr>
      </w:pPr>
    </w:p>
    <w:p>
      <w:pPr>
        <w:ind w:right="60" w:firstLine="567"/>
        <w:spacing w:after="0" w:line="253" w:lineRule="auto"/>
        <w:rPr>
          <w:sz w:val="20"/>
          <w:szCs w:val="20"/>
          <w:color w:val="auto"/>
        </w:rPr>
      </w:pPr>
      <w:r>
        <w:rPr>
          <w:rFonts w:ascii="Times New Roman" w:cs="Times New Roman" w:eastAsia="Times New Roman" w:hAnsi="Times New Roman"/>
          <w:sz w:val="18"/>
          <w:szCs w:val="18"/>
          <w:color w:val="auto"/>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including our plans to out-license our legacy product candidates, imsidolimab and etokimab.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Moreover, if we fail to establish and maintain additional collaborations related to our product candidates:</w:t>
      </w:r>
    </w:p>
    <w:p>
      <w:pPr>
        <w:spacing w:after="0" w:line="11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current or future product candidates may be terminated or delayed;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94" w:lineRule="exact"/>
        <w:rPr>
          <w:sz w:val="20"/>
          <w:szCs w:val="20"/>
          <w:color w:val="auto"/>
        </w:rPr>
      </w:pPr>
    </w:p>
    <w:p>
      <w:pPr>
        <w:ind w:left="660" w:right="10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certain of our current or future product candidates would increase significantly and we may need to seek additional financing;</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sales and marketing expertise, for which we have not budgeted;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and commercialization of any such product candidates.</w:t>
      </w:r>
    </w:p>
    <w:p>
      <w:pPr>
        <w:spacing w:after="0" w:line="22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67"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We rely on third-party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80" w:lineRule="exact"/>
        <w:rPr>
          <w:sz w:val="20"/>
          <w:szCs w:val="20"/>
          <w:color w:val="auto"/>
        </w:rPr>
      </w:pPr>
    </w:p>
    <w:p>
      <w:pPr>
        <w:ind w:right="60" w:firstLine="567"/>
        <w:spacing w:after="0" w:line="256"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completely on third parties to manufacture our nonclinical, clinical and future commercial drug supplies of any approved products.</w:t>
      </w:r>
    </w:p>
    <w:p>
      <w:pPr>
        <w:spacing w:after="0" w:line="121" w:lineRule="exact"/>
        <w:rPr>
          <w:sz w:val="20"/>
          <w:szCs w:val="20"/>
          <w:color w:val="auto"/>
        </w:rPr>
      </w:pPr>
    </w:p>
    <w:p>
      <w:pPr>
        <w:ind w:right="20" w:firstLine="567"/>
        <w:spacing w:after="0" w:line="253" w:lineRule="auto"/>
        <w:rPr>
          <w:sz w:val="20"/>
          <w:szCs w:val="20"/>
          <w:color w:val="auto"/>
        </w:rPr>
      </w:pPr>
      <w:r>
        <w:rPr>
          <w:rFonts w:ascii="Times New Roman" w:cs="Times New Roman" w:eastAsia="Times New Roman" w:hAnsi="Times New Roman"/>
          <w:sz w:val="18"/>
          <w:szCs w:val="18"/>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or otherwise, could considerably harm our business and ability to generate revenue and delay completion of our clinical trials, product testing and potential regulatory approval of our product candidates.</w:t>
      </w:r>
    </w:p>
    <w:p>
      <w:pPr>
        <w:spacing w:after="0" w:line="86" w:lineRule="exact"/>
        <w:rPr>
          <w:sz w:val="20"/>
          <w:szCs w:val="20"/>
          <w:color w:val="auto"/>
        </w:rPr>
      </w:pPr>
    </w:p>
    <w:p>
      <w:pPr>
        <w:ind w:right="180" w:firstLine="567"/>
        <w:spacing w:after="0" w:line="266" w:lineRule="auto"/>
        <w:rPr>
          <w:sz w:val="20"/>
          <w:szCs w:val="20"/>
          <w:color w:val="auto"/>
        </w:rPr>
      </w:pPr>
      <w:r>
        <w:rPr>
          <w:rFonts w:ascii="Times New Roman" w:cs="Times New Roman" w:eastAsia="Times New Roman" w:hAnsi="Times New Roman"/>
          <w:sz w:val="18"/>
          <w:szCs w:val="18"/>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68" w:lineRule="exact"/>
        <w:rPr>
          <w:sz w:val="20"/>
          <w:szCs w:val="20"/>
          <w:color w:val="auto"/>
        </w:rPr>
      </w:pPr>
    </w:p>
    <w:p>
      <w:pPr>
        <w:ind w:right="100" w:firstLine="567"/>
        <w:spacing w:after="0" w:line="261" w:lineRule="auto"/>
        <w:rPr>
          <w:sz w:val="20"/>
          <w:szCs w:val="20"/>
          <w:color w:val="auto"/>
        </w:rPr>
      </w:pPr>
      <w:r>
        <w:rPr>
          <w:rFonts w:ascii="Times New Roman" w:cs="Times New Roman" w:eastAsia="Times New Roman" w:hAnsi="Times New Roman"/>
          <w:sz w:val="18"/>
          <w:szCs w:val="18"/>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51"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 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2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The failure to obtain regulatory approval in international jurisdictions would prevent us or our collaborators from marketing our product candidates outside the United States.</w:t>
      </w:r>
    </w:p>
    <w:p>
      <w:pPr>
        <w:spacing w:after="0" w:line="51"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81" w:lineRule="exact"/>
        <w:rPr>
          <w:sz w:val="20"/>
          <w:szCs w:val="20"/>
          <w:color w:val="auto"/>
        </w:rPr>
      </w:pPr>
    </w:p>
    <w:p>
      <w:pPr>
        <w:ind w:right="120" w:firstLine="567"/>
        <w:spacing w:after="0" w:line="258" w:lineRule="auto"/>
        <w:rPr>
          <w:sz w:val="20"/>
          <w:szCs w:val="20"/>
          <w:color w:val="auto"/>
        </w:rPr>
      </w:pPr>
      <w:r>
        <w:rPr>
          <w:rFonts w:ascii="Times New Roman" w:cs="Times New Roman" w:eastAsia="Times New Roman" w:hAnsi="Times New Roman"/>
          <w:sz w:val="18"/>
          <w:szCs w:val="18"/>
          <w:color w:val="auto"/>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or our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our collaborators may not successfully commercialize any product candidate for which marketing approval is obtained.</w:t>
      </w:r>
    </w:p>
    <w:p>
      <w:pPr>
        <w:spacing w:after="0" w:line="80" w:lineRule="exact"/>
        <w:rPr>
          <w:sz w:val="20"/>
          <w:szCs w:val="20"/>
          <w:color w:val="auto"/>
        </w:rPr>
      </w:pPr>
    </w:p>
    <w:p>
      <w:pPr>
        <w:ind w:right="20" w:firstLine="567"/>
        <w:spacing w:after="0" w:line="282"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spacing w:after="0" w:line="79"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spacing w:after="0" w:line="84"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86"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79" w:lineRule="exact"/>
        <w:rPr>
          <w:sz w:val="20"/>
          <w:szCs w:val="20"/>
          <w:color w:val="auto"/>
        </w:rPr>
      </w:pPr>
    </w:p>
    <w:p>
      <w:pPr>
        <w:ind w:right="160" w:firstLine="567"/>
        <w:spacing w:after="0" w:line="261" w:lineRule="auto"/>
        <w:rPr>
          <w:sz w:val="20"/>
          <w:szCs w:val="20"/>
          <w:color w:val="auto"/>
        </w:rPr>
      </w:pPr>
      <w:r>
        <w:rPr>
          <w:rFonts w:ascii="Times New Roman" w:cs="Times New Roman" w:eastAsia="Times New Roman" w:hAnsi="Times New Roman"/>
          <w:sz w:val="18"/>
          <w:szCs w:val="18"/>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72" w:lineRule="exact"/>
        <w:rPr>
          <w:sz w:val="20"/>
          <w:szCs w:val="20"/>
          <w:color w:val="auto"/>
        </w:rPr>
      </w:pPr>
    </w:p>
    <w:p>
      <w:pPr>
        <w:ind w:right="340" w:firstLine="567"/>
        <w:spacing w:after="0" w:line="258" w:lineRule="auto"/>
        <w:rPr>
          <w:sz w:val="20"/>
          <w:szCs w:val="20"/>
          <w:color w:val="auto"/>
        </w:rPr>
      </w:pPr>
      <w:r>
        <w:rPr>
          <w:rFonts w:ascii="Times New Roman" w:cs="Times New Roman" w:eastAsia="Times New Roman" w:hAnsi="Times New Roman"/>
          <w:sz w:val="18"/>
          <w:szCs w:val="18"/>
          <w:color w:val="auto"/>
        </w:rPr>
        <w:t>If we or our collaborators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7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Healthcare legislative reform measures may increase the difficulty and cost for us or our collaborators to obtain marketing approval of and commercialize our product candidates and affect the pricing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94"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spacing w:after="0" w:line="81" w:lineRule="exact"/>
        <w:rPr>
          <w:sz w:val="20"/>
          <w:szCs w:val="20"/>
          <w:color w:val="auto"/>
        </w:rPr>
      </w:pPr>
    </w:p>
    <w:p>
      <w:pPr>
        <w:ind w:right="20" w:firstLine="567"/>
        <w:spacing w:after="0" w:line="261" w:lineRule="auto"/>
        <w:rPr>
          <w:sz w:val="20"/>
          <w:szCs w:val="20"/>
          <w:color w:val="auto"/>
        </w:rPr>
      </w:pPr>
      <w:r>
        <w:rPr>
          <w:rFonts w:ascii="Times New Roman" w:cs="Times New Roman" w:eastAsia="Times New Roman" w:hAnsi="Times New Roman"/>
          <w:sz w:val="18"/>
          <w:szCs w:val="18"/>
          <w:color w:val="auto"/>
        </w:rPr>
        <w:t>For example,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spacing w:after="0" w:line="72" w:lineRule="exact"/>
        <w:rPr>
          <w:sz w:val="20"/>
          <w:szCs w:val="20"/>
          <w:color w:val="auto"/>
        </w:rPr>
      </w:pPr>
    </w:p>
    <w:p>
      <w:pPr>
        <w:ind w:right="60" w:firstLine="567"/>
        <w:spacing w:after="0" w:line="25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federal and state levels to reduce healthcare expenditures. For example, several healthcare reform initiatives culminated in the enactment of the IRA, in August 2022, which allows, among other things, the HHS to negotiate the selling price of certain drugs and biologics that CMS reimburses under Medicare Part B and Part D, although this only applies to high-expenditure single-source drugs that have been approved for at least 7 years (11 years for biologics). The negotiated prices, which will first become effective in 2026, will be capped at a statutory ceiling price. Beginning in January 2023 for Medicare Part B and October 2022 for Medicare Part D,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are taking effect progressively starting in 2023, although they are subject to legal challenges. For example, the provisions related to the negotiation of selling prices of high-expenditure single-source drugs and biologics have been challenged in multiple lawsuits. Thus, it is unclear how the IRA will be implemented but it will likely have a significant impact on the pharmaceutical industry and the pricing of our products and product candidates. The adoption of restrictive price controls in new jurisdictions, more restrictive controls in existing jurisdictions or the failure to obtain or maintain timely or adequate pricing could also adversely impact revenue. We expect pricing pressures will continue globally.</w:t>
      </w:r>
    </w:p>
    <w:p>
      <w:pPr>
        <w:spacing w:after="0" w:line="85" w:lineRule="exact"/>
        <w:rPr>
          <w:sz w:val="20"/>
          <w:szCs w:val="20"/>
          <w:color w:val="auto"/>
        </w:rPr>
      </w:pPr>
    </w:p>
    <w:p>
      <w:pPr>
        <w:ind w:right="80" w:firstLine="567"/>
        <w:spacing w:after="0" w:line="258"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We cannot predict the reform initiatives that may be adopted in the future or whether initiatives that have been adopted will be repealed or modified.</w:t>
      </w:r>
    </w:p>
    <w:p>
      <w:pPr>
        <w:spacing w:after="0" w:line="75" w:lineRule="exact"/>
        <w:rPr>
          <w:sz w:val="20"/>
          <w:szCs w:val="20"/>
          <w:color w:val="auto"/>
        </w:rPr>
      </w:pPr>
    </w:p>
    <w:p>
      <w:pPr>
        <w:ind w:right="100" w:firstLine="567"/>
        <w:spacing w:after="0" w:line="289" w:lineRule="auto"/>
        <w:rPr>
          <w:sz w:val="20"/>
          <w:szCs w:val="20"/>
          <w:color w:val="auto"/>
        </w:rPr>
      </w:pPr>
      <w:r>
        <w:rPr>
          <w:rFonts w:ascii="Times New Roman" w:cs="Times New Roman" w:eastAsia="Times New Roman" w:hAnsi="Times New Roman"/>
          <w:sz w:val="17"/>
          <w:szCs w:val="17"/>
          <w:color w:val="auto"/>
        </w:rPr>
        <w:t>We expect that the ACA, the IRA and other state or federal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5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1"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18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67" w:lineRule="exact"/>
        <w:rPr>
          <w:sz w:val="20"/>
          <w:szCs w:val="20"/>
          <w:color w:val="auto"/>
        </w:rPr>
      </w:pPr>
    </w:p>
    <w:p>
      <w:pPr>
        <w:ind w:right="20" w:firstLine="567"/>
        <w:spacing w:after="0" w:line="258" w:lineRule="auto"/>
        <w:rPr>
          <w:sz w:val="20"/>
          <w:szCs w:val="20"/>
          <w:color w:val="auto"/>
        </w:rPr>
      </w:pPr>
      <w:r>
        <w:rPr>
          <w:rFonts w:ascii="Times New Roman" w:cs="Times New Roman" w:eastAsia="Times New Roman" w:hAnsi="Times New Roman"/>
          <w:sz w:val="18"/>
          <w:szCs w:val="18"/>
          <w:color w:val="auto"/>
        </w:rPr>
        <w:t>Health care providers and third-party payors play a primary role in the recommendation and prescription of any product candidates for which we or our collaborators obtain marketing approval. Our future arrangements with third-party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spacing w:after="0" w:line="75" w:lineRule="exact"/>
        <w:rPr>
          <w:sz w:val="20"/>
          <w:szCs w:val="20"/>
          <w:color w:val="auto"/>
        </w:rPr>
      </w:pPr>
    </w:p>
    <w:p>
      <w:pPr>
        <w:ind w:left="660" w:right="14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executing or attempting to execute a scheme to defraud any health care benefit program or making false statements relating to health care matters;</w:t>
      </w:r>
    </w:p>
    <w:p>
      <w:pPr>
        <w:spacing w:after="0" w:line="53"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67"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54" w:lineRule="exact"/>
        <w:rPr>
          <w:sz w:val="20"/>
          <w:szCs w:val="20"/>
          <w:color w:val="auto"/>
        </w:rPr>
      </w:pPr>
    </w:p>
    <w:p>
      <w:pPr>
        <w:ind w:right="60" w:firstLine="567"/>
        <w:spacing w:after="0" w:line="261" w:lineRule="auto"/>
        <w:rPr>
          <w:sz w:val="20"/>
          <w:szCs w:val="20"/>
          <w:color w:val="auto"/>
        </w:rPr>
      </w:pPr>
      <w:r>
        <w:rPr>
          <w:rFonts w:ascii="Times New Roman" w:cs="Times New Roman" w:eastAsia="Times New Roman" w:hAnsi="Times New Roman"/>
          <w:sz w:val="18"/>
          <w:szCs w:val="18"/>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72" w:lineRule="exact"/>
        <w:rPr>
          <w:sz w:val="20"/>
          <w:szCs w:val="20"/>
          <w:color w:val="auto"/>
        </w:rPr>
      </w:pPr>
    </w:p>
    <w:p>
      <w:pPr>
        <w:ind w:right="240" w:firstLine="567"/>
        <w:spacing w:after="0" w:line="282" w:lineRule="auto"/>
        <w:rPr>
          <w:sz w:val="20"/>
          <w:szCs w:val="20"/>
          <w:color w:val="auto"/>
        </w:rPr>
      </w:pPr>
      <w:r>
        <w:rPr>
          <w:rFonts w:ascii="Times New Roman" w:cs="Times New Roman" w:eastAsia="Times New Roman" w:hAnsi="Times New Roman"/>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comply with privacy and data security laws, regulations and standards may cause our business to be materially adversely affected.</w:t>
      </w:r>
    </w:p>
    <w:p>
      <w:pPr>
        <w:spacing w:after="0" w:line="121" w:lineRule="exact"/>
        <w:rPr>
          <w:sz w:val="20"/>
          <w:szCs w:val="20"/>
          <w:color w:val="auto"/>
        </w:rPr>
      </w:pPr>
    </w:p>
    <w:p>
      <w:pPr>
        <w:ind w:right="20" w:firstLine="567"/>
        <w:spacing w:after="0" w:line="253" w:lineRule="auto"/>
        <w:rPr>
          <w:sz w:val="20"/>
          <w:szCs w:val="20"/>
          <w:color w:val="auto"/>
        </w:rPr>
      </w:pPr>
      <w:r>
        <w:rPr>
          <w:rFonts w:ascii="Times New Roman" w:cs="Times New Roman" w:eastAsia="Times New Roman" w:hAnsi="Times New Roman"/>
          <w:sz w:val="18"/>
          <w:szCs w:val="18"/>
          <w:color w:val="auto"/>
        </w:rPr>
        <w:t>We maintain a quantity of sensitive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In contrast, the EU and United Kingdom (“UK”) GDPR, which applies extraterritorially, imposes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information from the European Economic Area/UK/Switzerland to countries not deemed to have adequate data protections laws. The GDPR also provides that countries in the European Economic Area may establish their own laws and regulations further restricting the processing of certain personal information, including genetic data, biometric data, and health data. Companies that must comply with the GDPR face increased compliance obligations and risk, including more robust regulatory enforcement of data protection requirements and potential fines for noncompliance of up to €20 million (approximately $22.6 million) or 4 percent of the annual global revenues of the noncompliant company, whichever is greater.</w:t>
      </w:r>
    </w:p>
    <w:p>
      <w:pPr>
        <w:spacing w:after="0" w:line="79"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California enacted the California Consumer Privacy Act (the “CCPA”), later amended by ballot measure through the California Privacy Rights Act (the “CPRA”). Failure to comply with the CCPA and the CPRA may result in significant civil penalties, injunctive relief, or statutory or actual damages as determined by the California Privacy Protection Agency and California Attorney General through its investigative authority. Many other states have or are considering enacting comparable consumer privacy laws. Compliance with this new privacy legislation may result in additional costs and expense of resources to maintain compliance. There is also discussion in the U.S. of a new comprehensive federal data privacy law to which we would become subject if it is enacted.</w:t>
      </w:r>
    </w:p>
    <w:p>
      <w:pPr>
        <w:spacing w:after="0" w:line="80" w:lineRule="exact"/>
        <w:rPr>
          <w:sz w:val="20"/>
          <w:szCs w:val="20"/>
          <w:color w:val="auto"/>
        </w:rPr>
      </w:pPr>
    </w:p>
    <w:p>
      <w:pPr>
        <w:ind w:right="180" w:firstLine="567"/>
        <w:spacing w:after="0" w:line="261" w:lineRule="auto"/>
        <w:rPr>
          <w:sz w:val="20"/>
          <w:szCs w:val="20"/>
          <w:color w:val="auto"/>
        </w:rPr>
      </w:pPr>
      <w:r>
        <w:rPr>
          <w:rFonts w:ascii="Times New Roman" w:cs="Times New Roman" w:eastAsia="Times New Roman" w:hAnsi="Times New Roman"/>
          <w:sz w:val="18"/>
          <w:szCs w:val="18"/>
          <w:color w:val="auto"/>
        </w:rPr>
        <w:t>We cannot provide assurance that (i) current or future legislation will not prevent us from generating or maintaining personal information, or (ii) patients will consent to the use of their personal information (as necessary). Either of these circumstances may prevent us from undertaking or continuing essential research and development, manufacturing, and commercialization, which could have a material adverse effect on our business, results of operations, financial condition, and prospects.</w:t>
      </w:r>
    </w:p>
    <w:p>
      <w:pPr>
        <w:spacing w:after="0" w:line="72" w:lineRule="exact"/>
        <w:rPr>
          <w:sz w:val="20"/>
          <w:szCs w:val="20"/>
          <w:color w:val="auto"/>
        </w:rPr>
      </w:pPr>
    </w:p>
    <w:p>
      <w:pPr>
        <w:ind w:firstLine="567"/>
        <w:spacing w:after="0" w:line="256" w:lineRule="auto"/>
        <w:rPr>
          <w:sz w:val="20"/>
          <w:szCs w:val="20"/>
          <w:color w:val="auto"/>
        </w:rPr>
      </w:pPr>
      <w:r>
        <w:rPr>
          <w:rFonts w:ascii="Times New Roman" w:cs="Times New Roman" w:eastAsia="Times New Roman" w:hAnsi="Times New Roman"/>
          <w:sz w:val="18"/>
          <w:szCs w:val="18"/>
          <w:color w:val="auto"/>
        </w:rPr>
        <w:t>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 data or a third-party’s personal information could subject us to individual or consumer class action litigation and governmental investigations and proceedings by federal, state, and local regulatory entities in the U.S. and by international regulatory entities. Compliance with these and any other applicable privacy and data security laws and regulations is a rigorous and time-intensive process, and we may be required to put in place additional mechanisms ensuring compliance with existing and new data protection rules and possible government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employees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20" w:firstLine="567"/>
        <w:spacing w:after="0" w:line="269" w:lineRule="auto"/>
        <w:rPr>
          <w:sz w:val="20"/>
          <w:szCs w:val="20"/>
          <w:color w:val="auto"/>
        </w:rPr>
      </w:pPr>
      <w:r>
        <w:rPr>
          <w:rFonts w:ascii="Times New Roman" w:cs="Times New Roman" w:eastAsia="Times New Roman" w:hAnsi="Times New Roman"/>
          <w:sz w:val="17"/>
          <w:szCs w:val="17"/>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86" w:lineRule="exact"/>
        <w:rPr>
          <w:sz w:val="20"/>
          <w:szCs w:val="20"/>
          <w:color w:val="auto"/>
        </w:rPr>
      </w:pPr>
    </w:p>
    <w:p>
      <w:pPr>
        <w:ind w:right="60" w:firstLine="567"/>
        <w:spacing w:after="0" w:line="255" w:lineRule="auto"/>
        <w:rPr>
          <w:sz w:val="20"/>
          <w:szCs w:val="20"/>
          <w:color w:val="auto"/>
        </w:rPr>
      </w:pPr>
      <w:r>
        <w:rPr>
          <w:rFonts w:ascii="Times New Roman" w:cs="Times New Roman" w:eastAsia="Times New Roman" w:hAnsi="Times New Roman"/>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81" w:lineRule="exact"/>
        <w:rPr>
          <w:sz w:val="20"/>
          <w:szCs w:val="20"/>
          <w:color w:val="auto"/>
        </w:rPr>
      </w:pPr>
    </w:p>
    <w:p>
      <w:pPr>
        <w:ind w:right="60" w:firstLine="567"/>
        <w:spacing w:after="0" w:line="253" w:lineRule="auto"/>
        <w:rPr>
          <w:sz w:val="20"/>
          <w:szCs w:val="20"/>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84" w:lineRule="exact"/>
        <w:rPr>
          <w:sz w:val="20"/>
          <w:szCs w:val="20"/>
          <w:color w:val="auto"/>
        </w:rPr>
      </w:pPr>
    </w:p>
    <w:p>
      <w:pPr>
        <w:ind w:right="40" w:firstLine="567"/>
        <w:spacing w:after="0" w:line="254"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86" w:lineRule="exact"/>
        <w:rPr>
          <w:sz w:val="20"/>
          <w:szCs w:val="20"/>
          <w:color w:val="auto"/>
        </w:rPr>
      </w:pPr>
    </w:p>
    <w:p>
      <w:pPr>
        <w:ind w:right="20" w:firstLine="567"/>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ind w:right="20" w:firstLine="567"/>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68" w:lineRule="exact"/>
        <w:rPr>
          <w:sz w:val="20"/>
          <w:szCs w:val="20"/>
          <w:color w:val="auto"/>
        </w:rPr>
      </w:pPr>
    </w:p>
    <w:p>
      <w:pPr>
        <w:ind w:right="80" w:firstLine="567"/>
        <w:spacing w:after="0" w:line="261"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72" w:lineRule="exact"/>
        <w:rPr>
          <w:sz w:val="20"/>
          <w:szCs w:val="20"/>
          <w:color w:val="auto"/>
        </w:rPr>
      </w:pPr>
    </w:p>
    <w:p>
      <w:pPr>
        <w:ind w:right="60" w:firstLine="567"/>
        <w:spacing w:after="0" w:line="258"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75" w:lineRule="exact"/>
        <w:rPr>
          <w:sz w:val="20"/>
          <w:szCs w:val="20"/>
          <w:color w:val="auto"/>
        </w:rPr>
      </w:pPr>
    </w:p>
    <w:p>
      <w:pPr>
        <w:ind w:right="80" w:firstLine="567"/>
        <w:spacing w:after="0" w:line="256"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9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third party as a defendant in a district court action. The AIA and its implementation could increase the uncertainties and costs surrounding the prosecution of our patent applications and the enforcement or defense of our issued patents.</w:t>
      </w:r>
    </w:p>
    <w:p>
      <w:pPr>
        <w:spacing w:after="0" w:line="54" w:lineRule="exact"/>
        <w:rPr>
          <w:sz w:val="20"/>
          <w:szCs w:val="20"/>
          <w:color w:val="auto"/>
        </w:rPr>
      </w:pPr>
    </w:p>
    <w:p>
      <w:pPr>
        <w:ind w:right="20" w:firstLine="567"/>
        <w:spacing w:after="0" w:line="253" w:lineRule="auto"/>
        <w:rPr>
          <w:sz w:val="20"/>
          <w:szCs w:val="20"/>
          <w:color w:val="auto"/>
        </w:rPr>
      </w:pPr>
      <w:r>
        <w:rPr>
          <w:rFonts w:ascii="Times New Roman" w:cs="Times New Roman" w:eastAsia="Times New Roman" w:hAnsi="Times New Roman"/>
          <w:sz w:val="18"/>
          <w:szCs w:val="18"/>
          <w:color w:val="auto"/>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over the past decade, the U.S. Supreme Court and the U.S. Court of Appeals for the Federal Circuit have rendered decisions in several patent cases such as </w:t>
      </w:r>
      <w:r>
        <w:rPr>
          <w:rFonts w:ascii="Times New Roman" w:cs="Times New Roman" w:eastAsia="Times New Roman" w:hAnsi="Times New Roman"/>
          <w:sz w:val="18"/>
          <w:szCs w:val="18"/>
          <w:i w:val="1"/>
          <w:iCs w:val="1"/>
          <w:color w:val="auto"/>
        </w:rPr>
        <w:t>Association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Molecular Pathology v. Myriad Genetics,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BRCA1- &amp; BRCA2-Based Hereditary Cancer Test Patent Litig</w:t>
      </w:r>
      <w:r>
        <w:rPr>
          <w:rFonts w:ascii="Times New Roman" w:cs="Times New Roman" w:eastAsia="Times New Roman" w:hAnsi="Times New Roman"/>
          <w:sz w:val="18"/>
          <w:szCs w:val="18"/>
          <w:color w:val="auto"/>
        </w:rPr>
        <w:t>., Mayo Collaborative Services 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18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80"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9" w:name="page60"/>
    <w:bookmarkEnd w:id="59"/>
    <w:p>
      <w:pPr>
        <w:spacing w:after="0" w:line="19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information by any of our third-party collaborators. A competitor’s discovery of our trade secrets would impair our competitive position and have an adverse impact on our business.</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1"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84" w:lineRule="exact"/>
        <w:rPr>
          <w:sz w:val="20"/>
          <w:szCs w:val="20"/>
          <w:color w:val="auto"/>
        </w:rPr>
      </w:pPr>
    </w:p>
    <w:p>
      <w:pPr>
        <w:ind w:right="120" w:firstLine="567"/>
        <w:spacing w:after="0" w:line="261" w:lineRule="auto"/>
        <w:rPr>
          <w:sz w:val="20"/>
          <w:szCs w:val="20"/>
          <w:color w:val="auto"/>
        </w:rPr>
      </w:pPr>
      <w:r>
        <w:rPr>
          <w:rFonts w:ascii="Times New Roman" w:cs="Times New Roman" w:eastAsia="Times New Roman" w:hAnsi="Times New Roman"/>
          <w:sz w:val="18"/>
          <w:szCs w:val="18"/>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72" w:lineRule="exact"/>
        <w:rPr>
          <w:sz w:val="20"/>
          <w:szCs w:val="20"/>
          <w:color w:val="auto"/>
        </w:rPr>
      </w:pPr>
    </w:p>
    <w:p>
      <w:pPr>
        <w:ind w:right="40" w:firstLine="567"/>
        <w:spacing w:after="0" w:line="253" w:lineRule="auto"/>
        <w:rPr>
          <w:sz w:val="20"/>
          <w:szCs w:val="20"/>
          <w:color w:val="auto"/>
        </w:rPr>
      </w:pPr>
      <w:r>
        <w:rPr>
          <w:rFonts w:ascii="Times New Roman" w:cs="Times New Roman" w:eastAsia="Times New Roman" w:hAnsi="Times New Roman"/>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86" w:lineRule="exact"/>
        <w:rPr>
          <w:sz w:val="20"/>
          <w:szCs w:val="20"/>
          <w:color w:val="auto"/>
        </w:rPr>
      </w:pPr>
    </w:p>
    <w:p>
      <w:pPr>
        <w:jc w:val="both"/>
        <w:ind w:right="140" w:firstLine="567"/>
        <w:spacing w:after="0" w:line="261"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72" w:lineRule="exact"/>
        <w:rPr>
          <w:sz w:val="20"/>
          <w:szCs w:val="20"/>
          <w:color w:val="auto"/>
        </w:rPr>
      </w:pPr>
    </w:p>
    <w:p>
      <w:pPr>
        <w:ind w:right="80" w:firstLine="567"/>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76" w:lineRule="exact"/>
        <w:rPr>
          <w:sz w:val="20"/>
          <w:szCs w:val="20"/>
          <w:color w:val="auto"/>
        </w:rPr>
      </w:pPr>
    </w:p>
    <w:p>
      <w:pPr>
        <w:ind w:right="1420"/>
        <w:spacing w:after="0" w:line="286" w:lineRule="auto"/>
        <w:rPr>
          <w:sz w:val="20"/>
          <w:szCs w:val="20"/>
          <w:color w:val="auto"/>
        </w:rPr>
      </w:pPr>
      <w:r>
        <w:rPr>
          <w:rFonts w:ascii="Times New Roman" w:cs="Times New Roman" w:eastAsia="Times New Roman" w:hAnsi="Times New Roman"/>
          <w:sz w:val="18"/>
          <w:szCs w:val="18"/>
          <w:b w:val="1"/>
          <w:bCs w:val="1"/>
          <w:color w:val="auto"/>
        </w:rPr>
        <w:t>If we breach the license agreements related to our product candidates, we could lose the ability to continue the development and commercialization of our product candidates.</w:t>
      </w:r>
    </w:p>
    <w:p>
      <w:pPr>
        <w:spacing w:after="0" w:line="51"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licensors, licensees and collaborators, to develop, manufacture, market and sell our product candidates and use our and our licensors’, licensees’ or collaborators’ wholly owned technologies without infringing the proprietary rights of third parties. A third party may hold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7"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collaboration relationships we might enter into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us and our licensors, licensees or collaborators;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ind w:right="780" w:firstLine="567"/>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any future licensing arrangements on acceptable terms, we may be unable to successfully develop and commercialize the affected product candidates.</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67" w:lineRule="exact"/>
        <w:rPr>
          <w:sz w:val="20"/>
          <w:szCs w:val="20"/>
          <w:color w:val="auto"/>
        </w:rPr>
      </w:pPr>
    </w:p>
    <w:p>
      <w:pPr>
        <w:ind w:right="120" w:firstLine="567"/>
        <w:spacing w:after="0" w:line="256" w:lineRule="auto"/>
        <w:rPr>
          <w:sz w:val="20"/>
          <w:szCs w:val="20"/>
          <w:color w:val="auto"/>
        </w:rPr>
      </w:pPr>
      <w:r>
        <w:rPr>
          <w:rFonts w:ascii="Times New Roman" w:cs="Times New Roman" w:eastAsia="Times New Roman" w:hAnsi="Times New Roman"/>
          <w:sz w:val="18"/>
          <w:szCs w:val="18"/>
          <w:color w:val="auto"/>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79" w:lineRule="exact"/>
        <w:rPr>
          <w:sz w:val="20"/>
          <w:szCs w:val="20"/>
          <w:color w:val="auto"/>
        </w:rPr>
      </w:pPr>
    </w:p>
    <w:p>
      <w:pPr>
        <w:ind w:right="40" w:firstLine="567"/>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29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40" w:firstLine="567"/>
        <w:spacing w:after="0" w:line="256"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79"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right="60" w:firstLine="567"/>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1" w:lineRule="exact"/>
        <w:rPr>
          <w:sz w:val="20"/>
          <w:szCs w:val="20"/>
          <w:color w:val="auto"/>
        </w:rPr>
      </w:pPr>
    </w:p>
    <w:p>
      <w:pPr>
        <w:ind w:right="40" w:firstLine="567"/>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96" w:lineRule="exact"/>
        <w:rPr>
          <w:sz w:val="20"/>
          <w:szCs w:val="20"/>
          <w:color w:val="auto"/>
        </w:rPr>
      </w:pPr>
    </w:p>
    <w:p>
      <w:pPr>
        <w:ind w:right="5080"/>
        <w:spacing w:after="0" w:line="400" w:lineRule="auto"/>
        <w:rPr>
          <w:sz w:val="20"/>
          <w:szCs w:val="20"/>
          <w:color w:val="auto"/>
        </w:rPr>
      </w:pPr>
      <w:r>
        <w:rPr>
          <w:rFonts w:ascii="Times New Roman" w:cs="Times New Roman" w:eastAsia="Times New Roman" w:hAnsi="Times New Roman"/>
          <w:sz w:val="17"/>
          <w:szCs w:val="17"/>
          <w:b w:val="1"/>
          <w:bCs w:val="1"/>
          <w:color w:val="auto"/>
        </w:rPr>
        <w:t>Risks Related to Managing Growth, Operations and Macroeconomic Conditions We must attract and retain highly skilled employees in order to succeed.</w:t>
      </w:r>
    </w:p>
    <w:p>
      <w:pPr>
        <w:ind w:right="20" w:firstLine="567"/>
        <w:spacing w:after="0" w:line="266"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w:t>
      </w:r>
    </w:p>
    <w:p>
      <w:pPr>
        <w:spacing w:after="0" w:line="75" w:lineRule="exact"/>
        <w:rPr>
          <w:sz w:val="20"/>
          <w:szCs w:val="20"/>
          <w:color w:val="auto"/>
        </w:rPr>
      </w:pPr>
    </w:p>
    <w:p>
      <w:pPr>
        <w:ind w:right="100" w:firstLine="567"/>
        <w:spacing w:after="0" w:line="26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We expect to expand our development and regulatory capabilities, and as a result, we may encounter difficulties in managing our growth, which could disrupt our operations.</w:t>
      </w:r>
    </w:p>
    <w:p>
      <w:pPr>
        <w:spacing w:after="0" w:line="51" w:lineRule="exact"/>
        <w:rPr>
          <w:sz w:val="20"/>
          <w:szCs w:val="20"/>
          <w:color w:val="auto"/>
        </w:rPr>
      </w:pPr>
    </w:p>
    <w:p>
      <w:pPr>
        <w:ind w:right="140" w:firstLine="567"/>
        <w:spacing w:after="0" w:line="255" w:lineRule="auto"/>
        <w:rPr>
          <w:sz w:val="20"/>
          <w:szCs w:val="20"/>
          <w:color w:val="auto"/>
        </w:rPr>
      </w:pPr>
      <w:r>
        <w:rPr>
          <w:rFonts w:ascii="Times New Roman" w:cs="Times New Roman" w:eastAsia="Times New Roman" w:hAnsi="Times New Roman"/>
          <w:sz w:val="18"/>
          <w:szCs w:val="18"/>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vulnerable to disruption, damage and financial obligation as a result of system failures.</w:t>
      </w:r>
    </w:p>
    <w:p>
      <w:pPr>
        <w:spacing w:after="0" w:line="121" w:lineRule="exact"/>
        <w:rPr>
          <w:sz w:val="20"/>
          <w:szCs w:val="20"/>
          <w:color w:val="auto"/>
        </w:rPr>
      </w:pPr>
    </w:p>
    <w:p>
      <w:pPr>
        <w:ind w:right="100" w:firstLine="567"/>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184"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28"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ind w:right="200" w:firstLine="567"/>
        <w:spacing w:after="0" w:line="266" w:lineRule="auto"/>
        <w:rPr>
          <w:sz w:val="20"/>
          <w:szCs w:val="20"/>
          <w:color w:val="auto"/>
        </w:rPr>
      </w:pPr>
      <w:r>
        <w:rPr>
          <w:rFonts w:ascii="Times New Roman" w:cs="Times New Roman" w:eastAsia="Times New Roman" w:hAnsi="Times New Roman"/>
          <w:sz w:val="18"/>
          <w:szCs w:val="18"/>
          <w:color w:val="auto"/>
        </w:rPr>
        <w:t>Furthermore, integral parties in our supply chain are geographically concentrated and operating from single sites, increasing their vulnerability to natural disasters or other sudden, unforeseen and severe and/or SAEs. If such an event were to affect our supply chain, it could have a material adverse effect on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280" w:firstLine="567"/>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54"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collaborations, joint ventures, collaborations or capital commitments;</w:t>
      </w:r>
    </w:p>
    <w:p>
      <w:pPr>
        <w:spacing w:after="0" w:line="12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our existing collaboration agreements and announcements of new collaboration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breaches and terminations of our manufacturing agreements, collaborations agreements or other important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our common stock by us pursuant to a stock repurchase program;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biotechnology sector; and</w:t>
      </w:r>
    </w:p>
    <w:p>
      <w:pPr>
        <w:spacing w:after="0" w:line="117" w:lineRule="exact"/>
        <w:rPr>
          <w:rFonts w:ascii="Times New Roman" w:cs="Times New Roman" w:eastAsia="Times New Roman" w:hAnsi="Times New Roman"/>
          <w:sz w:val="18"/>
          <w:szCs w:val="18"/>
          <w:color w:val="auto"/>
        </w:rPr>
      </w:pPr>
    </w:p>
    <w:p>
      <w:pPr>
        <w:ind w:left="660" w:right="460" w:hanging="328"/>
        <w:spacing w:after="0" w:line="26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uncertainty and capital markets disruptions, which have been substantially impacted by geopolitical instability, actual or perceived instability in the U.S. and global banking systems, uncertainty with respect to the U.S. federal budget, and rising interest rates and inflation.</w:t>
      </w:r>
    </w:p>
    <w:p>
      <w:pPr>
        <w:spacing w:after="0" w:line="68" w:lineRule="exact"/>
        <w:rPr>
          <w:sz w:val="20"/>
          <w:szCs w:val="20"/>
          <w:color w:val="auto"/>
        </w:rPr>
      </w:pPr>
    </w:p>
    <w:p>
      <w:pPr>
        <w:ind w:right="180" w:firstLine="567"/>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9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right="180" w:firstLine="567"/>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51"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8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9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In November 2022, we entered into the Cowen Sales Agreement with Cowen, through which we may offer and sell shares of our common stock, having an aggregate offering of up to $150.0 million through Cowen as our sales agent.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80" w:firstLine="567"/>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40" w:firstLine="567"/>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cash and investments could be adversely affected if the financial institutions in which we hold our cash and investments fail.</w:t>
      </w:r>
    </w:p>
    <w:p>
      <w:pPr>
        <w:spacing w:after="0" w:line="121" w:lineRule="exact"/>
        <w:rPr>
          <w:sz w:val="20"/>
          <w:szCs w:val="20"/>
          <w:color w:val="auto"/>
        </w:rPr>
      </w:pPr>
    </w:p>
    <w:p>
      <w:pPr>
        <w:ind w:right="20" w:firstLine="567"/>
        <w:spacing w:after="0" w:line="258"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spacing w:after="0" w:line="17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80" w:firstLine="567"/>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68"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6" w:name="page67"/>
    <w:bookmarkEnd w:id="66"/>
    <w:p>
      <w:pPr>
        <w:spacing w:after="0" w:line="194"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54" w:lineRule="exact"/>
        <w:rPr>
          <w:sz w:val="20"/>
          <w:szCs w:val="20"/>
          <w:color w:val="auto"/>
        </w:rPr>
      </w:pPr>
    </w:p>
    <w:p>
      <w:pPr>
        <w:ind w:right="140" w:firstLine="567"/>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6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67" w:lineRule="exact"/>
        <w:rPr>
          <w:sz w:val="20"/>
          <w:szCs w:val="20"/>
          <w:color w:val="auto"/>
        </w:rPr>
      </w:pPr>
    </w:p>
    <w:p>
      <w:pPr>
        <w:ind w:right="40" w:firstLine="499"/>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w:t>
      </w:r>
    </w:p>
    <w:p>
      <w:pPr>
        <w:spacing w:after="0" w:line="79" w:lineRule="exact"/>
        <w:rPr>
          <w:sz w:val="20"/>
          <w:szCs w:val="20"/>
          <w:color w:val="auto"/>
        </w:rPr>
      </w:pPr>
    </w:p>
    <w:p>
      <w:pPr>
        <w:ind w:firstLine="499"/>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spacing w:after="0" w:line="75" w:lineRule="exact"/>
        <w:rPr>
          <w:sz w:val="20"/>
          <w:szCs w:val="20"/>
          <w:color w:val="auto"/>
        </w:rPr>
      </w:pPr>
    </w:p>
    <w:p>
      <w:pPr>
        <w:ind w:right="20" w:firstLine="499"/>
        <w:spacing w:after="0" w:line="252"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94" w:lineRule="exact"/>
        <w:rPr>
          <w:sz w:val="20"/>
          <w:szCs w:val="20"/>
          <w:color w:val="auto"/>
        </w:rPr>
      </w:pPr>
    </w:p>
    <w:p>
      <w:pPr>
        <w:ind w:right="60" w:firstLine="499"/>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20" w:firstLine="567"/>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plan to use our federal and state net operating loss (“NOL”) carryforwards to offset taxable income from revenue generated from operations or corporate collaborations. However, our ability to use NOL carryforwards to offset taxable income in future years could be limited.</w:t>
      </w:r>
    </w:p>
    <w:p>
      <w:pPr>
        <w:spacing w:after="0" w:line="37" w:lineRule="exact"/>
        <w:rPr>
          <w:sz w:val="20"/>
          <w:szCs w:val="20"/>
          <w:color w:val="auto"/>
        </w:rPr>
      </w:pPr>
    </w:p>
    <w:p>
      <w:pPr>
        <w:ind w:right="40" w:firstLine="567"/>
        <w:spacing w:after="0" w:line="228" w:lineRule="auto"/>
        <w:rPr>
          <w:sz w:val="20"/>
          <w:szCs w:val="20"/>
          <w:color w:val="auto"/>
        </w:rPr>
      </w:pPr>
      <w:r>
        <w:rPr>
          <w:rFonts w:ascii="Times New Roman" w:cs="Times New Roman" w:eastAsia="Times New Roman" w:hAnsi="Times New Roman"/>
          <w:sz w:val="18"/>
          <w:szCs w:val="18"/>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the benefits from the use of our NOL carryforwards may be impaired or limited under Section 382 of the Code, if we incur a cumulative ownership change of more than 50%, as interpreted by the U.S. Internal Revenue Service, over a three-year period. Under legislative changes made by the Tax Cuts and Jobs Act, the U.S. federal net operating losses incurred in 2018 and in future years may be carried forward indefinitely, but the ability to utilize such federal net operating losses to offset taxable income is limited to 80% of our taxable income before the deduction for such net operating loss carryovers. Our significant state NOLs were generated in the state of California, which provides a 20 year carry forward. State NOL carryforwards may be similarly limited by cumulative ownership changes. Any such disallowances may result in greater tax liabilities than we would incur in the absence of such a limitation, and any increased liabilities could adversely affect our business, results of operations, financial condition and cash flow.</w:t>
      </w:r>
    </w:p>
    <w:p>
      <w:pPr>
        <w:spacing w:after="0" w:line="80"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2023, we have federal NOLs of approximately $313.8 million. Of this, $52.1 million expire beginning December 31, 2030 through December 31, 2037, if not used to reduce income taxes payable in the future and $261.7 million carry forward indefinitely.</w:t>
      </w:r>
    </w:p>
    <w:p>
      <w:pPr>
        <w:spacing w:after="0" w:line="15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51" w:lineRule="exact"/>
        <w:rPr>
          <w:sz w:val="20"/>
          <w:szCs w:val="20"/>
          <w:color w:val="auto"/>
        </w:rPr>
      </w:pPr>
    </w:p>
    <w:p>
      <w:pPr>
        <w:ind w:firstLine="567"/>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meaning that we are not an investment company, an asset-backed issuer, or a majority-owned subsidiary of a parent company that is not a “smaller reporting company,” and have either: (i) a public float of less than $250 million as of our most recently completed second fiscal quarter or (ii) annual revenues of less than $100 million during the most recently completed fiscal year and (A) no public float or (B) a public float of less than $700 million as of our most recently completed second fiscal quarter.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81" w:lineRule="exact"/>
        <w:rPr>
          <w:sz w:val="20"/>
          <w:szCs w:val="20"/>
          <w:color w:val="auto"/>
        </w:rPr>
      </w:pPr>
    </w:p>
    <w:p>
      <w:pPr>
        <w:ind w:right="360" w:firstLine="567"/>
        <w:spacing w:after="0" w:line="282"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9" w:name="page70"/>
    <w:bookmarkEnd w:id="69"/>
    <w:p>
      <w:pPr>
        <w:spacing w:after="0" w:line="200" w:lineRule="exact"/>
        <w:rPr>
          <w:sz w:val="20"/>
          <w:szCs w:val="20"/>
          <w:color w:val="auto"/>
        </w:rPr>
      </w:pPr>
    </w:p>
    <w:p>
      <w:pPr>
        <w:spacing w:after="0" w:line="206"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33"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121"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On June 10, 2024, Paul Lizzul, chief medical officer of the Company, entered into a written plan for the potential sale of up to an aggregate 36,500 shares of common stock (the “New Lizzul 10b5-1 Plan”). No trades will occur under the New Lizzul 10b5-1 Plan prior to the termination of Mr. Lizzul’s existing rule 10b5-1 plan, pursuant to its terms. The plan is intended to satisfy the affirmative defense conditions of Rule 10b5-1(c) under the Exchange Act and is scheduled to terminate no later than June 10, 2025.</w:t>
      </w:r>
    </w:p>
    <w:p>
      <w:pPr>
        <w:spacing w:after="0" w:line="72"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On June 10, 2024, Eric Loumeau, chief legal officer of the Company, entered into a written plan for the potential sale of up to an aggregate 77,045 shares of common stock (the “New Loumeau 10b5-1 Plan”). The aggregate number of shares that will be sold under the New Loumeau 10b 5-1 Plan is not yet determinable because the shares available will be net of shares sold to satisfy tax withholding obligations that arise in connection with the vesting and settlement of such restricted stock unit awards. As such, for purposes of this disclosure, the aggregate number of shares of common stock available for sale reflects the aggregate maximum number of shares underlying Mr. Loumeau’s restricted stock units which may be sold, without excluding the shares that will be sold to satisfy the tax withholding obligations. No trades will occur under the New Loumeau 10b5-1 Plan prior to the termination of Mr. Loumeau’s existing 10b5-1 plan, pursuant to its terms. The plan is intended to satisfy the affirmative defense conditions of Rule 10b5-1(c) under the Exchange Act and is scheduled to terminate no later than June 30, 2025.</w:t>
      </w:r>
    </w:p>
    <w:p>
      <w:pPr>
        <w:spacing w:after="0" w:line="84"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On June 14, 2024, Dennis Mulroy, chief financial officer of the Company, entered into a written plan for the potential sale of up to an aggregate 62,350 shares of common stock (the “New Mulroy 10b5-1 Plan”). The aggregate number of shares that will be sold under the New Mulroy 10b 5-1 Plan is not yet determinable because the shares available will be net of shares sold to satisfy tax withholding obligations that arise in connection with the vesting and settlement of such restricted stock unit awards. As such, for purposes of this disclosure, the aggregate number of shares of common stock available for sale reflects the aggregate maximum number of shares underlying Mr. Mulroy’s restricted stock units which may be sold, without excluding the shares that will be sold to satisfy the tax withholding obligations. No trades will occur under the New Mulroy 10b5-1 Plan prior to the termination of Mr. Mulroy’s existing 10b5-1 plan, pursuant to its terms. The plan is intended to satisfy the affirmative defense conditions of Rule 10b5-1(c) under the Exchange Act and is scheduled to terminate no later than May 15, 2025.</w:t>
      </w:r>
    </w:p>
    <w:p>
      <w:pPr>
        <w:spacing w:after="0" w:line="84"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18"/>
          <w:szCs w:val="18"/>
          <w:color w:val="auto"/>
        </w:rPr>
        <w:t>The plans included a representation from the officer to the broker administering the plan that the officer was not in possession of any material nonpublic information regarding the Company or the securities subject to the plan. A similar representation was made to us in connection with the adoption of the plans under our Insider Trading Policy. Those representations were made as of the date of adoption of the plans and speak only as of that date. In making those representations, there is no assurance with respect to any material nonpublic information of which the directors were unaware, or with respect to any material nonpublic information acquired by the directors or the Company after the date of the representation</w:t>
      </w:r>
      <w:r>
        <w:rPr>
          <w:rFonts w:ascii="Times New Roman" w:cs="Times New Roman" w:eastAsia="Times New Roman" w:hAnsi="Times New Roman"/>
          <w:sz w:val="18"/>
          <w:szCs w:val="18"/>
          <w:color w:val="008080"/>
        </w:rPr>
        <w:t>.</w:t>
      </w:r>
    </w:p>
    <w:p>
      <w:pPr>
        <w:spacing w:after="0" w:line="75" w:lineRule="exact"/>
        <w:rPr>
          <w:sz w:val="20"/>
          <w:szCs w:val="20"/>
          <w:color w:val="auto"/>
        </w:rPr>
      </w:pPr>
    </w:p>
    <w:p>
      <w:pPr>
        <w:ind w:right="20" w:firstLine="567"/>
        <w:spacing w:after="0" w:line="282" w:lineRule="auto"/>
        <w:rPr>
          <w:sz w:val="20"/>
          <w:szCs w:val="20"/>
          <w:color w:val="auto"/>
        </w:rPr>
      </w:pPr>
      <w:r>
        <w:rPr>
          <w:rFonts w:ascii="Times New Roman" w:cs="Times New Roman" w:eastAsia="Times New Roman" w:hAnsi="Times New Roman"/>
          <w:sz w:val="18"/>
          <w:szCs w:val="18"/>
          <w:color w:val="auto"/>
        </w:rPr>
        <w:t>Other than as disclosed above, during the three months ended June 30, 2024, none of the Company’s directors or officers adopted or terminated any “Rule 10b5-1 trading arrangements” or any “non-Rule 10b5-1 trading arrangements,” as each term is defined in Item 408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below.</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1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5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40" w:type="dxa"/>
            <w:vAlign w:val="bottom"/>
            <w:gridSpan w:val="6"/>
          </w:tcPr>
          <w:p>
            <w:pPr>
              <w:ind w:left="434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10.29‡++</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Agreement and Amendment No. 1 to the Royalty Purchase Agreement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31.1</w:t>
            </w:r>
          </w:p>
        </w:tc>
        <w:tc>
          <w:tcPr>
            <w:tcW w:w="10000" w:type="dxa"/>
            <w:vAlign w:val="bottom"/>
            <w:tcBorders>
              <w:bottom w:val="single" w:sz="8" w:color="0000FF"/>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Rule 13a-14(a)/15d-14(a), as adopted pursuant to Section 302 of the Sarbanes-Oxley Act of 2002.</w:t>
            </w: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1160" w:type="dxa"/>
            <w:vAlign w:val="bottom"/>
            <w:vMerge w:val="continue"/>
          </w:tcPr>
          <w:p>
            <w:pPr>
              <w:spacing w:after="0"/>
              <w:rPr>
                <w:sz w:val="4"/>
                <w:szCs w:val="4"/>
                <w:color w:val="auto"/>
              </w:rPr>
            </w:pPr>
          </w:p>
        </w:tc>
        <w:tc>
          <w:tcPr>
            <w:tcW w:w="99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 13a-14(a)/15d-14(a), as adopted pursuant to Section 302 of the Sarbanes-Oxley Act of 2002.</w:t>
            </w:r>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31.2</w:t>
            </w:r>
          </w:p>
        </w:tc>
        <w:tc>
          <w:tcPr>
            <w:tcW w:w="9960" w:type="dxa"/>
            <w:vAlign w:val="bottom"/>
            <w:tcBorders>
              <w:bottom w:val="single" w:sz="8" w:color="0000FF"/>
            </w:tcBorders>
            <w:gridSpan w:val="4"/>
            <w:vMerge w:val="continue"/>
          </w:tcPr>
          <w:p>
            <w:pPr>
              <w:spacing w:after="0"/>
              <w:rPr>
                <w:sz w:val="20"/>
                <w:szCs w:val="20"/>
                <w:color w:val="auto"/>
              </w:rPr>
            </w:pPr>
          </w:p>
        </w:tc>
        <w:tc>
          <w:tcPr>
            <w:tcW w:w="8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1160" w:type="dxa"/>
            <w:vAlign w:val="bottom"/>
            <w:vMerge w:val="continue"/>
          </w:tcPr>
          <w:p>
            <w:pPr>
              <w:spacing w:after="0"/>
              <w:rPr>
                <w:sz w:val="4"/>
                <w:szCs w:val="4"/>
                <w:color w:val="auto"/>
              </w:rPr>
            </w:pPr>
          </w:p>
        </w:tc>
        <w:tc>
          <w:tcPr>
            <w:tcW w:w="9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9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p>
        </w:tc>
        <w:tc>
          <w:tcPr>
            <w:tcW w:w="3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600" w:type="dxa"/>
            <w:vAlign w:val="bottom"/>
            <w:gridSpan w:val="2"/>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Report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the Inline XBRL document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Label Linkbase Document</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Presentation Linkbase Document</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180" w:hanging="1154"/>
        <w:spacing w:after="0"/>
        <w:tabs>
          <w:tab w:leader="none" w:pos="118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(formatted in Inline XBRL and contained in Exhibit 101)</w:t>
      </w:r>
    </w:p>
    <w:p>
      <w:pPr>
        <w:spacing w:after="0" w:line="200" w:lineRule="exact"/>
        <w:rPr>
          <w:rFonts w:ascii="Times New Roman" w:cs="Times New Roman" w:eastAsia="Times New Roman" w:hAnsi="Times New Roman"/>
          <w:sz w:val="16"/>
          <w:szCs w:val="16"/>
          <w:color w:val="auto"/>
        </w:rPr>
      </w:pPr>
    </w:p>
    <w:p>
      <w:pPr>
        <w:spacing w:after="0" w:line="385" w:lineRule="exact"/>
        <w:rPr>
          <w:rFonts w:ascii="Times New Roman" w:cs="Times New Roman" w:eastAsia="Times New Roman" w:hAnsi="Times New Roman"/>
          <w:sz w:val="16"/>
          <w:szCs w:val="16"/>
          <w:color w:val="auto"/>
        </w:rPr>
      </w:pPr>
    </w:p>
    <w:p>
      <w:pPr>
        <w:ind w:right="820" w:firstLine="8"/>
        <w:spacing w:after="0" w:line="298" w:lineRule="auto"/>
        <w:tabs>
          <w:tab w:leader="none" w:pos="20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8" w:lineRule="exact"/>
        <w:rPr>
          <w:sz w:val="20"/>
          <w:szCs w:val="20"/>
          <w:color w:val="auto"/>
        </w:rPr>
      </w:pPr>
    </w:p>
    <w:p>
      <w:pPr>
        <w:ind w:right="420" w:firstLine="8"/>
        <w:spacing w:after="0" w:line="282" w:lineRule="auto"/>
        <w:tabs>
          <w:tab w:leader="none" w:pos="1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to this agreement have been omitted pursuant to the rules of the SEC. The Registrant will submit copies of such exhibits and schedules to the SEC upon request.</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++Certain portions of this exhibit have been omitted by means of marking such portions with asterisks because the Registrant has determined that the information is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8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3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AnaptysBio, Inc.</w:t>
      </w:r>
    </w:p>
    <w:p>
      <w:pPr>
        <w:spacing w:after="0" w:line="239" w:lineRule="exact"/>
        <w:rPr>
          <w:sz w:val="20"/>
          <w:szCs w:val="20"/>
          <w:color w:val="auto"/>
        </w:rPr>
      </w:pPr>
    </w:p>
    <w:p>
      <w:pPr>
        <w:ind w:left="20"/>
        <w:spacing w:after="0"/>
        <w:tabs>
          <w:tab w:leader="none" w:pos="620" w:val="left"/>
          <w:tab w:leader="none" w:pos="4820" w:val="left"/>
          <w:tab w:leader="none" w:pos="5280" w:val="left"/>
        </w:tabs>
        <w:rPr>
          <w:sz w:val="20"/>
          <w:szCs w:val="20"/>
          <w:color w:val="auto"/>
        </w:rPr>
      </w:pPr>
      <w:r>
        <w:rPr>
          <w:rFonts w:ascii="Times New Roman" w:cs="Times New Roman" w:eastAsia="Times New Roman" w:hAnsi="Times New Roman"/>
          <w:sz w:val="18"/>
          <w:szCs w:val="18"/>
          <w:color w:val="auto"/>
        </w:rPr>
        <w:t>Date:</w:t>
        <w:tab/>
        <w:t>August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34290</wp:posOffset>
            </wp:positionV>
            <wp:extent cx="37890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Daniel Faga</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20"/>
        <w:spacing w:after="0"/>
        <w:tabs>
          <w:tab w:leader="none" w:pos="620" w:val="left"/>
          <w:tab w:leader="none" w:pos="4820" w:val="left"/>
          <w:tab w:leader="none" w:pos="5280" w:val="left"/>
        </w:tabs>
        <w:rPr>
          <w:sz w:val="20"/>
          <w:szCs w:val="20"/>
          <w:color w:val="auto"/>
        </w:rPr>
      </w:pPr>
      <w:r>
        <w:rPr>
          <w:rFonts w:ascii="Times New Roman" w:cs="Times New Roman" w:eastAsia="Times New Roman" w:hAnsi="Times New Roman"/>
          <w:sz w:val="18"/>
          <w:szCs w:val="18"/>
          <w:color w:val="auto"/>
        </w:rPr>
        <w:t>Date:</w:t>
        <w:tab/>
        <w:t>August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34290</wp:posOffset>
            </wp:positionV>
            <wp:extent cx="37890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Dennis Mulroy</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340"/>
          </w:cols>
          <w:pgMar w:left="320" w:top="1440" w:right="1239" w:bottom="1440" w:gutter="0" w:footer="0" w:header="0"/>
        </w:sectPr>
      </w:pPr>
    </w:p>
    <w:bookmarkStart w:id="72" w:name="page73"/>
    <w:bookmarkEnd w:id="72"/>
    <w:p>
      <w:pPr>
        <w:jc w:val="center"/>
        <w:ind w:left="340"/>
        <w:spacing w:after="0" w:line="259" w:lineRule="auto"/>
        <w:rPr>
          <w:sz w:val="20"/>
          <w:szCs w:val="20"/>
          <w:color w:val="auto"/>
        </w:rPr>
      </w:pPr>
      <w:r>
        <w:rPr>
          <w:rFonts w:ascii="Times New Roman" w:cs="Times New Roman" w:eastAsia="Times New Roman" w:hAnsi="Times New Roman"/>
          <w:sz w:val="22"/>
          <w:szCs w:val="22"/>
          <w:b w:val="1"/>
          <w:bCs w:val="1"/>
          <w:color w:val="auto"/>
        </w:rPr>
        <w:t>CERTAIN CONFIDENTIAL INFORMATION CONTAINED IN THIS DOCUMENT,MARKED BY [***], HAS BEEN OMITTED BECAUSE IT IS NOT MATERIAL AND IS THE TYPE THAT ANAPTYSBIO, INC. TREATS AS PRIVATE OR CONFIDENTIAL.</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AGREEMENT AND AMENDMENT NO. 1 TO THE</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ROYALTY PURCHASE AGREEMENT</w:t>
      </w:r>
    </w:p>
    <w:p>
      <w:pPr>
        <w:spacing w:after="0" w:line="17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THIS AGREEMENT AND AMENDMENT NO. 1 (this “</w:t>
      </w: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xml:space="preserve">”) TO THE ROYALTY PURCHASE AGREEMENT, dated as of October 25, 2021 (the </w:t>
      </w:r>
      <w:r>
        <w:rPr>
          <w:rFonts w:ascii="Times New Roman" w:cs="Times New Roman" w:eastAsia="Times New Roman" w:hAnsi="Times New Roman"/>
          <w:sz w:val="22"/>
          <w:szCs w:val="22"/>
          <w:i w:val="1"/>
          <w:iCs w:val="1"/>
          <w:color w:val="auto"/>
        </w:rPr>
        <w:t>“Original Purchase Agreement</w:t>
      </w:r>
      <w:r>
        <w:rPr>
          <w:rFonts w:ascii="Times New Roman" w:cs="Times New Roman" w:eastAsia="Times New Roman" w:hAnsi="Times New Roman"/>
          <w:sz w:val="22"/>
          <w:szCs w:val="22"/>
          <w:color w:val="auto"/>
        </w:rPr>
        <w:t>”), is effective as of May 8, 2024 (the “</w:t>
      </w:r>
      <w:r>
        <w:rPr>
          <w:rFonts w:ascii="Times New Roman" w:cs="Times New Roman" w:eastAsia="Times New Roman" w:hAnsi="Times New Roman"/>
          <w:sz w:val="22"/>
          <w:szCs w:val="22"/>
          <w:i w:val="1"/>
          <w:iCs w:val="1"/>
          <w:color w:val="auto"/>
        </w:rPr>
        <w:t>Amendment Effective Date</w:t>
      </w:r>
      <w:r>
        <w:rPr>
          <w:rFonts w:ascii="Times New Roman" w:cs="Times New Roman" w:eastAsia="Times New Roman" w:hAnsi="Times New Roman"/>
          <w:sz w:val="22"/>
          <w:szCs w:val="22"/>
          <w:color w:val="auto"/>
        </w:rPr>
        <w:t>”) and is entered into by and between ANAPTYSBIO, INC., a Delaware corporation, as Seller (“</w:t>
      </w:r>
      <w:r>
        <w:rPr>
          <w:rFonts w:ascii="Times New Roman" w:cs="Times New Roman" w:eastAsia="Times New Roman" w:hAnsi="Times New Roman"/>
          <w:sz w:val="22"/>
          <w:szCs w:val="22"/>
          <w:i w:val="1"/>
          <w:iCs w:val="1"/>
          <w:color w:val="auto"/>
        </w:rPr>
        <w:t>Seller</w:t>
      </w:r>
      <w:r>
        <w:rPr>
          <w:rFonts w:ascii="Times New Roman" w:cs="Times New Roman" w:eastAsia="Times New Roman" w:hAnsi="Times New Roman"/>
          <w:sz w:val="22"/>
          <w:szCs w:val="22"/>
          <w:color w:val="auto"/>
        </w:rPr>
        <w:t>”), and SAGARD HEALTHCARE PARTNERS FUNDING BORROWER SPE 2, LP, a Delaware limited partnership (as assignee of Sagard Healthcare Partners (Delaware) II LP, a Delaware limited partnership, which was, in turn, assignee of Sagard Healthcare Royalty Partners, LP, a Cayman Islands exempted limited partnership), as Purchaser (“</w:t>
      </w:r>
      <w:r>
        <w:rPr>
          <w:rFonts w:ascii="Times New Roman" w:cs="Times New Roman" w:eastAsia="Times New Roman" w:hAnsi="Times New Roman"/>
          <w:sz w:val="22"/>
          <w:szCs w:val="22"/>
          <w:i w:val="1"/>
          <w:iCs w:val="1"/>
          <w:color w:val="auto"/>
        </w:rPr>
        <w:t>Purchaser</w:t>
      </w:r>
      <w:r>
        <w:rPr>
          <w:rFonts w:ascii="Times New Roman" w:cs="Times New Roman" w:eastAsia="Times New Roman" w:hAnsi="Times New Roman"/>
          <w:sz w:val="22"/>
          <w:szCs w:val="22"/>
          <w:color w:val="auto"/>
        </w:rPr>
        <w:t>”). Capitalized terms used in this Amendment and not otherwise defined herein shall have the respective meanings ascribed to them in the Original Purchase Agreement (including as may be as ascribed to them in the License Agreement), except as otherwise set forth in Sections 2, 5 and 6 of this Amendment.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INTRODUCTION</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Seller and Purchaser previously entered into the Original Purchase Agreement pursuant to which Seller sold, transferred, assigned and conveyed to Purchaser, and Purchaser purchased, acquired and accepted from Seller, all of Seller’s right, title and interest in and to the Purchased Receivables, for the consideration and on the terms and subject to the conditions set forth in the Original Purchase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Seller and Purchaser now desire to amend the Original Purchase Agreement to, among other things,</w:t>
      </w:r>
    </w:p>
    <w:p>
      <w:pPr>
        <w:spacing w:after="0" w:line="28" w:lineRule="exact"/>
        <w:rPr>
          <w:sz w:val="20"/>
          <w:szCs w:val="20"/>
          <w:color w:val="auto"/>
        </w:rPr>
      </w:pPr>
    </w:p>
    <w:p>
      <w:pPr>
        <w:jc w:val="both"/>
        <w:ind w:firstLine="8"/>
        <w:spacing w:after="0" w:line="257" w:lineRule="auto"/>
        <w:tabs>
          <w:tab w:leader="none" w:pos="29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eliminate the annual cap on the Royalty Payments contemplated by the definition of Specified Royalty Payments in the Original Purchase Agreement, (ii) expand the definition of Dostarlimab in the Original Purchase Agreement to include any Product containing dostarlimab, whether or not such Product constitutes a Combination Product, (iii) expand the definition of Receivables in the Original Purchase Agreement to reflect the changes described in clauses (i) and (ii) above (the incremental receivables included in such expanded definition of Receivables are referred to herein as the “</w:t>
      </w:r>
      <w:r>
        <w:rPr>
          <w:rFonts w:ascii="Times New Roman" w:cs="Times New Roman" w:eastAsia="Times New Roman" w:hAnsi="Times New Roman"/>
          <w:sz w:val="21"/>
          <w:szCs w:val="21"/>
          <w:i w:val="1"/>
          <w:iCs w:val="1"/>
          <w:color w:val="auto"/>
        </w:rPr>
        <w:t>Additional Receivables</w:t>
      </w:r>
      <w:r>
        <w:rPr>
          <w:rFonts w:ascii="Times New Roman" w:cs="Times New Roman" w:eastAsia="Times New Roman" w:hAnsi="Times New Roman"/>
          <w:sz w:val="21"/>
          <w:szCs w:val="21"/>
          <w:color w:val="auto"/>
        </w:rPr>
        <w:t>” and, to the extent comprising “Purchased Receivables” (after giving effect to this Amendment), the “</w:t>
      </w:r>
      <w:r>
        <w:rPr>
          <w:rFonts w:ascii="Times New Roman" w:cs="Times New Roman" w:eastAsia="Times New Roman" w:hAnsi="Times New Roman"/>
          <w:sz w:val="21"/>
          <w:szCs w:val="21"/>
          <w:i w:val="1"/>
          <w:iCs w:val="1"/>
          <w:color w:val="auto"/>
        </w:rPr>
        <w:t>Additional Purchased Receivables</w:t>
      </w:r>
      <w:r>
        <w:rPr>
          <w:rFonts w:ascii="Times New Roman" w:cs="Times New Roman" w:eastAsia="Times New Roman" w:hAnsi="Times New Roman"/>
          <w:sz w:val="21"/>
          <w:szCs w:val="21"/>
          <w:color w:val="auto"/>
        </w:rPr>
        <w:t>”),</w:t>
      </w:r>
    </w:p>
    <w:p>
      <w:pPr>
        <w:spacing w:after="0" w:line="2"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Threshold Amount, and (v) reflect that Purchaser is purchasing such Additional Purchased Receivables; and</w:t>
      </w:r>
    </w:p>
    <w:p>
      <w:pPr>
        <w:spacing w:after="0" w:line="20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WHEREAS, Purchaser has provided Seller with Purchaser’s prior written consent under Section 6.23 of the Original Purchase Agreement permitting Seller to deliver the Licensee Letter Supplement (as defined below) to 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21"/>
          <w:szCs w:val="21"/>
          <w:color w:val="auto"/>
        </w:rPr>
        <w:t>NOW, THEREFORE, for good and valuable consideration, the receipt and adequacy of which are hereby acknowledged,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and Purchaser hereby agree as follows:</w:t>
      </w:r>
    </w:p>
    <w:p>
      <w:pPr>
        <w:spacing w:after="0" w:line="196" w:lineRule="exact"/>
        <w:rPr>
          <w:sz w:val="20"/>
          <w:szCs w:val="20"/>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and Sale; Amendment Purchase Price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hanging="328"/>
        <w:spacing w:after="0" w:line="250" w:lineRule="auto"/>
        <w:tabs>
          <w:tab w:leader="none" w:pos="74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terms and subject to the conditions of this Amendment, at the Amendment Closing (as defined below), Seller shall sell, transfer, assign and convey to Purchaser, and Purchaser shall purchase, acquire and accept from Seller, free and clear of all liens and encumbrances (other than those created by Purchaser, if any), all of Seller’s right, title and interest in and to the Additional Purchased Receivables. It is understood and agreed that Purchaser shall not, by purchase of the Additional Purchased Receivables under this Amendment, acquire any assets or rights of Seller under, or relating to, the License Agreement other than those specified in the immediately preceding sentence and those specified in the first sentence of Section 2.1(a) of the Original Purchase Agreement.</w:t>
      </w:r>
    </w:p>
    <w:p>
      <w:pPr>
        <w:spacing w:after="0" w:line="180" w:lineRule="exact"/>
        <w:rPr>
          <w:rFonts w:ascii="Times New Roman" w:cs="Times New Roman" w:eastAsia="Times New Roman" w:hAnsi="Times New Roman"/>
          <w:sz w:val="22"/>
          <w:szCs w:val="22"/>
          <w:color w:val="auto"/>
        </w:rPr>
      </w:pPr>
    </w:p>
    <w:p>
      <w:pPr>
        <w:ind w:left="660" w:hanging="328"/>
        <w:spacing w:after="0" w:line="271" w:lineRule="auto"/>
        <w:tabs>
          <w:tab w:leader="none" w:pos="7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for the Additional Purchased Receivables, which shall be due and payable at the Amendment Closing in accordance with Section 3(b) below, is $50,000,000 (the “</w:t>
      </w:r>
      <w:r>
        <w:rPr>
          <w:rFonts w:ascii="Times New Roman" w:cs="Times New Roman" w:eastAsia="Times New Roman" w:hAnsi="Times New Roman"/>
          <w:sz w:val="22"/>
          <w:szCs w:val="22"/>
          <w:i w:val="1"/>
          <w:iCs w:val="1"/>
          <w:color w:val="auto"/>
        </w:rPr>
        <w:t>Amendment Purchase Price</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jc w:val="both"/>
        <w:ind w:left="660" w:hanging="328"/>
        <w:spacing w:after="0" w:line="250" w:lineRule="auto"/>
        <w:tabs>
          <w:tab w:leader="none" w:pos="855"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2.4 (</w:t>
      </w:r>
      <w:r>
        <w:rPr>
          <w:rFonts w:ascii="Times New Roman" w:cs="Times New Roman" w:eastAsia="Times New Roman" w:hAnsi="Times New Roman"/>
          <w:sz w:val="22"/>
          <w:szCs w:val="22"/>
          <w:i w:val="1"/>
          <w:iCs w:val="1"/>
          <w:color w:val="auto"/>
        </w:rPr>
        <w:t>Sale</w:t>
      </w:r>
      <w:r>
        <w:rPr>
          <w:rFonts w:ascii="Times New Roman" w:cs="Times New Roman" w:eastAsia="Times New Roman" w:hAnsi="Times New Roman"/>
          <w:sz w:val="22"/>
          <w:szCs w:val="22"/>
          <w:color w:val="auto"/>
        </w:rPr>
        <w:t>), Section 6.13 (</w:t>
      </w: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 and Section 6.14 (</w:t>
      </w:r>
      <w:r>
        <w:rPr>
          <w:rFonts w:ascii="Times New Roman" w:cs="Times New Roman" w:eastAsia="Times New Roman" w:hAnsi="Times New Roman"/>
          <w:sz w:val="22"/>
          <w:szCs w:val="22"/>
          <w:i w:val="1"/>
          <w:iCs w:val="1"/>
          <w:color w:val="auto"/>
        </w:rPr>
        <w:t>Public Announcements; Use of Name</w:t>
      </w:r>
      <w:r>
        <w:rPr>
          <w:rFonts w:ascii="Times New Roman" w:cs="Times New Roman" w:eastAsia="Times New Roman" w:hAnsi="Times New Roman"/>
          <w:sz w:val="22"/>
          <w:szCs w:val="22"/>
          <w:color w:val="auto"/>
        </w:rPr>
        <w:t xml:space="preserve">s) of the Original Purchase Agreement shall apply to this Amendment and disclosure of the terms hereof, including the Amendment Purchase Price,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It is understood and agreed that Seller has authorized Purchaser to file such financing statements (or amendments to existing financing statements) as Purchaser shall deem necessary or appropriate relating to the transactions contemplated by this Amendment (the forms of such additional financing statements and/or amendments to existing financing statements are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and are referred to herein as the “</w:t>
      </w:r>
      <w:r>
        <w:rPr>
          <w:rFonts w:ascii="Times New Roman" w:cs="Times New Roman" w:eastAsia="Times New Roman" w:hAnsi="Times New Roman"/>
          <w:sz w:val="22"/>
          <w:szCs w:val="22"/>
          <w:i w:val="1"/>
          <w:iCs w:val="1"/>
          <w:color w:val="auto"/>
        </w:rPr>
        <w:t>2024 Financing Statements</w:t>
      </w:r>
      <w:r>
        <w:rPr>
          <w:rFonts w:ascii="Times New Roman" w:cs="Times New Roman" w:eastAsia="Times New Roman" w:hAnsi="Times New Roman"/>
          <w:sz w:val="22"/>
          <w:szCs w:val="22"/>
          <w:color w:val="auto"/>
        </w:rPr>
        <w:t>”).</w:t>
      </w:r>
    </w:p>
    <w:p>
      <w:pPr>
        <w:spacing w:after="0" w:line="19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Signing Deliverables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hanging="328"/>
        <w:spacing w:after="0" w:line="253" w:lineRule="auto"/>
        <w:tabs>
          <w:tab w:leader="none" w:pos="723"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or disclosed in, Exhibit A attached hereto, Seller hereby represents and warrants to Purchaser that as of the Amendment Effective Date each of the representations and warranties (including, without limitation, the Fundamental Representations) of Seller contained in Article IV of the Original Purchase Agreement are true and correct in all respects as of the Amendment Effective Date as though made at and as of the Amendment Effective Date, after giving effect to each of the following:</w:t>
      </w:r>
    </w:p>
    <w:p>
      <w:pPr>
        <w:spacing w:after="0" w:line="178" w:lineRule="exact"/>
        <w:rPr>
          <w:rFonts w:ascii="Times New Roman" w:cs="Times New Roman" w:eastAsia="Times New Roman" w:hAnsi="Times New Roman"/>
          <w:sz w:val="22"/>
          <w:szCs w:val="22"/>
          <w:color w:val="auto"/>
        </w:rPr>
      </w:pPr>
    </w:p>
    <w:p>
      <w:pPr>
        <w:ind w:left="1140" w:hanging="160"/>
        <w:spacing w:after="0" w:line="271" w:lineRule="auto"/>
        <w:tabs>
          <w:tab w:leader="none" w:pos="1339"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in such representations and warranties to “as of the date hereof” shall be deemed to instead refer to “as of the Amendment Effective Date”;</w:t>
      </w:r>
    </w:p>
    <w:p>
      <w:pPr>
        <w:spacing w:after="0" w:line="157" w:lineRule="exact"/>
        <w:rPr>
          <w:rFonts w:ascii="Times New Roman" w:cs="Times New Roman" w:eastAsia="Times New Roman" w:hAnsi="Times New Roman"/>
          <w:sz w:val="22"/>
          <w:szCs w:val="22"/>
          <w:color w:val="auto"/>
        </w:rPr>
      </w:pPr>
    </w:p>
    <w:p>
      <w:pPr>
        <w:jc w:val="both"/>
        <w:ind w:left="1140" w:hanging="160"/>
        <w:spacing w:after="0" w:line="256" w:lineRule="auto"/>
        <w:tabs>
          <w:tab w:leader="none" w:pos="1425"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in such representations and warranties to “this Agreement”, “hereof”, “herein”, “hereby” or other words of similar import shall be deemed to instead refer to the Original Purchase Agreement as amended and modified by this Amendment (as if such amendments and modifications became effective on and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74" w:name="page75"/>
    <w:bookmarkEnd w:id="74"/>
    <w:p>
      <w:pPr>
        <w:jc w:val="both"/>
        <w:ind w:left="808" w:hanging="160"/>
        <w:spacing w:after="0" w:line="257" w:lineRule="auto"/>
        <w:tabs>
          <w:tab w:leader="none" w:pos="1301"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amendments set forth in Sections 5 and 6 below (including, without limitation, the amendments to the defined terms) that are to become effective upon the Amendment Closing, shall instead be deemed to be in effect on and as of the Amendment Effective Date;</w:t>
      </w:r>
    </w:p>
    <w:p>
      <w:pPr>
        <w:spacing w:after="0" w:line="182" w:lineRule="exact"/>
        <w:rPr>
          <w:rFonts w:ascii="Times New Roman" w:cs="Times New Roman" w:eastAsia="Times New Roman" w:hAnsi="Times New Roman"/>
          <w:sz w:val="22"/>
          <w:szCs w:val="22"/>
          <w:color w:val="auto"/>
        </w:rPr>
      </w:pPr>
    </w:p>
    <w:p>
      <w:pPr>
        <w:ind w:left="808" w:hanging="160"/>
        <w:spacing w:after="0" w:line="275" w:lineRule="auto"/>
        <w:tabs>
          <w:tab w:leader="none" w:pos="93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reference in Section 4.2 of the Original Purchase Agreement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be deemed to be deleted in its entirety;</w:t>
      </w:r>
    </w:p>
    <w:p>
      <w:pPr>
        <w:spacing w:after="0" w:line="153" w:lineRule="exact"/>
        <w:rPr>
          <w:rFonts w:ascii="Times New Roman" w:cs="Times New Roman" w:eastAsia="Times New Roman" w:hAnsi="Times New Roman"/>
          <w:sz w:val="22"/>
          <w:szCs w:val="22"/>
          <w:color w:val="auto"/>
        </w:rPr>
      </w:pPr>
    </w:p>
    <w:p>
      <w:pPr>
        <w:jc w:val="both"/>
        <w:ind w:left="808" w:hanging="160"/>
        <w:spacing w:after="0" w:line="253" w:lineRule="auto"/>
        <w:tabs>
          <w:tab w:leader="none" w:pos="109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4.4 of the Original Purchase Agreement shall be deemed to include the following sentence at the end thereof (with each term being as defined in this Amendment): “The execution, delivery and performance by Seller of the Amendment No. 1 and the Additional Bill of Sale, and the consummation of the transactions contemplated thereby, do not constitute a breach of or default under any provision of the Licensee Letter Supplement or the Licensee Letter Agreement.”;</w:t>
      </w:r>
    </w:p>
    <w:p>
      <w:pPr>
        <w:spacing w:after="0" w:line="178" w:lineRule="exact"/>
        <w:rPr>
          <w:rFonts w:ascii="Times New Roman" w:cs="Times New Roman" w:eastAsia="Times New Roman" w:hAnsi="Times New Roman"/>
          <w:sz w:val="22"/>
          <w:szCs w:val="22"/>
          <w:color w:val="auto"/>
        </w:rPr>
      </w:pPr>
    </w:p>
    <w:p>
      <w:pPr>
        <w:ind w:left="808" w:hanging="160"/>
        <w:spacing w:after="0" w:line="271" w:lineRule="auto"/>
        <w:tabs>
          <w:tab w:leader="none" w:pos="954"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in Section 4.9(h) of the Original Purchase Agreement to “Specified Royalty Payments” shall be deemed to instead refer to “Royalty Payments”;</w:t>
      </w:r>
    </w:p>
    <w:p>
      <w:pPr>
        <w:spacing w:after="0" w:line="157" w:lineRule="exact"/>
        <w:rPr>
          <w:rFonts w:ascii="Times New Roman" w:cs="Times New Roman" w:eastAsia="Times New Roman" w:hAnsi="Times New Roman"/>
          <w:sz w:val="22"/>
          <w:szCs w:val="22"/>
          <w:color w:val="auto"/>
        </w:rPr>
      </w:pPr>
    </w:p>
    <w:p>
      <w:pPr>
        <w:jc w:val="both"/>
        <w:ind w:left="808" w:hanging="160"/>
        <w:spacing w:after="0" w:line="256" w:lineRule="auto"/>
        <w:tabs>
          <w:tab w:leader="none" w:pos="1005"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sentence of Section 4.9(m) of the Original Purchase Agreement shall be deemed to instead read as “In addition, for the avoidance of doubt, all Net Sales of Dostarlimab will qualify for purposes of determining whether a Specified Milestone Payment is payable pursuant to Section 6.3 of the License Agreement, including Net Sales of combination products that contain both dostarlimab and another Development Antibody.”;</w:t>
      </w:r>
    </w:p>
    <w:p>
      <w:pPr>
        <w:spacing w:after="0" w:line="176" w:lineRule="exact"/>
        <w:rPr>
          <w:rFonts w:ascii="Times New Roman" w:cs="Times New Roman" w:eastAsia="Times New Roman" w:hAnsi="Times New Roman"/>
          <w:sz w:val="22"/>
          <w:szCs w:val="22"/>
          <w:color w:val="auto"/>
        </w:rPr>
      </w:pPr>
    </w:p>
    <w:p>
      <w:pPr>
        <w:jc w:val="both"/>
        <w:ind w:left="808" w:hanging="160"/>
        <w:spacing w:after="0" w:line="257" w:lineRule="auto"/>
        <w:tabs>
          <w:tab w:leader="none" w:pos="105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reference to “Purchase Price” in Section 4.10 of the Original Purchase Agreement shall be deemed to instead refer to the “Purchase Price and the Amendment Purchase Price (as defined in Section 1(c) of Amendment No. 1)”; and</w:t>
      </w:r>
    </w:p>
    <w:p>
      <w:pPr>
        <w:spacing w:after="0" w:line="186" w:lineRule="exact"/>
        <w:rPr>
          <w:rFonts w:ascii="Times New Roman" w:cs="Times New Roman" w:eastAsia="Times New Roman" w:hAnsi="Times New Roman"/>
          <w:sz w:val="22"/>
          <w:szCs w:val="22"/>
          <w:color w:val="auto"/>
        </w:rPr>
      </w:pPr>
    </w:p>
    <w:p>
      <w:pPr>
        <w:jc w:val="both"/>
        <w:ind w:left="808" w:hanging="160"/>
        <w:spacing w:after="0" w:line="257" w:lineRule="auto"/>
        <w:tabs>
          <w:tab w:leader="none" w:pos="97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references to “Specified Financing Statements” and to the “financing statements referred to in the third sentence of Section 2.4” in Section 4.10 of the Original Purchase Agreement shall be deemed to include the “2024 Financing Statements” as defined in Section 1(c) of this Amendment.</w:t>
      </w:r>
    </w:p>
    <w:p>
      <w:pPr>
        <w:spacing w:after="0" w:line="172" w:lineRule="exact"/>
        <w:rPr>
          <w:rFonts w:ascii="Times New Roman" w:cs="Times New Roman" w:eastAsia="Times New Roman" w:hAnsi="Times New Roman"/>
          <w:sz w:val="22"/>
          <w:szCs w:val="22"/>
          <w:color w:val="auto"/>
        </w:rPr>
      </w:pPr>
    </w:p>
    <w:p>
      <w:pPr>
        <w:jc w:val="both"/>
        <w:ind w:left="328" w:hanging="328"/>
        <w:spacing w:after="0" w:line="272" w:lineRule="auto"/>
        <w:tabs>
          <w:tab w:leader="none" w:pos="421"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Purchaser hereby represents and warrants to Seller that as of the Amendment Effective Date each of the representations and warranties (including, without limitation, the Fundamental Representations) of Purchaser contained in Sections 5.1 through (and including) 5.12 of the Original Purchase Agreement are true and correct in all respects as of the Amendment Effective Date as though made at and as of the Amendment Effective Date, after giving effect to each of the following:</w:t>
      </w:r>
    </w:p>
    <w:p>
      <w:pPr>
        <w:spacing w:after="0" w:line="160" w:lineRule="exact"/>
        <w:rPr>
          <w:rFonts w:ascii="Times New Roman" w:cs="Times New Roman" w:eastAsia="Times New Roman" w:hAnsi="Times New Roman"/>
          <w:sz w:val="21"/>
          <w:szCs w:val="21"/>
          <w:color w:val="auto"/>
        </w:rPr>
      </w:pPr>
    </w:p>
    <w:p>
      <w:pPr>
        <w:ind w:left="808" w:hanging="160"/>
        <w:spacing w:after="0" w:line="271" w:lineRule="auto"/>
        <w:tabs>
          <w:tab w:leader="none" w:pos="100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in such representations and warranties to “as of the date hereof” shall be deemed to instead refer to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08"/>
          </w:cols>
          <w:pgMar w:left="652" w:top="1422" w:right="339" w:bottom="1440" w:gutter="0" w:footer="0" w:header="0"/>
        </w:sectPr>
      </w:pPr>
    </w:p>
    <w:bookmarkStart w:id="75" w:name="page76"/>
    <w:bookmarkEnd w:id="75"/>
    <w:p>
      <w:pPr>
        <w:jc w:val="both"/>
        <w:ind w:left="808" w:hanging="160"/>
        <w:spacing w:after="0" w:line="256" w:lineRule="auto"/>
        <w:tabs>
          <w:tab w:leader="none" w:pos="90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in such representations and warranties to “this Agreement”, “hereof”, “herein”, “hereby” or other words of similar import shall be deemed to instead refer to the Original Purchase Agreement as amended and modified by this Amendment (as if such amendments and modifications became effective on and as of the Amendment Effective Date);</w:t>
      </w:r>
    </w:p>
    <w:p>
      <w:pPr>
        <w:spacing w:after="0" w:line="176" w:lineRule="exact"/>
        <w:rPr>
          <w:rFonts w:ascii="Times New Roman" w:cs="Times New Roman" w:eastAsia="Times New Roman" w:hAnsi="Times New Roman"/>
          <w:sz w:val="22"/>
          <w:szCs w:val="22"/>
          <w:color w:val="auto"/>
        </w:rPr>
      </w:pPr>
    </w:p>
    <w:p>
      <w:pPr>
        <w:jc w:val="both"/>
        <w:ind w:left="808" w:hanging="160"/>
        <w:spacing w:after="0" w:line="257" w:lineRule="auto"/>
        <w:tabs>
          <w:tab w:leader="none" w:pos="93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amendments set forth in Sections 5 and 6 below (including, without limitation, the amendments to the defined terms) that are to become effective upon the Amendment Closing, shall instead be deemed to be in effect on and as of the Amendment Effective Date; and</w:t>
      </w:r>
    </w:p>
    <w:p>
      <w:pPr>
        <w:spacing w:after="0" w:line="172" w:lineRule="exact"/>
        <w:rPr>
          <w:rFonts w:ascii="Times New Roman" w:cs="Times New Roman" w:eastAsia="Times New Roman" w:hAnsi="Times New Roman"/>
          <w:sz w:val="22"/>
          <w:szCs w:val="22"/>
          <w:color w:val="auto"/>
        </w:rPr>
      </w:pPr>
    </w:p>
    <w:p>
      <w:pPr>
        <w:ind w:left="808" w:hanging="160"/>
        <w:spacing w:after="0" w:line="284" w:lineRule="auto"/>
        <w:tabs>
          <w:tab w:leader="none" w:pos="948"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5.1 of the Original Purchase Agreement shall be deemed to instead read as “Purchaser is a limited partnership duly organized, validly existing and in good standing under the Laws of the State of Delaware.”.</w:t>
      </w:r>
    </w:p>
    <w:p>
      <w:pPr>
        <w:spacing w:after="0" w:line="143" w:lineRule="exact"/>
        <w:rPr>
          <w:rFonts w:ascii="Times New Roman" w:cs="Times New Roman" w:eastAsia="Times New Roman" w:hAnsi="Times New Roman"/>
          <w:sz w:val="22"/>
          <w:szCs w:val="22"/>
          <w:color w:val="auto"/>
        </w:rPr>
      </w:pPr>
    </w:p>
    <w:p>
      <w:pPr>
        <w:jc w:val="both"/>
        <w:ind w:left="328" w:hanging="328"/>
        <w:spacing w:after="0" w:line="250" w:lineRule="auto"/>
        <w:tabs>
          <w:tab w:leader="none" w:pos="39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hereby confirms that it has performed and complied in all respects with all agreements, covenants, obligations and conditions required to be performed and complied with by Seller under the Original Purchase Agreement at or prior to the Amendment Effective Date, and Purchaser shall have received on the Amendment Effective Date a certificate executed by a duly authorized officer (or other authorized signatory) of Seller, dated the Amendment Effective Date, certifying on behalf of Seller to the effect of the foregoing.</w:t>
      </w:r>
    </w:p>
    <w:p>
      <w:pPr>
        <w:spacing w:after="0" w:line="194" w:lineRule="exact"/>
        <w:rPr>
          <w:rFonts w:ascii="Times New Roman" w:cs="Times New Roman" w:eastAsia="Times New Roman" w:hAnsi="Times New Roman"/>
          <w:sz w:val="22"/>
          <w:szCs w:val="22"/>
          <w:color w:val="auto"/>
        </w:rPr>
      </w:pPr>
    </w:p>
    <w:p>
      <w:pPr>
        <w:jc w:val="both"/>
        <w:ind w:left="328" w:hanging="328"/>
        <w:spacing w:after="0" w:line="250" w:lineRule="auto"/>
        <w:tabs>
          <w:tab w:leader="none" w:pos="40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hereby confirms that it has performed and complied in all respects with all agreements, covenants, obligations and conditions required to be performed and complied with by Purchaser under the Original Purchase Agreement at or prior to the Amendment Effective Date, and Seller shall have received on the Amendment Effective Date a certificate executed by a duly authorized officer (or other authorized signatory) of Purchaser, dated the Amendment Effective Date, certifying on behalf of Purchaser to the effect of the foregoing.</w:t>
      </w:r>
    </w:p>
    <w:p>
      <w:pPr>
        <w:spacing w:after="0" w:line="194" w:lineRule="exact"/>
        <w:rPr>
          <w:rFonts w:ascii="Times New Roman" w:cs="Times New Roman" w:eastAsia="Times New Roman" w:hAnsi="Times New Roman"/>
          <w:sz w:val="22"/>
          <w:szCs w:val="22"/>
          <w:color w:val="auto"/>
        </w:rPr>
      </w:pPr>
    </w:p>
    <w:p>
      <w:pPr>
        <w:jc w:val="both"/>
        <w:ind w:left="328" w:hanging="328"/>
        <w:spacing w:after="0" w:line="251" w:lineRule="auto"/>
        <w:tabs>
          <w:tab w:leader="none" w:pos="52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Amendment Effective Date, Seller shall deliver to Purchaser a certificate of an officer or other authorized signatory of Seller, dated the Amendment Effective Date, certifying as to (i) the incumbency of the officer (or officers) of Seller executing this Amendment, the Licensee Letter Supplement and the Additional Bill of Sale, and (ii) the attached copies of Seller’s organizational documents and resolutions adopted by the Board of Directors of Seller authorizing the execution and delivery by Seller of this Amendment, the Licensee Letter Supplement and the Additional Bill of Sale and the consummation by Seller of the transactions contemplated hereby and thereby.</w:t>
      </w:r>
    </w:p>
    <w:p>
      <w:pPr>
        <w:spacing w:after="0" w:line="181" w:lineRule="exact"/>
        <w:rPr>
          <w:rFonts w:ascii="Times New Roman" w:cs="Times New Roman" w:eastAsia="Times New Roman" w:hAnsi="Times New Roman"/>
          <w:sz w:val="22"/>
          <w:szCs w:val="22"/>
          <w:color w:val="auto"/>
        </w:rPr>
      </w:pPr>
    </w:p>
    <w:p>
      <w:pPr>
        <w:jc w:val="both"/>
        <w:ind w:left="328" w:hanging="328"/>
        <w:spacing w:after="0" w:line="250" w:lineRule="auto"/>
        <w:tabs>
          <w:tab w:leader="none" w:pos="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Amendment Effective Date, Purchaser shall deliver to Seller a certificate of an officer or other authorized signatory of Purchaser, dated the Amendment Effective Date, certifying as to (i) the incumbency of the officer (or officers) of Purchaser executing this Amendment, the Licensee Letter Supplement and the Additional Bill of Sale, and (ii) the attached copies of Purchaser’s organizational documents and resolutions adopted by Purchaser authorizing the execution and delivery by Purchaser of this Amendment,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908"/>
          </w:cols>
          <w:pgMar w:left="652" w:top="1422" w:right="339" w:bottom="1440" w:gutter="0" w:footer="0" w:header="0"/>
        </w:sectPr>
      </w:pPr>
    </w:p>
    <w:bookmarkStart w:id="76" w:name="page77"/>
    <w:bookmarkEnd w:id="76"/>
    <w:p>
      <w:pPr>
        <w:ind w:left="660"/>
        <w:spacing w:after="0" w:line="271" w:lineRule="auto"/>
        <w:rPr>
          <w:sz w:val="20"/>
          <w:szCs w:val="20"/>
          <w:color w:val="auto"/>
        </w:rPr>
      </w:pPr>
      <w:r>
        <w:rPr>
          <w:rFonts w:ascii="Times New Roman" w:cs="Times New Roman" w:eastAsia="Times New Roman" w:hAnsi="Times New Roman"/>
          <w:sz w:val="22"/>
          <w:szCs w:val="22"/>
          <w:color w:val="auto"/>
        </w:rPr>
        <w:t>Licensee Letter Supplement and the Additional Bill of Sale and the consummation by Purchaser of the transactions contemplated hereby and thereby.</w:t>
      </w:r>
    </w:p>
    <w:p>
      <w:pPr>
        <w:spacing w:after="0" w:line="158" w:lineRule="exact"/>
        <w:rPr>
          <w:sz w:val="20"/>
          <w:szCs w:val="20"/>
          <w:color w:val="auto"/>
        </w:rPr>
      </w:pPr>
    </w:p>
    <w:p>
      <w:pPr>
        <w:ind w:left="660" w:hanging="328"/>
        <w:spacing w:after="0" w:line="284" w:lineRule="auto"/>
        <w:tabs>
          <w:tab w:leader="none" w:pos="72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prior to the Amendment Effective Date, Seller shall have delivered to Purchaser a duly executed agreement among Licensee, Seller and Purchaser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i w:val="1"/>
          <w:iCs w:val="1"/>
          <w:color w:val="auto"/>
        </w:rPr>
        <w:t>Licensee Letter Supplement</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Closing; Closing Deliverables</w:t>
      </w:r>
    </w:p>
    <w:p>
      <w:pPr>
        <w:spacing w:after="0" w:line="215" w:lineRule="exact"/>
        <w:rPr>
          <w:rFonts w:ascii="Times New Roman" w:cs="Times New Roman" w:eastAsia="Times New Roman" w:hAnsi="Times New Roman"/>
          <w:sz w:val="22"/>
          <w:szCs w:val="22"/>
          <w:color w:val="auto"/>
        </w:rPr>
      </w:pPr>
    </w:p>
    <w:p>
      <w:pPr>
        <w:jc w:val="both"/>
        <w:ind w:left="660" w:hanging="328"/>
        <w:spacing w:after="0" w:line="250" w:lineRule="auto"/>
        <w:tabs>
          <w:tab w:leader="none" w:pos="736"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of the purchase and sale of the Additional Purchased Receivables (the “</w:t>
      </w:r>
      <w:r>
        <w:rPr>
          <w:rFonts w:ascii="Times New Roman" w:cs="Times New Roman" w:eastAsia="Times New Roman" w:hAnsi="Times New Roman"/>
          <w:sz w:val="22"/>
          <w:szCs w:val="22"/>
          <w:i w:val="1"/>
          <w:iCs w:val="1"/>
          <w:color w:val="auto"/>
        </w:rPr>
        <w:t>Amendment Closing</w:t>
      </w:r>
      <w:r>
        <w:rPr>
          <w:rFonts w:ascii="Times New Roman" w:cs="Times New Roman" w:eastAsia="Times New Roman" w:hAnsi="Times New Roman"/>
          <w:sz w:val="22"/>
          <w:szCs w:val="22"/>
          <w:color w:val="auto"/>
        </w:rPr>
        <w:t>”) shall, subject to the provisions of Section 4 below, be deemed to take place at the offices of Foley Hoag LLP, 1301 Avenue of the Americas, New York, New York, 10019, at 10:00 a.m. New York City time on the date that is the fifth Business Day after the Amendment Effective Date, or at such other place, time and date as the parties hereto may mutually agree. The parties hereto expect to exchange documents electronically, and no party hereto shall be required to appear at any specific physical location to effect the Amendment Closing. The date on which the Amendment Closing occurs is referred to in this Amendment as the “</w:t>
      </w:r>
      <w:r>
        <w:rPr>
          <w:rFonts w:ascii="Times New Roman" w:cs="Times New Roman" w:eastAsia="Times New Roman" w:hAnsi="Times New Roman"/>
          <w:sz w:val="22"/>
          <w:szCs w:val="22"/>
          <w:i w:val="1"/>
          <w:iCs w:val="1"/>
          <w:color w:val="auto"/>
        </w:rPr>
        <w:t>Amendment Closing Date</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left="660" w:hanging="328"/>
        <w:spacing w:after="0" w:line="263" w:lineRule="auto"/>
        <w:tabs>
          <w:tab w:leader="none" w:pos="813"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Amendment Closing, Purchaser shall deliver (or cause to be delivered) to Seller payment of the Amendment Purchase Price by wire transfer of immediately available funds to the account specified by Seller in writing to Purchaser at least three Business Days prior to the Amendment Closing Date.</w:t>
      </w:r>
    </w:p>
    <w:p>
      <w:pPr>
        <w:spacing w:after="0" w:line="167"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71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Amendment Closing, Seller and Purchaser shall each deliver to the other party hereto a duly executed counterpart to a bill of sale and assignment evidencing the sale and assignment to Purchaser of the Additional Purchased Receivables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i w:val="1"/>
          <w:iCs w:val="1"/>
          <w:color w:val="auto"/>
        </w:rPr>
        <w:t>Additional Bill of Sale</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8"/>
        <w:spacing w:after="0" w:line="263" w:lineRule="auto"/>
        <w:tabs>
          <w:tab w:leader="none" w:pos="44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Conditions</w:t>
      </w:r>
      <w:r>
        <w:rPr>
          <w:rFonts w:ascii="Times New Roman" w:cs="Times New Roman" w:eastAsia="Times New Roman" w:hAnsi="Times New Roman"/>
          <w:sz w:val="22"/>
          <w:szCs w:val="22"/>
          <w:color w:val="auto"/>
        </w:rPr>
        <w:t>. The obligation of Purchaser to consummate the transactions contemplated by this Amendment on the Amendment Closing Date is subject to the satisfaction, at or prior to the Amendment Closing, of the following condition precedent:</w:t>
      </w:r>
    </w:p>
    <w:p>
      <w:pPr>
        <w:spacing w:after="0" w:line="167" w:lineRule="exact"/>
        <w:rPr>
          <w:rFonts w:ascii="Times New Roman" w:cs="Times New Roman" w:eastAsia="Times New Roman" w:hAnsi="Times New Roman"/>
          <w:sz w:val="22"/>
          <w:szCs w:val="22"/>
          <w:color w:val="auto"/>
        </w:rPr>
      </w:pPr>
    </w:p>
    <w:p>
      <w:pPr>
        <w:ind w:left="700" w:hanging="368"/>
        <w:spacing w:after="0"/>
        <w:tabs>
          <w:tab w:leader="none" w:pos="7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shall have received from Seller the duly executed counterpart of Seller to the Additional Bill of Sale.</w:t>
      </w:r>
    </w:p>
    <w:p>
      <w:pPr>
        <w:spacing w:after="0" w:line="219" w:lineRule="exact"/>
        <w:rPr>
          <w:rFonts w:ascii="Times New Roman" w:cs="Times New Roman" w:eastAsia="Times New Roman" w:hAnsi="Times New Roman"/>
          <w:sz w:val="22"/>
          <w:szCs w:val="22"/>
          <w:color w:val="auto"/>
        </w:rPr>
      </w:pPr>
    </w:p>
    <w:p>
      <w:pPr>
        <w:jc w:val="both"/>
        <w:ind w:firstLine="8"/>
        <w:spacing w:after="0" w:line="263" w:lineRule="auto"/>
        <w:tabs>
          <w:tab w:leader="none" w:pos="3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Purchase Agreement</w:t>
      </w:r>
      <w:r>
        <w:rPr>
          <w:rFonts w:ascii="Times New Roman" w:cs="Times New Roman" w:eastAsia="Times New Roman" w:hAnsi="Times New Roman"/>
          <w:sz w:val="22"/>
          <w:szCs w:val="22"/>
          <w:color w:val="auto"/>
        </w:rPr>
        <w:t>. Effective upon the Amendment Closing (and with effect for Net Sales of Dostarlimab (as defined below) occurring on January 1, 2024 and thereafter), Seller and Purchaser hereby amend the Original Purchase Agreement as follows:</w:t>
      </w:r>
    </w:p>
    <w:p>
      <w:pPr>
        <w:spacing w:after="0" w:line="163" w:lineRule="exact"/>
        <w:rPr>
          <w:rFonts w:ascii="Times New Roman" w:cs="Times New Roman" w:eastAsia="Times New Roman" w:hAnsi="Times New Roman"/>
          <w:sz w:val="22"/>
          <w:szCs w:val="22"/>
          <w:color w:val="auto"/>
        </w:rPr>
      </w:pPr>
    </w:p>
    <w:p>
      <w:pPr>
        <w:ind w:left="660" w:right="20" w:hanging="328"/>
        <w:spacing w:after="0" w:line="275" w:lineRule="auto"/>
        <w:tabs>
          <w:tab w:leader="none" w:pos="73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new defined terms and definitions are hereby added to Section 1.1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of the Original Purchase Agreement in appropriate alphabetical order:</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Additional Bill of Sale</w:t>
      </w:r>
      <w:r>
        <w:rPr>
          <w:rFonts w:ascii="Times New Roman" w:cs="Times New Roman" w:eastAsia="Times New Roman" w:hAnsi="Times New Roman"/>
          <w:sz w:val="22"/>
          <w:szCs w:val="22"/>
          <w:color w:val="auto"/>
        </w:rPr>
        <w:t>” has the meaning ascribed to such term in Amendment No. 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Effective Date</w:t>
      </w:r>
      <w:r>
        <w:rPr>
          <w:rFonts w:ascii="Times New Roman" w:cs="Times New Roman" w:eastAsia="Times New Roman" w:hAnsi="Times New Roman"/>
          <w:sz w:val="22"/>
          <w:szCs w:val="22"/>
          <w:color w:val="auto"/>
        </w:rPr>
        <w:t>” means May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77" w:name="page78"/>
    <w:bookmarkEnd w:id="77"/>
    <w:p>
      <w:pPr>
        <w:jc w:val="both"/>
        <w:ind w:left="328"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No. 1</w:t>
      </w:r>
      <w:r>
        <w:rPr>
          <w:rFonts w:ascii="Times New Roman" w:cs="Times New Roman" w:eastAsia="Times New Roman" w:hAnsi="Times New Roman"/>
          <w:sz w:val="22"/>
          <w:szCs w:val="22"/>
          <w:color w:val="auto"/>
        </w:rPr>
        <w:t>” means the Agreement and Amendment No. 1 to the Royalty Purchase Agreement, effective as of May 8, 2024, between Seller and Purchaser.</w:t>
      </w:r>
    </w:p>
    <w:p>
      <w:pPr>
        <w:spacing w:after="0" w:line="14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Amendment Purchase Price</w:t>
      </w:r>
      <w:r>
        <w:rPr>
          <w:rFonts w:ascii="Times New Roman" w:cs="Times New Roman" w:eastAsia="Times New Roman" w:hAnsi="Times New Roman"/>
          <w:sz w:val="22"/>
          <w:szCs w:val="22"/>
          <w:color w:val="auto"/>
        </w:rPr>
        <w:t>” means $50,000,000.</w:t>
      </w:r>
    </w:p>
    <w:p>
      <w:pPr>
        <w:spacing w:after="0" w:line="233" w:lineRule="exact"/>
        <w:rPr>
          <w:sz w:val="20"/>
          <w:szCs w:val="20"/>
          <w:color w:val="auto"/>
        </w:rPr>
      </w:pPr>
    </w:p>
    <w:p>
      <w:pPr>
        <w:jc w:val="both"/>
        <w:ind w:left="328"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Fundamental Amendment Reps</w:t>
      </w:r>
      <w:r>
        <w:rPr>
          <w:rFonts w:ascii="Times New Roman" w:cs="Times New Roman" w:eastAsia="Times New Roman" w:hAnsi="Times New Roman"/>
          <w:sz w:val="22"/>
          <w:szCs w:val="22"/>
          <w:color w:val="auto"/>
        </w:rPr>
        <w:t>” means (a) the Fundamental Representations made by Seller at and as of the Amendment Effective Date in Section 2(a) of Amendment No. 1 (after giving effect to each of the changes thereto set forth in such Section 2(a)), and (b) the Fundamental Representations made by Purchaser at and as of the Amendment Effective Date in Section 2(b) of Amendment No. 1 (after giving effect to each of the changes thereto set forth in such Section 2(b)).</w:t>
      </w:r>
    </w:p>
    <w:p>
      <w:pPr>
        <w:spacing w:after="0" w:line="18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Licensee Letter Supplement</w:t>
      </w:r>
      <w:r>
        <w:rPr>
          <w:rFonts w:ascii="Times New Roman" w:cs="Times New Roman" w:eastAsia="Times New Roman" w:hAnsi="Times New Roman"/>
          <w:sz w:val="22"/>
          <w:szCs w:val="22"/>
          <w:color w:val="auto"/>
        </w:rPr>
        <w:t>” has the meaning ascribed to such term in Amendment No. 1.</w:t>
      </w:r>
    </w:p>
    <w:p>
      <w:pPr>
        <w:spacing w:after="0" w:line="220" w:lineRule="exact"/>
        <w:rPr>
          <w:sz w:val="20"/>
          <w:szCs w:val="20"/>
          <w:color w:val="auto"/>
        </w:rPr>
      </w:pPr>
    </w:p>
    <w:p>
      <w:pPr>
        <w:ind w:left="328" w:right="20" w:hanging="328"/>
        <w:spacing w:after="0" w:line="275" w:lineRule="auto"/>
        <w:tabs>
          <w:tab w:leader="none" w:pos="41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Annual Period</w:t>
      </w:r>
      <w:r>
        <w:rPr>
          <w:rFonts w:ascii="Times New Roman" w:cs="Times New Roman" w:eastAsia="Times New Roman" w:hAnsi="Times New Roman"/>
          <w:sz w:val="22"/>
          <w:szCs w:val="22"/>
          <w:color w:val="auto"/>
        </w:rPr>
        <w:t>” in Section 1.1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of the Original Purchase Agreement is hereby deleted in its entirety.</w:t>
      </w:r>
    </w:p>
    <w:p>
      <w:pPr>
        <w:spacing w:after="0" w:line="149" w:lineRule="exact"/>
        <w:rPr>
          <w:rFonts w:ascii="Times New Roman" w:cs="Times New Roman" w:eastAsia="Times New Roman" w:hAnsi="Times New Roman"/>
          <w:sz w:val="22"/>
          <w:szCs w:val="22"/>
          <w:color w:val="auto"/>
        </w:rPr>
      </w:pPr>
    </w:p>
    <w:p>
      <w:pPr>
        <w:ind w:left="328" w:hanging="328"/>
        <w:spacing w:after="0" w:line="275" w:lineRule="auto"/>
        <w:tabs>
          <w:tab w:leader="none" w:pos="39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Dostarlimab</w:t>
      </w:r>
      <w:r>
        <w:rPr>
          <w:rFonts w:ascii="Times New Roman" w:cs="Times New Roman" w:eastAsia="Times New Roman" w:hAnsi="Times New Roman"/>
          <w:sz w:val="22"/>
          <w:szCs w:val="22"/>
          <w:color w:val="auto"/>
        </w:rPr>
        <w:t>” in Section 1.1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of the Original Purchase Agreement is hereby deleted in its entirety and is replaced with the following:</w:t>
      </w:r>
    </w:p>
    <w:p>
      <w:pPr>
        <w:spacing w:after="0" w:line="149" w:lineRule="exact"/>
        <w:rPr>
          <w:sz w:val="20"/>
          <w:szCs w:val="20"/>
          <w:color w:val="auto"/>
        </w:rPr>
      </w:pPr>
    </w:p>
    <w:p>
      <w:pPr>
        <w:jc w:val="both"/>
        <w:ind w:left="328"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Dostarlimab</w:t>
      </w:r>
      <w:r>
        <w:rPr>
          <w:rFonts w:ascii="Times New Roman" w:cs="Times New Roman" w:eastAsia="Times New Roman" w:hAnsi="Times New Roman"/>
          <w:sz w:val="22"/>
          <w:szCs w:val="22"/>
          <w:color w:val="auto"/>
        </w:rPr>
        <w:t>” means dostarlimab (also known as JEMPERLI or dostarlimab-gxly) and (i) includes all instances in which dostarlimab is sold as part of any Combination Product that contains dostarlimab and (ii) includes all instances in which dostarlimab is sold as part of any combination product that contains both dostarlimab and one or more other Development Antibodies.</w:t>
      </w:r>
    </w:p>
    <w:p>
      <w:pPr>
        <w:spacing w:after="0" w:line="168" w:lineRule="exact"/>
        <w:rPr>
          <w:sz w:val="20"/>
          <w:szCs w:val="20"/>
          <w:color w:val="auto"/>
        </w:rPr>
      </w:pPr>
    </w:p>
    <w:p>
      <w:pPr>
        <w:ind w:left="328" w:hanging="328"/>
        <w:spacing w:after="0" w:line="275" w:lineRule="auto"/>
        <w:tabs>
          <w:tab w:leader="none" w:pos="48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 (b) in the definition of “</w:t>
      </w:r>
      <w:r>
        <w:rPr>
          <w:rFonts w:ascii="Times New Roman" w:cs="Times New Roman" w:eastAsia="Times New Roman" w:hAnsi="Times New Roman"/>
          <w:sz w:val="22"/>
          <w:szCs w:val="22"/>
          <w:i w:val="1"/>
          <w:iCs w:val="1"/>
          <w:color w:val="auto"/>
        </w:rPr>
        <w:t>Excluded Assets</w:t>
      </w:r>
      <w:r>
        <w:rPr>
          <w:rFonts w:ascii="Times New Roman" w:cs="Times New Roman" w:eastAsia="Times New Roman" w:hAnsi="Times New Roman"/>
          <w:sz w:val="22"/>
          <w:szCs w:val="22"/>
          <w:color w:val="auto"/>
        </w:rPr>
        <w:t>” in Section 1.1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of the Original Purchase Agreement is hereby deleted in its entirety and is replaced with the following:</w:t>
      </w:r>
    </w:p>
    <w:p>
      <w:pPr>
        <w:spacing w:after="0" w:line="167" w:lineRule="exact"/>
        <w:rPr>
          <w:sz w:val="20"/>
          <w:szCs w:val="20"/>
          <w:color w:val="auto"/>
        </w:rPr>
      </w:pPr>
    </w:p>
    <w:p>
      <w:pPr>
        <w:ind w:left="328"/>
        <w:spacing w:after="0" w:line="271" w:lineRule="auto"/>
        <w:rPr>
          <w:sz w:val="20"/>
          <w:szCs w:val="20"/>
          <w:color w:val="auto"/>
        </w:rPr>
      </w:pPr>
      <w:r>
        <w:rPr>
          <w:rFonts w:ascii="Times New Roman" w:cs="Times New Roman" w:eastAsia="Times New Roman" w:hAnsi="Times New Roman"/>
          <w:sz w:val="22"/>
          <w:szCs w:val="22"/>
          <w:color w:val="auto"/>
        </w:rPr>
        <w:t>“(b) any and all royalty payments payable or paid by the Licensee pursuant to the License Agreement other than the portion of the Royalty Payments that constitutes Purchased Receivables;”</w:t>
      </w:r>
    </w:p>
    <w:p>
      <w:pPr>
        <w:spacing w:after="0" w:line="154" w:lineRule="exact"/>
        <w:rPr>
          <w:sz w:val="20"/>
          <w:szCs w:val="20"/>
          <w:color w:val="auto"/>
        </w:rPr>
      </w:pPr>
    </w:p>
    <w:p>
      <w:pPr>
        <w:ind w:left="328" w:hanging="328"/>
        <w:spacing w:after="0" w:line="275" w:lineRule="auto"/>
        <w:tabs>
          <w:tab w:leader="none" w:pos="55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Knowledge of Seller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Knowledge</w:t>
      </w:r>
      <w:r>
        <w:rPr>
          <w:rFonts w:ascii="Times New Roman" w:cs="Times New Roman" w:eastAsia="Times New Roman" w:hAnsi="Times New Roman"/>
          <w:sz w:val="22"/>
          <w:szCs w:val="22"/>
          <w:color w:val="auto"/>
        </w:rPr>
        <w:t>” in Section 1.1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of the Original Purchase Agreement is hereby deleted in its entirety and is replaced with the following:</w:t>
      </w:r>
    </w:p>
    <w:p>
      <w:pPr>
        <w:spacing w:after="0" w:line="149" w:lineRule="exact"/>
        <w:rPr>
          <w:sz w:val="20"/>
          <w:szCs w:val="20"/>
          <w:color w:val="auto"/>
        </w:rPr>
      </w:pPr>
    </w:p>
    <w:p>
      <w:pPr>
        <w:jc w:val="both"/>
        <w:ind w:left="328"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Knowledge of Seller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Knowledge</w:t>
      </w:r>
      <w:r>
        <w:rPr>
          <w:rFonts w:ascii="Times New Roman" w:cs="Times New Roman" w:eastAsia="Times New Roman" w:hAnsi="Times New Roman"/>
          <w:sz w:val="22"/>
          <w:szCs w:val="22"/>
          <w:color w:val="auto"/>
        </w:rPr>
        <w:t>”, when used with respect to Seller, means the actual knowledge of (i) Daniel Faga, President and Chief Executive Officer of Seller, and (ii) Eric Loumeau, Chief Legal Officer of Seller, after reasonable due inquiry.</w:t>
      </w:r>
    </w:p>
    <w:p>
      <w:pPr>
        <w:spacing w:after="0" w:line="161" w:lineRule="exact"/>
        <w:rPr>
          <w:sz w:val="20"/>
          <w:szCs w:val="20"/>
          <w:color w:val="auto"/>
        </w:rPr>
      </w:pPr>
    </w:p>
    <w:p>
      <w:pPr>
        <w:ind w:left="328" w:right="20" w:hanging="328"/>
        <w:spacing w:after="0" w:line="275" w:lineRule="auto"/>
        <w:tabs>
          <w:tab w:leader="none" w:pos="38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Receivables</w:t>
      </w:r>
      <w:r>
        <w:rPr>
          <w:rFonts w:ascii="Times New Roman" w:cs="Times New Roman" w:eastAsia="Times New Roman" w:hAnsi="Times New Roman"/>
          <w:sz w:val="22"/>
          <w:szCs w:val="22"/>
          <w:color w:val="auto"/>
        </w:rPr>
        <w:t>” in Section 1.1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of the Original Purchase Agreement is hereby deleted in its entirety and is replaced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908"/>
          </w:cols>
          <w:pgMar w:left="652" w:top="1418" w:right="339" w:bottom="1440" w:gutter="0" w:footer="0" w:header="0"/>
        </w:sectPr>
      </w:pPr>
    </w:p>
    <w:bookmarkStart w:id="78" w:name="page79"/>
    <w:bookmarkEnd w:id="78"/>
    <w:p>
      <w:pPr>
        <w:jc w:val="both"/>
        <w:ind w:left="328" w:firstLine="648"/>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Receivables</w:t>
      </w:r>
      <w:r>
        <w:rPr>
          <w:rFonts w:ascii="Times New Roman" w:cs="Times New Roman" w:eastAsia="Times New Roman" w:hAnsi="Times New Roman"/>
          <w:sz w:val="21"/>
          <w:szCs w:val="21"/>
          <w:color w:val="auto"/>
        </w:rPr>
        <w:t>” means, collectively, (a) with respect to Dostarlimab and each country, each Royalty Payment to the extent attributable to Net Sales of Dostarlimab invoiced in such country during the Purchased Royalty Period applicable to Dostarlimab and such country, (b) each Specified Milestone Payment and (c) any interest on any amounts referred to in the immediately foregoing clauses (a) and (b) payable by the Licensee pursuant to Section 7.1 of the License Agreement.</w:t>
      </w:r>
    </w:p>
    <w:p>
      <w:pPr>
        <w:spacing w:after="0" w:line="153" w:lineRule="exact"/>
        <w:rPr>
          <w:sz w:val="20"/>
          <w:szCs w:val="20"/>
          <w:color w:val="auto"/>
        </w:rPr>
      </w:pPr>
    </w:p>
    <w:p>
      <w:pPr>
        <w:ind w:left="368" w:hanging="368"/>
        <w:spacing w:after="0"/>
        <w:tabs>
          <w:tab w:leader="none" w:pos="36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Section 1.1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of the Original Purchase Agreement is hereby deleted in its entirety.</w:t>
      </w:r>
    </w:p>
    <w:p>
      <w:pPr>
        <w:spacing w:after="0" w:line="219" w:lineRule="exact"/>
        <w:rPr>
          <w:rFonts w:ascii="Times New Roman" w:cs="Times New Roman" w:eastAsia="Times New Roman" w:hAnsi="Times New Roman"/>
          <w:sz w:val="22"/>
          <w:szCs w:val="22"/>
          <w:color w:val="auto"/>
        </w:rPr>
      </w:pPr>
    </w:p>
    <w:p>
      <w:pPr>
        <w:ind w:left="368" w:hanging="368"/>
        <w:spacing w:after="0"/>
        <w:tabs>
          <w:tab w:leader="none" w:pos="36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Section 1.1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of the Original Purchase Agreement is hereby deleted in its entirety.</w:t>
      </w:r>
    </w:p>
    <w:p>
      <w:pPr>
        <w:spacing w:after="0" w:line="219" w:lineRule="exact"/>
        <w:rPr>
          <w:rFonts w:ascii="Times New Roman" w:cs="Times New Roman" w:eastAsia="Times New Roman" w:hAnsi="Times New Roman"/>
          <w:sz w:val="22"/>
          <w:szCs w:val="22"/>
          <w:color w:val="auto"/>
        </w:rPr>
      </w:pPr>
    </w:p>
    <w:p>
      <w:pPr>
        <w:ind w:left="328" w:hanging="328"/>
        <w:spacing w:after="0" w:line="275" w:lineRule="auto"/>
        <w:tabs>
          <w:tab w:leader="none" w:pos="33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Specified Royalty Payments</w:t>
      </w:r>
      <w:r>
        <w:rPr>
          <w:rFonts w:ascii="Times New Roman" w:cs="Times New Roman" w:eastAsia="Times New Roman" w:hAnsi="Times New Roman"/>
          <w:sz w:val="22"/>
          <w:szCs w:val="22"/>
          <w:color w:val="auto"/>
        </w:rPr>
        <w:t>” in Section 1.1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of the Original Purchase Agreement is hereby deleted in its entirety.</w:t>
      </w:r>
    </w:p>
    <w:p>
      <w:pPr>
        <w:spacing w:after="0" w:line="162" w:lineRule="exact"/>
        <w:rPr>
          <w:rFonts w:ascii="Times New Roman" w:cs="Times New Roman" w:eastAsia="Times New Roman" w:hAnsi="Times New Roman"/>
          <w:sz w:val="22"/>
          <w:szCs w:val="22"/>
          <w:color w:val="auto"/>
        </w:rPr>
      </w:pPr>
    </w:p>
    <w:p>
      <w:pPr>
        <w:ind w:left="328" w:hanging="328"/>
        <w:spacing w:after="0" w:line="275" w:lineRule="auto"/>
        <w:tabs>
          <w:tab w:leader="none" w:pos="36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Threshold Amount</w:t>
      </w:r>
      <w:r>
        <w:rPr>
          <w:rFonts w:ascii="Times New Roman" w:cs="Times New Roman" w:eastAsia="Times New Roman" w:hAnsi="Times New Roman"/>
          <w:sz w:val="22"/>
          <w:szCs w:val="22"/>
          <w:color w:val="auto"/>
        </w:rPr>
        <w:t>” in Section 1.1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of the Original Purchase Agreement is hereby deleted in its entirety and is replaced with the following:</w:t>
      </w:r>
    </w:p>
    <w:p>
      <w:pPr>
        <w:spacing w:after="0" w:line="14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Threshold Amount</w:t>
      </w:r>
      <w:r>
        <w:rPr>
          <w:rFonts w:ascii="Times New Roman" w:cs="Times New Roman" w:eastAsia="Times New Roman" w:hAnsi="Times New Roman"/>
          <w:sz w:val="22"/>
          <w:szCs w:val="22"/>
          <w:color w:val="auto"/>
        </w:rPr>
        <w:t>” means:</w:t>
      </w:r>
    </w:p>
    <w:p>
      <w:pPr>
        <w:spacing w:after="0" w:line="224" w:lineRule="exact"/>
        <w:rPr>
          <w:sz w:val="20"/>
          <w:szCs w:val="20"/>
          <w:color w:val="auto"/>
        </w:rPr>
      </w:pPr>
    </w:p>
    <w:p>
      <w:pPr>
        <w:ind w:left="1488" w:hanging="516"/>
        <w:spacing w:after="0"/>
        <w:tabs>
          <w:tab w:leader="none" w:pos="148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including) the date hereof through (and including) March 31, 2031, $600,000,000, and</w:t>
      </w:r>
    </w:p>
    <w:p>
      <w:pPr>
        <w:spacing w:after="0" w:line="219" w:lineRule="exact"/>
        <w:rPr>
          <w:rFonts w:ascii="Times New Roman" w:cs="Times New Roman" w:eastAsia="Times New Roman" w:hAnsi="Times New Roman"/>
          <w:sz w:val="22"/>
          <w:szCs w:val="22"/>
          <w:color w:val="auto"/>
        </w:rPr>
      </w:pPr>
    </w:p>
    <w:p>
      <w:pPr>
        <w:ind w:left="1488" w:hanging="516"/>
        <w:spacing w:after="0"/>
        <w:tabs>
          <w:tab w:leader="none" w:pos="148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including) April 1, 2031 and thereafter, $675,000,000.</w:t>
      </w:r>
    </w:p>
    <w:p>
      <w:pPr>
        <w:spacing w:after="0" w:line="215" w:lineRule="exact"/>
        <w:rPr>
          <w:rFonts w:ascii="Times New Roman" w:cs="Times New Roman" w:eastAsia="Times New Roman" w:hAnsi="Times New Roman"/>
          <w:sz w:val="22"/>
          <w:szCs w:val="22"/>
          <w:color w:val="auto"/>
        </w:rPr>
      </w:pPr>
    </w:p>
    <w:p>
      <w:pPr>
        <w:ind w:left="328" w:right="20" w:hanging="324"/>
        <w:spacing w:after="0" w:line="28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 The definition of “</w:t>
      </w:r>
      <w:r>
        <w:rPr>
          <w:rFonts w:ascii="Times New Roman" w:cs="Times New Roman" w:eastAsia="Times New Roman" w:hAnsi="Times New Roman"/>
          <w:sz w:val="22"/>
          <w:szCs w:val="22"/>
          <w:i w:val="1"/>
          <w:iCs w:val="1"/>
          <w:color w:val="auto"/>
        </w:rPr>
        <w:t>Transaction Documents</w:t>
      </w:r>
      <w:r>
        <w:rPr>
          <w:rFonts w:ascii="Times New Roman" w:cs="Times New Roman" w:eastAsia="Times New Roman" w:hAnsi="Times New Roman"/>
          <w:sz w:val="22"/>
          <w:szCs w:val="22"/>
          <w:color w:val="auto"/>
        </w:rPr>
        <w:t>” in Section 1.1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of the Original Purchase Agreement is hereby deleted in its entirety and is replaced with the following:</w:t>
      </w:r>
    </w:p>
    <w:p>
      <w:pPr>
        <w:spacing w:after="0" w:line="137" w:lineRule="exact"/>
        <w:rPr>
          <w:sz w:val="20"/>
          <w:szCs w:val="20"/>
          <w:color w:val="auto"/>
        </w:rPr>
      </w:pPr>
    </w:p>
    <w:p>
      <w:pPr>
        <w:jc w:val="both"/>
        <w:ind w:left="328"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 Documents</w:t>
      </w:r>
      <w:r>
        <w:rPr>
          <w:rFonts w:ascii="Times New Roman" w:cs="Times New Roman" w:eastAsia="Times New Roman" w:hAnsi="Times New Roman"/>
          <w:sz w:val="22"/>
          <w:szCs w:val="22"/>
          <w:color w:val="auto"/>
        </w:rPr>
        <w:t>” means this Agreement, the Escrow Agreement, Amendment No. 1, the Bill of Sale and Assignment, the Additional Bill of Sale, the Licensee Letter Agreement, the Licensee Letter Supplement, and the Closing Notice.</w:t>
      </w:r>
    </w:p>
    <w:p>
      <w:pPr>
        <w:spacing w:after="0" w:line="166" w:lineRule="exact"/>
        <w:rPr>
          <w:sz w:val="20"/>
          <w:szCs w:val="20"/>
          <w:color w:val="auto"/>
        </w:rPr>
      </w:pPr>
    </w:p>
    <w:p>
      <w:pPr>
        <w:jc w:val="both"/>
        <w:ind w:left="328" w:hanging="328"/>
        <w:spacing w:after="0" w:line="254" w:lineRule="auto"/>
        <w:tabs>
          <w:tab w:leader="none" w:pos="38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2.5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of the Original Purchase Agreement and related references to such provision and the terms thereof in the defined term “Purchaser Material Adverse Effect” and in Section 6.13(d) (</w:t>
      </w:r>
      <w:r>
        <w:rPr>
          <w:rFonts w:ascii="Times New Roman" w:cs="Times New Roman" w:eastAsia="Times New Roman" w:hAnsi="Times New Roman"/>
          <w:sz w:val="22"/>
          <w:szCs w:val="22"/>
          <w:i w:val="1"/>
          <w:iCs w:val="1"/>
          <w:color w:val="auto"/>
        </w:rPr>
        <w:t>Financial Statements</w:t>
      </w:r>
      <w:r>
        <w:rPr>
          <w:rFonts w:ascii="Times New Roman" w:cs="Times New Roman" w:eastAsia="Times New Roman" w:hAnsi="Times New Roman"/>
          <w:sz w:val="22"/>
          <w:szCs w:val="22"/>
          <w:color w:val="auto"/>
        </w:rPr>
        <w:t>), Section 6.14(c) (</w:t>
      </w:r>
      <w:r>
        <w:rPr>
          <w:rFonts w:ascii="Times New Roman" w:cs="Times New Roman" w:eastAsia="Times New Roman" w:hAnsi="Times New Roman"/>
          <w:sz w:val="22"/>
          <w:szCs w:val="22"/>
          <w:i w:val="1"/>
          <w:iCs w:val="1"/>
          <w:color w:val="auto"/>
        </w:rPr>
        <w:t>Public Announcements; Use of Names</w:t>
      </w:r>
      <w:r>
        <w:rPr>
          <w:rFonts w:ascii="Times New Roman" w:cs="Times New Roman" w:eastAsia="Times New Roman" w:hAnsi="Times New Roman"/>
          <w:sz w:val="22"/>
          <w:szCs w:val="22"/>
          <w:color w:val="auto"/>
        </w:rPr>
        <w:t>), Section 8.4(a) (</w:t>
      </w:r>
      <w:r>
        <w:rPr>
          <w:rFonts w:ascii="Times New Roman" w:cs="Times New Roman" w:eastAsia="Times New Roman" w:hAnsi="Times New Roman"/>
          <w:sz w:val="22"/>
          <w:szCs w:val="22"/>
          <w:i w:val="1"/>
          <w:iCs w:val="1"/>
          <w:color w:val="auto"/>
        </w:rPr>
        <w:t>Assignment</w:t>
      </w:r>
      <w:r>
        <w:rPr>
          <w:rFonts w:ascii="Times New Roman" w:cs="Times New Roman" w:eastAsia="Times New Roman" w:hAnsi="Times New Roman"/>
          <w:sz w:val="22"/>
          <w:szCs w:val="22"/>
          <w:color w:val="auto"/>
        </w:rPr>
        <w:t>), Section 8.13(b) (</w:t>
      </w:r>
      <w:r>
        <w:rPr>
          <w:rFonts w:ascii="Times New Roman" w:cs="Times New Roman" w:eastAsia="Times New Roman" w:hAnsi="Times New Roman"/>
          <w:sz w:val="22"/>
          <w:szCs w:val="22"/>
          <w:i w:val="1"/>
          <w:iCs w:val="1"/>
          <w:color w:val="auto"/>
        </w:rPr>
        <w:t>Other Termination</w:t>
      </w:r>
      <w:r>
        <w:rPr>
          <w:rFonts w:ascii="Times New Roman" w:cs="Times New Roman" w:eastAsia="Times New Roman" w:hAnsi="Times New Roman"/>
          <w:sz w:val="22"/>
          <w:szCs w:val="22"/>
          <w:color w:val="auto"/>
        </w:rPr>
        <w:t>) and Section 8.13(d) (</w:t>
      </w: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 of the Original Purchase Agreement are each hereby deleted in its entirety. The definitions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in Section 1.1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of the Original Purchase Agreement are hereby deleted in their entirety.</w:t>
      </w:r>
    </w:p>
    <w:p>
      <w:pPr>
        <w:spacing w:after="0" w:line="173" w:lineRule="exact"/>
        <w:rPr>
          <w:rFonts w:ascii="Times New Roman" w:cs="Times New Roman" w:eastAsia="Times New Roman" w:hAnsi="Times New Roman"/>
          <w:sz w:val="22"/>
          <w:szCs w:val="22"/>
          <w:color w:val="auto"/>
        </w:rPr>
      </w:pPr>
    </w:p>
    <w:p>
      <w:pPr>
        <w:ind w:left="328" w:right="20" w:hanging="328"/>
        <w:spacing w:after="0" w:line="287" w:lineRule="auto"/>
        <w:tabs>
          <w:tab w:leader="none" w:pos="50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5.12 (</w:t>
      </w:r>
      <w:r>
        <w:rPr>
          <w:rFonts w:ascii="Times New Roman" w:cs="Times New Roman" w:eastAsia="Times New Roman" w:hAnsi="Times New Roman"/>
          <w:sz w:val="22"/>
          <w:szCs w:val="22"/>
          <w:i w:val="1"/>
          <w:iCs w:val="1"/>
          <w:color w:val="auto"/>
        </w:rPr>
        <w:t>No Implied Representations and Warranties</w:t>
      </w:r>
      <w:r>
        <w:rPr>
          <w:rFonts w:ascii="Times New Roman" w:cs="Times New Roman" w:eastAsia="Times New Roman" w:hAnsi="Times New Roman"/>
          <w:sz w:val="22"/>
          <w:szCs w:val="22"/>
          <w:color w:val="auto"/>
        </w:rPr>
        <w:t>) of the Original Purchase Agreement is hereby amended to include the phrase “OR IN AMENDMENT NO. 1” after each reference in such Section 5.12 to “IN ARTICLE IV”.</w:t>
      </w:r>
    </w:p>
    <w:p>
      <w:pPr>
        <w:spacing w:after="0" w:line="164" w:lineRule="exact"/>
        <w:rPr>
          <w:rFonts w:ascii="Times New Roman" w:cs="Times New Roman" w:eastAsia="Times New Roman" w:hAnsi="Times New Roman"/>
          <w:sz w:val="22"/>
          <w:szCs w:val="22"/>
          <w:color w:val="auto"/>
        </w:rPr>
      </w:pPr>
    </w:p>
    <w:p>
      <w:pPr>
        <w:ind w:left="328" w:hanging="328"/>
        <w:spacing w:after="0" w:line="275" w:lineRule="auto"/>
        <w:tabs>
          <w:tab w:leader="none" w:pos="41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7.1(a) (</w:t>
      </w:r>
      <w:r>
        <w:rPr>
          <w:rFonts w:ascii="Times New Roman" w:cs="Times New Roman" w:eastAsia="Times New Roman" w:hAnsi="Times New Roman"/>
          <w:sz w:val="22"/>
          <w:szCs w:val="22"/>
          <w:i w:val="1"/>
          <w:iCs w:val="1"/>
          <w:color w:val="auto"/>
        </w:rPr>
        <w:t>Indemnification by Seller</w:t>
      </w:r>
      <w:r>
        <w:rPr>
          <w:rFonts w:ascii="Times New Roman" w:cs="Times New Roman" w:eastAsia="Times New Roman" w:hAnsi="Times New Roman"/>
          <w:sz w:val="22"/>
          <w:szCs w:val="22"/>
          <w:color w:val="auto"/>
        </w:rPr>
        <w:t>) of the Original Purchase Agreement is hereby amended by deleting clause (i) in its entirety and replacing it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908"/>
          </w:cols>
          <w:pgMar w:left="652" w:top="1418" w:right="339" w:bottom="1440" w:gutter="0" w:footer="0" w:header="0"/>
        </w:sectPr>
      </w:pPr>
    </w:p>
    <w:bookmarkStart w:id="79" w:name="page80"/>
    <w:bookmarkEnd w:id="79"/>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“(i) any breach of any representation or warranty made by Seller in Amendment No. 1 or any breach of any Fundamental Representation made by Seller in this Agreement;”</w:t>
      </w:r>
    </w:p>
    <w:p>
      <w:pPr>
        <w:spacing w:after="0" w:line="154" w:lineRule="exact"/>
        <w:rPr>
          <w:sz w:val="20"/>
          <w:szCs w:val="20"/>
          <w:color w:val="auto"/>
        </w:rPr>
      </w:pPr>
    </w:p>
    <w:p>
      <w:pPr>
        <w:ind w:left="720" w:hanging="388"/>
        <w:spacing w:after="0"/>
        <w:tabs>
          <w:tab w:leader="none" w:pos="7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7.1(b) (</w:t>
      </w:r>
      <w:r>
        <w:rPr>
          <w:rFonts w:ascii="Times New Roman" w:cs="Times New Roman" w:eastAsia="Times New Roman" w:hAnsi="Times New Roman"/>
          <w:sz w:val="21"/>
          <w:szCs w:val="21"/>
          <w:i w:val="1"/>
          <w:iCs w:val="1"/>
          <w:color w:val="auto"/>
        </w:rPr>
        <w:t>Indemnification by Purchaser</w:t>
      </w:r>
      <w:r>
        <w:rPr>
          <w:rFonts w:ascii="Times New Roman" w:cs="Times New Roman" w:eastAsia="Times New Roman" w:hAnsi="Times New Roman"/>
          <w:sz w:val="21"/>
          <w:szCs w:val="21"/>
          <w:color w:val="auto"/>
        </w:rPr>
        <w:t>) of the Original Purchase Agreement is hereby amended by deleting clause</w:t>
      </w:r>
    </w:p>
    <w:p>
      <w:pPr>
        <w:spacing w:after="0" w:line="44" w:lineRule="exact"/>
        <w:rPr>
          <w:rFonts w:ascii="Times New Roman" w:cs="Times New Roman" w:eastAsia="Times New Roman" w:hAnsi="Times New Roman"/>
          <w:sz w:val="21"/>
          <w:szCs w:val="21"/>
          <w:color w:val="auto"/>
        </w:rPr>
      </w:pPr>
    </w:p>
    <w:p>
      <w:pPr>
        <w:ind w:left="920" w:hanging="264"/>
        <w:spacing w:after="0"/>
        <w:tabs>
          <w:tab w:leader="none" w:pos="92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its entirety and replacing it with the following:</w:t>
      </w:r>
    </w:p>
    <w:p>
      <w:pPr>
        <w:spacing w:after="0" w:line="207"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“(i) any breach of any representation or warranty made by Purchaser in Amendment No. 1 or any breach of any Fundamental Representation made by Purchaser in this Agreement:”</w:t>
      </w:r>
    </w:p>
    <w:p>
      <w:pPr>
        <w:spacing w:after="0" w:line="154" w:lineRule="exact"/>
        <w:rPr>
          <w:sz w:val="20"/>
          <w:szCs w:val="20"/>
          <w:color w:val="auto"/>
        </w:rPr>
      </w:pPr>
    </w:p>
    <w:p>
      <w:pPr>
        <w:ind w:left="720" w:hanging="388"/>
        <w:spacing w:after="0"/>
        <w:tabs>
          <w:tab w:leader="none" w:pos="72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7.4(a) (</w:t>
      </w:r>
      <w:r>
        <w:rPr>
          <w:rFonts w:ascii="Times New Roman" w:cs="Times New Roman" w:eastAsia="Times New Roman" w:hAnsi="Times New Roman"/>
          <w:sz w:val="21"/>
          <w:szCs w:val="21"/>
          <w:i w:val="1"/>
          <w:iCs w:val="1"/>
          <w:color w:val="auto"/>
        </w:rPr>
        <w:t>Limitation on Indemnification</w:t>
      </w:r>
      <w:r>
        <w:rPr>
          <w:rFonts w:ascii="Times New Roman" w:cs="Times New Roman" w:eastAsia="Times New Roman" w:hAnsi="Times New Roman"/>
          <w:sz w:val="21"/>
          <w:szCs w:val="21"/>
          <w:color w:val="auto"/>
        </w:rPr>
        <w:t>) of the Original Purchase Agreement is hereby amended by deleting clause</w:t>
      </w:r>
    </w:p>
    <w:p>
      <w:pPr>
        <w:spacing w:after="0" w:line="43"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its entirety and replacing it with the following:</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“(ii) under clause (i) of Section 7.1(a), in excess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20" w:hanging="388"/>
        <w:spacing w:after="0"/>
        <w:tabs>
          <w:tab w:leader="none" w:pos="7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7.4(b) (</w:t>
      </w:r>
      <w:r>
        <w:rPr>
          <w:rFonts w:ascii="Times New Roman" w:cs="Times New Roman" w:eastAsia="Times New Roman" w:hAnsi="Times New Roman"/>
          <w:sz w:val="21"/>
          <w:szCs w:val="21"/>
          <w:i w:val="1"/>
          <w:iCs w:val="1"/>
          <w:color w:val="auto"/>
        </w:rPr>
        <w:t>Limitation on Indemnification</w:t>
      </w:r>
      <w:r>
        <w:rPr>
          <w:rFonts w:ascii="Times New Roman" w:cs="Times New Roman" w:eastAsia="Times New Roman" w:hAnsi="Times New Roman"/>
          <w:sz w:val="21"/>
          <w:szCs w:val="21"/>
          <w:color w:val="auto"/>
        </w:rPr>
        <w:t>) of the Original Purchase Agreement is hereby amended by deleting clause</w:t>
      </w:r>
    </w:p>
    <w:p>
      <w:pPr>
        <w:spacing w:after="0" w:line="43"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its entirety and replacing it with the following:</w:t>
      </w:r>
    </w:p>
    <w:p>
      <w:pPr>
        <w:spacing w:after="0" w:line="192"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under clause (i) of Section 7.1(b) in excess of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hanging="328"/>
        <w:spacing w:after="0" w:line="275" w:lineRule="auto"/>
        <w:tabs>
          <w:tab w:leader="none" w:pos="77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7.5 (</w:t>
      </w:r>
      <w:r>
        <w:rPr>
          <w:rFonts w:ascii="Times New Roman" w:cs="Times New Roman" w:eastAsia="Times New Roman" w:hAnsi="Times New Roman"/>
          <w:sz w:val="22"/>
          <w:szCs w:val="22"/>
          <w:i w:val="1"/>
          <w:iCs w:val="1"/>
          <w:color w:val="auto"/>
        </w:rPr>
        <w:t>Survival of Representations and Warranties</w:t>
      </w:r>
      <w:r>
        <w:rPr>
          <w:rFonts w:ascii="Times New Roman" w:cs="Times New Roman" w:eastAsia="Times New Roman" w:hAnsi="Times New Roman"/>
          <w:sz w:val="22"/>
          <w:szCs w:val="22"/>
          <w:color w:val="auto"/>
        </w:rPr>
        <w:t>) of the Original Purchase Agreement is hereby amended by deleting the first sentence thereof in its entirety and replacing it with the following:</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hanging="652"/>
        <w:spacing w:after="0" w:line="249" w:lineRule="auto"/>
        <w:tabs>
          <w:tab w:leader="none" w:pos="40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Provisions</w:t>
      </w:r>
      <w:r>
        <w:rPr>
          <w:rFonts w:ascii="Times New Roman" w:cs="Times New Roman" w:eastAsia="Times New Roman" w:hAnsi="Times New Roman"/>
          <w:sz w:val="22"/>
          <w:szCs w:val="22"/>
          <w:color w:val="auto"/>
        </w:rPr>
        <w:t>. Except as amended and modified by this Amendment, the Original Purchase Agreement is unchanged and remains in full force and effect. From and after the Amendment Closing and for purposes of Section 2(a) and 2(b) of this Amendment, (a) any reference in the Original Purchase Agreement to “this Agreement”, “hereof”, “herein”, “hereby” or other words of similar import shall mean and be a reference to the Original Purchase Agreement as amended and modified hereby, (b) any reference in the Original Purchase Agreement to the Licensee Letter Agreement shall refer to the Licensee Letter Agreement, as supplemented by the Licensee Letter Supplement, and (c) any reference in the Original Purchase Agreement to the Bill of Sale and Assignment shall refer collectively to the Bill of Sale and Assignment and the Additional Bill of Sale.</w:t>
      </w:r>
    </w:p>
    <w:p>
      <w:pPr>
        <w:spacing w:after="0" w:line="181" w:lineRule="exact"/>
        <w:rPr>
          <w:rFonts w:ascii="Times New Roman" w:cs="Times New Roman" w:eastAsia="Times New Roman" w:hAnsi="Times New Roman"/>
          <w:sz w:val="22"/>
          <w:szCs w:val="22"/>
          <w:color w:val="auto"/>
        </w:rPr>
      </w:pPr>
    </w:p>
    <w:p>
      <w:pPr>
        <w:ind w:left="660" w:hanging="652"/>
        <w:spacing w:after="0" w:line="263" w:lineRule="auto"/>
        <w:tabs>
          <w:tab w:leader="none" w:pos="47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This Amendment may be amended, modified or supplemented only in a writing signed by both parties hereto. Any provision of this Amendment may be waived only in a writing, which writing must be signed by the party hereto granting such waiver.</w:t>
      </w:r>
    </w:p>
    <w:p>
      <w:pPr>
        <w:spacing w:after="0" w:line="167" w:lineRule="exact"/>
        <w:rPr>
          <w:rFonts w:ascii="Times New Roman" w:cs="Times New Roman" w:eastAsia="Times New Roman" w:hAnsi="Times New Roman"/>
          <w:sz w:val="22"/>
          <w:szCs w:val="22"/>
          <w:color w:val="auto"/>
        </w:rPr>
      </w:pPr>
    </w:p>
    <w:p>
      <w:pPr>
        <w:ind w:left="660" w:hanging="652"/>
        <w:spacing w:after="0" w:line="257" w:lineRule="auto"/>
        <w:tabs>
          <w:tab w:leader="none" w:pos="40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Actions</w:t>
      </w:r>
      <w:r>
        <w:rPr>
          <w:rFonts w:ascii="Times New Roman" w:cs="Times New Roman" w:eastAsia="Times New Roman" w:hAnsi="Times New Roman"/>
          <w:sz w:val="22"/>
          <w:szCs w:val="22"/>
          <w:color w:val="auto"/>
        </w:rPr>
        <w:t>. From and after the Amendment Effective Date, each of Purchaser and Seller shall execute and deliver such additional documents (including UCC financing statements, amendments and continuation statements), certificates, agreements and other writings and take such other actions as may be reasonably necessary or appropriate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80" w:name="page81"/>
    <w:bookmarkEnd w:id="80"/>
    <w:p>
      <w:pPr>
        <w:ind w:left="660"/>
        <w:spacing w:after="0" w:line="271" w:lineRule="auto"/>
        <w:rPr>
          <w:sz w:val="20"/>
          <w:szCs w:val="20"/>
          <w:color w:val="auto"/>
        </w:rPr>
      </w:pPr>
      <w:r>
        <w:rPr>
          <w:rFonts w:ascii="Times New Roman" w:cs="Times New Roman" w:eastAsia="Times New Roman" w:hAnsi="Times New Roman"/>
          <w:sz w:val="22"/>
          <w:szCs w:val="22"/>
          <w:color w:val="auto"/>
        </w:rPr>
        <w:t>carry out all of the provisions of this Amendment and to give full effect to and consummate the transactions contemplated by this Amendment.</w:t>
      </w:r>
    </w:p>
    <w:p>
      <w:pPr>
        <w:spacing w:after="0" w:line="158" w:lineRule="exact"/>
        <w:rPr>
          <w:sz w:val="20"/>
          <w:szCs w:val="20"/>
          <w:color w:val="auto"/>
        </w:rPr>
      </w:pPr>
    </w:p>
    <w:p>
      <w:pPr>
        <w:ind w:left="660" w:hanging="652"/>
        <w:spacing w:after="0" w:line="263" w:lineRule="auto"/>
        <w:tabs>
          <w:tab w:leader="none" w:pos="4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governed by and construed and interpreted in accordance with the Laws of the State of New York, without regard to the conflicts of Laws principles thereof to the extent that such principles would require or permit the application of the Laws of a jurisdiction other than the State of New York.</w:t>
      </w:r>
    </w:p>
    <w:p>
      <w:pPr>
        <w:spacing w:after="0" w:line="167" w:lineRule="exact"/>
        <w:rPr>
          <w:rFonts w:ascii="Times New Roman" w:cs="Times New Roman" w:eastAsia="Times New Roman" w:hAnsi="Times New Roman"/>
          <w:sz w:val="22"/>
          <w:szCs w:val="22"/>
          <w:color w:val="auto"/>
        </w:rPr>
      </w:pPr>
    </w:p>
    <w:p>
      <w:pPr>
        <w:ind w:left="660" w:hanging="652"/>
        <w:spacing w:after="0" w:line="249" w:lineRule="auto"/>
        <w:tabs>
          <w:tab w:leader="none" w:pos="55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Electronic Signatures</w:t>
      </w:r>
      <w:r>
        <w:rPr>
          <w:rFonts w:ascii="Times New Roman" w:cs="Times New Roman" w:eastAsia="Times New Roman" w:hAnsi="Times New Roman"/>
          <w:sz w:val="22"/>
          <w:szCs w:val="22"/>
          <w:color w:val="auto"/>
        </w:rPr>
        <w:t>. This Amendment may be executed in any number of counterparts and by the parties hereto in separate counterparts, each of which when so executed shall be deemed to be an original and all of which taken together shall constitute one and the same agreement. Counterparts may be (i) signed in person and delivered in person, via facsimile, or via other means of electronic delivery (including emailing an electronic copy thereof) and/or (ii) signed and delivered by means of employing electronic signature technology that complies with the Electronic Signatures in Global and National Commerce Act of 2000 (E-SIGN), or other applicable Law governing the execution and delivery of this Amendment through electronic means, and any counterpart so executed and delivered shall be deemed to have been duly and validly executed and delivered and be valid and enforceable for all purposes.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81" w:name="page82"/>
    <w:bookmarkEnd w:id="81"/>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executed by their respective representatives thereunto duly authorized as of the Amendment Effective Date.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ANAPTYSBIO,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130810</wp:posOffset>
            </wp:positionV>
            <wp:extent cx="21342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Daniel Faga</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w:t>
      </w:r>
    </w:p>
    <w:p>
      <w:pPr>
        <w:ind w:left="80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ectPr>
          <w:pgSz w:w="11900" w:h="16838" w:orient="portrait"/>
          <w:cols w:equalWidth="0" w:num="1">
            <w:col w:w="11240"/>
          </w:cols>
          <w:pgMar w:left="320" w:top="1422" w:right="339" w:bottom="1440" w:gutter="0" w:footer="0" w:header="0"/>
        </w:sectPr>
      </w:pPr>
    </w:p>
    <w:bookmarkStart w:id="82" w:name="page83"/>
    <w:bookmarkEnd w:id="82"/>
    <w:p>
      <w:pPr>
        <w:ind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executed by their respective representatives thereunto duly authorized as of the Amendment Effective Date.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SAGARD HEALTHCARE PARTNERS FUNDING BORROWER SPE 2, LP</w:t>
      </w:r>
    </w:p>
    <w:p>
      <w:pPr>
        <w:spacing w:after="0" w:line="264" w:lineRule="exact"/>
        <w:rPr>
          <w:sz w:val="20"/>
          <w:szCs w:val="20"/>
          <w:color w:val="auto"/>
        </w:rPr>
      </w:pPr>
    </w:p>
    <w:p>
      <w:pPr>
        <w:ind w:right="4880"/>
        <w:spacing w:after="0" w:line="271" w:lineRule="auto"/>
        <w:rPr>
          <w:sz w:val="20"/>
          <w:szCs w:val="20"/>
          <w:color w:val="auto"/>
        </w:rPr>
      </w:pPr>
      <w:r>
        <w:rPr>
          <w:rFonts w:ascii="Times New Roman" w:cs="Times New Roman" w:eastAsia="Times New Roman" w:hAnsi="Times New Roman"/>
          <w:sz w:val="22"/>
          <w:szCs w:val="22"/>
          <w:color w:val="auto"/>
        </w:rPr>
        <w:t>By: SAGARD HEALTHCARE PARTNERS FUNDING SPE 1, LLC its general partner</w:t>
      </w:r>
    </w:p>
    <w:p>
      <w:pPr>
        <w:spacing w:after="0" w:line="185" w:lineRule="exact"/>
        <w:rPr>
          <w:sz w:val="20"/>
          <w:szCs w:val="20"/>
          <w:color w:val="auto"/>
        </w:rPr>
      </w:pPr>
    </w:p>
    <w:p>
      <w:pPr>
        <w:ind w:right="5180"/>
        <w:spacing w:after="0" w:line="271" w:lineRule="auto"/>
        <w:rPr>
          <w:sz w:val="20"/>
          <w:szCs w:val="20"/>
          <w:color w:val="auto"/>
        </w:rPr>
      </w:pPr>
      <w:r>
        <w:rPr>
          <w:rFonts w:ascii="Times New Roman" w:cs="Times New Roman" w:eastAsia="Times New Roman" w:hAnsi="Times New Roman"/>
          <w:sz w:val="22"/>
          <w:szCs w:val="22"/>
          <w:color w:val="auto"/>
        </w:rPr>
        <w:t>By: SAGARD HEALTHCARE ROYALTY PARTNERS GP LLC its managing member</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Jason Sneah</w:t>
            </w:r>
          </w:p>
        </w:tc>
        <w:tc>
          <w:tcPr>
            <w:tcW w:w="0" w:type="dxa"/>
            <w:vAlign w:val="bottom"/>
          </w:tcPr>
          <w:p>
            <w:pPr>
              <w:spacing w:after="0"/>
              <w:rPr>
                <w:sz w:val="1"/>
                <w:szCs w:val="1"/>
                <w:color w:val="auto"/>
              </w:rPr>
            </w:pPr>
          </w:p>
        </w:tc>
      </w:tr>
      <w:tr>
        <w:trPr>
          <w:trHeight w:val="177"/>
        </w:trPr>
        <w:tc>
          <w:tcPr>
            <w:tcW w:w="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3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760" w:type="dxa"/>
            <w:vAlign w:val="bottom"/>
            <w:vMerge w:val="continue"/>
          </w:tcPr>
          <w:p>
            <w:pPr>
              <w:spacing w:after="0"/>
              <w:rPr>
                <w:sz w:val="23"/>
                <w:szCs w:val="23"/>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Jason Sneah</w:t>
            </w:r>
          </w:p>
        </w:tc>
        <w:tc>
          <w:tcPr>
            <w:tcW w:w="0" w:type="dxa"/>
            <w:vAlign w:val="bottom"/>
          </w:tcPr>
          <w:p>
            <w:pPr>
              <w:spacing w:after="0"/>
              <w:rPr>
                <w:sz w:val="1"/>
                <w:szCs w:val="1"/>
                <w:color w:val="auto"/>
              </w:rPr>
            </w:pPr>
          </w:p>
        </w:tc>
      </w:tr>
      <w:tr>
        <w:trPr>
          <w:trHeight w:val="580"/>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Manager</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3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0"/>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Adam Vigna</w:t>
            </w:r>
          </w:p>
        </w:tc>
        <w:tc>
          <w:tcPr>
            <w:tcW w:w="0" w:type="dxa"/>
            <w:vAlign w:val="bottom"/>
          </w:tcPr>
          <w:p>
            <w:pPr>
              <w:spacing w:after="0"/>
              <w:rPr>
                <w:sz w:val="1"/>
                <w:szCs w:val="1"/>
                <w:color w:val="auto"/>
              </w:rPr>
            </w:pPr>
          </w:p>
        </w:tc>
      </w:tr>
      <w:tr>
        <w:trPr>
          <w:trHeight w:val="177"/>
        </w:trPr>
        <w:tc>
          <w:tcPr>
            <w:tcW w:w="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3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760" w:type="dxa"/>
            <w:vAlign w:val="bottom"/>
            <w:vMerge w:val="continue"/>
          </w:tcPr>
          <w:p>
            <w:pPr>
              <w:spacing w:after="0"/>
              <w:rPr>
                <w:sz w:val="24"/>
                <w:szCs w:val="24"/>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Adam Vigna</w:t>
            </w:r>
          </w:p>
        </w:tc>
        <w:tc>
          <w:tcPr>
            <w:tcW w:w="0" w:type="dxa"/>
            <w:vAlign w:val="bottom"/>
          </w:tcPr>
          <w:p>
            <w:pPr>
              <w:spacing w:after="0"/>
              <w:rPr>
                <w:sz w:val="1"/>
                <w:szCs w:val="1"/>
                <w:color w:val="auto"/>
              </w:rPr>
            </w:pPr>
          </w:p>
        </w:tc>
      </w:tr>
      <w:tr>
        <w:trPr>
          <w:trHeight w:val="580"/>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Investment Officer</w:t>
            </w:r>
          </w:p>
        </w:tc>
        <w:tc>
          <w:tcPr>
            <w:tcW w:w="0" w:type="dxa"/>
            <w:vAlign w:val="bottom"/>
          </w:tcPr>
          <w:p>
            <w:pPr>
              <w:spacing w:after="0"/>
              <w:rPr>
                <w:sz w:val="1"/>
                <w:szCs w:val="1"/>
                <w:color w:val="auto"/>
              </w:rPr>
            </w:pPr>
          </w:p>
        </w:tc>
      </w:tr>
    </w:tbl>
    <w:p>
      <w:pPr>
        <w:sectPr>
          <w:pgSz w:w="11900" w:h="16838" w:orient="portrait"/>
          <w:cols w:equalWidth="0" w:num="1">
            <w:col w:w="10880"/>
          </w:cols>
          <w:pgMar w:left="320" w:top="1422" w:right="69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ectPr>
          <w:pgSz w:w="11900" w:h="16838" w:orient="portrait"/>
          <w:cols w:equalWidth="0" w:num="1">
            <w:col w:w="9019"/>
          </w:cols>
          <w:pgMar w:left="1440" w:top="1418"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8" w:right="1440" w:bottom="1440" w:gutter="0" w:footer="0" w:header="0"/>
          <w:type w:val="continuous"/>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ectPr>
          <w:pgSz w:w="11900" w:h="16838" w:orient="portrait"/>
          <w:cols w:equalWidth="0" w:num="1">
            <w:col w:w="9019"/>
          </w:cols>
          <w:pgMar w:left="1440" w:top="1418" w:right="1440"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8" w:right="1440"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C</w:t>
      </w:r>
    </w:p>
    <w:p>
      <w:pPr>
        <w:sectPr>
          <w:pgSz w:w="11900" w:h="16838" w:orient="portrait"/>
          <w:cols w:equalWidth="0" w:num="1">
            <w:col w:w="9019"/>
          </w:cols>
          <w:pgMar w:left="1440" w:top="1418" w:right="1440"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18" w:right="1440" w:bottom="1440" w:gutter="0" w:footer="0" w:header="0"/>
          <w:type w:val="continuous"/>
        </w:sectPr>
      </w:pPr>
    </w:p>
    <w:bookmarkStart w:id="86" w:name="page87"/>
    <w:bookmarkEnd w:id="86"/>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D</w:t>
      </w:r>
    </w:p>
    <w:p>
      <w:pPr>
        <w:sectPr>
          <w:pgSz w:w="11900" w:h="16838" w:orient="portrait"/>
          <w:cols w:equalWidth="0" w:num="1">
            <w:col w:w="9019"/>
          </w:cols>
          <w:pgMar w:left="1440" w:top="1440" w:right="1440"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40" w:right="1440" w:bottom="1440" w:gutter="0" w:footer="0" w:header="0"/>
          <w:type w:val="continuous"/>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Faga, certify that:</w:t>
      </w:r>
    </w:p>
    <w:p>
      <w:pPr>
        <w:spacing w:after="0" w:line="158" w:lineRule="exact"/>
        <w:rPr>
          <w:sz w:val="20"/>
          <w:szCs w:val="20"/>
          <w:color w:val="auto"/>
        </w:rPr>
      </w:pPr>
    </w:p>
    <w:p>
      <w:pPr>
        <w:ind w:left="180" w:hanging="172"/>
        <w:spacing w:after="0"/>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17" w:lineRule="exact"/>
        <w:rPr>
          <w:rFonts w:ascii="Times New Roman" w:cs="Times New Roman" w:eastAsia="Times New Roman" w:hAnsi="Times New Roman"/>
          <w:sz w:val="18"/>
          <w:szCs w:val="18"/>
          <w:color w:val="auto"/>
        </w:rPr>
      </w:pPr>
    </w:p>
    <w:p>
      <w:pPr>
        <w:ind w:left="180" w:right="100" w:hanging="172"/>
        <w:spacing w:after="0" w:line="312" w:lineRule="auto"/>
        <w:tabs>
          <w:tab w:leader="none" w:pos="19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left="180" w:right="540" w:hanging="172"/>
        <w:spacing w:after="0" w:line="282" w:lineRule="auto"/>
        <w:tabs>
          <w:tab w:leader="none" w:pos="19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20" w:hanging="172"/>
        <w:spacing w:after="0" w:line="266" w:lineRule="auto"/>
        <w:tabs>
          <w:tab w:leader="none" w:pos="19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20" w:right="80" w:hanging="169"/>
        <w:spacing w:after="0" w:line="266" w:lineRule="auto"/>
        <w:tabs>
          <w:tab w:leader="none" w:pos="44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20" w:right="60" w:hanging="169"/>
        <w:spacing w:after="0" w:line="266" w:lineRule="auto"/>
        <w:tabs>
          <w:tab w:leader="none" w:pos="45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20" w:right="120" w:hanging="169"/>
        <w:spacing w:after="0" w:line="282" w:lineRule="auto"/>
        <w:tabs>
          <w:tab w:leader="none" w:pos="44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hanging="169"/>
        <w:spacing w:after="0" w:line="266" w:lineRule="auto"/>
        <w:tabs>
          <w:tab w:leader="none" w:pos="45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80" w:right="480" w:hanging="172"/>
        <w:spacing w:after="0" w:line="282" w:lineRule="auto"/>
        <w:tabs>
          <w:tab w:leader="none" w:pos="19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0" w:hanging="169"/>
        <w:spacing w:after="0" w:line="282" w:lineRule="auto"/>
        <w:tabs>
          <w:tab w:leader="none" w:pos="44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80" w:hanging="169"/>
        <w:spacing w:after="0" w:line="282" w:lineRule="auto"/>
        <w:tabs>
          <w:tab w:leader="none" w:pos="45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2024</w:t>
      </w:r>
    </w:p>
    <w:p>
      <w:pPr>
        <w:spacing w:after="0" w:line="36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30086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Daniel Faga</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ectPr>
          <w:pgSz w:w="11900" w:h="16838" w:orient="portrait"/>
          <w:cols w:equalWidth="0" w:num="1">
            <w:col w:w="11240"/>
          </w:cols>
          <w:pgMar w:left="320" w:top="1413"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Mulroy, certify that:</w:t>
      </w:r>
    </w:p>
    <w:p>
      <w:pPr>
        <w:spacing w:after="0" w:line="212" w:lineRule="exact"/>
        <w:rPr>
          <w:sz w:val="20"/>
          <w:szCs w:val="20"/>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AnaptysBio, Inc.;</w:t>
      </w:r>
    </w:p>
    <w:p>
      <w:pPr>
        <w:spacing w:after="0" w:line="157" w:lineRule="exact"/>
        <w:rPr>
          <w:rFonts w:ascii="Times New Roman" w:cs="Times New Roman" w:eastAsia="Times New Roman" w:hAnsi="Times New Roman"/>
          <w:sz w:val="18"/>
          <w:szCs w:val="18"/>
          <w:color w:val="auto"/>
        </w:rPr>
      </w:pPr>
    </w:p>
    <w:p>
      <w:pPr>
        <w:ind w:left="180" w:right="100" w:hanging="172"/>
        <w:spacing w:after="0" w:line="312" w:lineRule="auto"/>
        <w:tabs>
          <w:tab w:leader="none" w:pos="19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left="180" w:right="540" w:hanging="172"/>
        <w:spacing w:after="0" w:line="282" w:lineRule="auto"/>
        <w:tabs>
          <w:tab w:leader="none" w:pos="19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80" w:right="20" w:hanging="172"/>
        <w:spacing w:after="0" w:line="266" w:lineRule="auto"/>
        <w:tabs>
          <w:tab w:leader="none" w:pos="19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20" w:right="80" w:hanging="169"/>
        <w:spacing w:after="0" w:line="266" w:lineRule="auto"/>
        <w:tabs>
          <w:tab w:leader="none" w:pos="44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20" w:right="60" w:hanging="169"/>
        <w:spacing w:after="0" w:line="266" w:lineRule="auto"/>
        <w:tabs>
          <w:tab w:leader="none" w:pos="45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20" w:right="120" w:hanging="169"/>
        <w:spacing w:after="0" w:line="282" w:lineRule="auto"/>
        <w:tabs>
          <w:tab w:leader="none" w:pos="44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hanging="169"/>
        <w:spacing w:after="0" w:line="266" w:lineRule="auto"/>
        <w:tabs>
          <w:tab w:leader="none" w:pos="45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80" w:right="480" w:hanging="172"/>
        <w:spacing w:after="0" w:line="282" w:lineRule="auto"/>
        <w:tabs>
          <w:tab w:leader="none" w:pos="19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0" w:hanging="169"/>
        <w:spacing w:after="0" w:line="282" w:lineRule="auto"/>
        <w:tabs>
          <w:tab w:leader="none" w:pos="44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80" w:hanging="169"/>
        <w:spacing w:after="0" w:line="282" w:lineRule="auto"/>
        <w:tabs>
          <w:tab w:leader="none" w:pos="45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2024</w:t>
      </w:r>
    </w:p>
    <w:p>
      <w:pPr>
        <w:spacing w:after="0" w:line="3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17145</wp:posOffset>
            </wp:positionV>
            <wp:extent cx="43376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Dennis Mulroy</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13"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Faga, Chief Executive Officer of AnaptysBio, Inc.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99" w:lineRule="exact"/>
        <w:rPr>
          <w:sz w:val="20"/>
          <w:szCs w:val="20"/>
          <w:color w:val="auto"/>
        </w:rPr>
      </w:pPr>
    </w:p>
    <w:p>
      <w:pPr>
        <w:ind w:left="900" w:right="600" w:hanging="406"/>
        <w:spacing w:after="0" w:line="312" w:lineRule="auto"/>
        <w:tabs>
          <w:tab w:leader="none" w:pos="89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quarter ended June 30, 2024 (the “Report”), as filed with the Securities and Exchange Commission, fully complies with the requirements of Section 13(a) or 15(d) of the Securities Exchange Act of 1934; and</w:t>
      </w:r>
    </w:p>
    <w:p>
      <w:pPr>
        <w:spacing w:after="0" w:line="31" w:lineRule="exact"/>
        <w:rPr>
          <w:rFonts w:ascii="Times New Roman" w:cs="Times New Roman" w:eastAsia="Times New Roman" w:hAnsi="Times New Roman"/>
          <w:sz w:val="17"/>
          <w:szCs w:val="17"/>
          <w:color w:val="auto"/>
        </w:rPr>
      </w:pPr>
    </w:p>
    <w:p>
      <w:pPr>
        <w:ind w:left="900" w:right="740" w:hanging="406"/>
        <w:spacing w:after="0" w:line="282" w:lineRule="auto"/>
        <w:tabs>
          <w:tab w:leader="none" w:pos="8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2024</w:t>
      </w:r>
    </w:p>
    <w:p>
      <w:pPr>
        <w:spacing w:after="0" w:line="36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17145</wp:posOffset>
            </wp:positionV>
            <wp:extent cx="30257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Daniel Faga</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ectPr>
          <w:pgSz w:w="11900" w:h="16838" w:orient="portrait"/>
          <w:cols w:equalWidth="0" w:num="1">
            <w:col w:w="11240"/>
          </w:cols>
          <w:pgMar w:left="320" w:top="1413" w:right="339" w:bottom="1440" w:gutter="0" w:footer="0" w:header="0"/>
        </w:sectPr>
      </w:pPr>
    </w:p>
    <w:bookmarkStart w:id="90" w:name="page91"/>
    <w:bookmarkEnd w:id="90"/>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Mulroy, Chief Financial Officer of AnaptysBio, Inc.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99" w:lineRule="exact"/>
        <w:rPr>
          <w:sz w:val="20"/>
          <w:szCs w:val="20"/>
          <w:color w:val="auto"/>
        </w:rPr>
      </w:pPr>
    </w:p>
    <w:p>
      <w:pPr>
        <w:ind w:left="900" w:right="600" w:hanging="406"/>
        <w:spacing w:after="0" w:line="312" w:lineRule="auto"/>
        <w:tabs>
          <w:tab w:leader="none" w:pos="89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quarter ended June 30, 2024 (the “Report”), as filed with the Securities and Exchange Commission, fully complies with the requirements of Section 13(a) or 15(d) of the Securities Exchange Act of 1934; and</w:t>
      </w:r>
    </w:p>
    <w:p>
      <w:pPr>
        <w:spacing w:after="0" w:line="31" w:lineRule="exact"/>
        <w:rPr>
          <w:rFonts w:ascii="Times New Roman" w:cs="Times New Roman" w:eastAsia="Times New Roman" w:hAnsi="Times New Roman"/>
          <w:sz w:val="17"/>
          <w:szCs w:val="17"/>
          <w:color w:val="auto"/>
        </w:rPr>
      </w:pPr>
    </w:p>
    <w:p>
      <w:pPr>
        <w:ind w:left="900" w:right="740" w:hanging="406"/>
        <w:spacing w:after="0" w:line="282" w:lineRule="auto"/>
        <w:tabs>
          <w:tab w:leader="none" w:pos="8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2024</w:t>
      </w:r>
    </w:p>
    <w:p>
      <w:pPr>
        <w:spacing w:after="0" w:line="36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42348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Dennis Mulroy</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6"/>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decimal"/>
      <w:start w:val="7"/>
    </w:lvl>
  </w:abstractNum>
  <w:abstractNum w:abstractNumId="10">
    <w:nsid w:val="5C482A97"/>
    <w:multiLevelType w:val="hybridMultilevel"/>
    <w:lvl w:ilvl="0">
      <w:lvlJc w:val="left"/>
      <w:lvlText w:val="%1."/>
      <w:numFmt w:val="decimal"/>
      <w:start w:val="8"/>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9"/>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emdash "/>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lvl w:ilvl="1">
      <w:lvlJc w:val="left"/>
      <w:lvlText w:val="%2"/>
      <w:numFmt w:val="decimal"/>
      <w:start w:val="104"/>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1)"/>
      <w:numFmt w:val="lowerRoman"/>
      <w:start w:val="1"/>
    </w:lvl>
  </w:abstractNum>
  <w:abstractNum w:abstractNumId="40">
    <w:nsid w:val="70C6A529"/>
    <w:multiLevelType w:val="hybridMultilevel"/>
    <w:lvl w:ilvl="0">
      <w:lvlJc w:val="left"/>
      <w:lvlText w:val="(%1)"/>
      <w:numFmt w:val="lowerRoman"/>
      <w:start w:val="4"/>
    </w:lvl>
  </w:abstractNum>
  <w:abstractNum w:abstractNumId="41">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
    <w:nsid w:val="374A3FE6"/>
    <w:multiLevelType w:val="hybridMultilevel"/>
    <w:lvl w:ilvl="0">
      <w:lvlJc w:val="left"/>
      <w:lvlText w:val="%1"/>
      <w:numFmt w:val="lowerLetter"/>
      <w:start w:val="1"/>
    </w:lvl>
    <w:lvl w:ilvl="1">
      <w:lvlJc w:val="left"/>
      <w:lvlText w:val="%2."/>
      <w:numFmt w:val="lowerRoman"/>
      <w:start w:val="3"/>
    </w:lvl>
  </w:abstractNum>
  <w:abstractNum w:abstractNumId="43">
    <w:nsid w:val="4F4EF005"/>
    <w:multiLevelType w:val="hybridMultilevel"/>
    <w:lvl w:ilvl="0">
      <w:lvlJc w:val="left"/>
      <w:lvlText w:val="%1."/>
      <w:numFmt w:val="lowerLetter"/>
      <w:start w:val="2"/>
    </w:lvl>
    <w:lvl w:ilvl="1">
      <w:lvlJc w:val="left"/>
      <w:lvlText w:val="%2."/>
      <w:numFmt w:val="lowerRoman"/>
      <w:start w:val="1"/>
    </w:lvl>
  </w:abstractNum>
  <w:abstractNum w:abstractNumId="44">
    <w:nsid w:val="23F9C13C"/>
    <w:multiLevelType w:val="hybridMultilevel"/>
    <w:lvl w:ilvl="0">
      <w:lvlJc w:val="left"/>
      <w:lvlText w:val="%1"/>
      <w:numFmt w:val="lowerLetter"/>
      <w:start w:val="1"/>
    </w:lvl>
    <w:lvl w:ilvl="1">
      <w:lvlJc w:val="left"/>
      <w:lvlText w:val="%2."/>
      <w:numFmt w:val="lowerRoman"/>
      <w:start w:val="2"/>
    </w:lvl>
  </w:abstractNum>
  <w:abstractNum w:abstractNumId="45">
    <w:nsid w:val="649BB77C"/>
    <w:multiLevelType w:val="hybridMultilevel"/>
    <w:lvl w:ilvl="0">
      <w:lvlJc w:val="left"/>
      <w:lvlText w:val="%1."/>
      <w:numFmt w:val="lowerLetter"/>
      <w:start w:val="3"/>
    </w:lvl>
    <w:lvl w:ilvl="1">
      <w:lvlJc w:val="left"/>
      <w:lvlText w:val="%2"/>
      <w:numFmt w:val="lowerRoman"/>
      <w:start w:val="1"/>
    </w:lvl>
  </w:abstractNum>
  <w:abstractNum w:abstractNumId="46">
    <w:nsid w:val="275AC794"/>
    <w:multiLevelType w:val="hybridMultilevel"/>
    <w:lvl w:ilvl="0">
      <w:lvlJc w:val="left"/>
      <w:lvlText w:val="%1"/>
      <w:numFmt w:val="decimal"/>
      <w:start w:val="1"/>
    </w:lvl>
    <w:lvl w:ilvl="1">
      <w:lvlJc w:val="left"/>
      <w:lvlText w:val="%2."/>
      <w:numFmt w:val="lowerLetter"/>
      <w:start w:val="7"/>
    </w:lvl>
  </w:abstractNum>
  <w:abstractNum w:abstractNumId="47">
    <w:nsid w:val="39386575"/>
    <w:multiLevelType w:val="hybridMultilevel"/>
    <w:lvl w:ilvl="0">
      <w:lvlJc w:val="left"/>
      <w:lvlText w:val="%1."/>
      <w:numFmt w:val="decimal"/>
      <w:start w:val="3"/>
    </w:lvl>
    <w:lvl w:ilvl="1">
      <w:lvlJc w:val="left"/>
      <w:lvlText w:val="%2."/>
      <w:numFmt w:val="lowerLetter"/>
      <w:start w:val="1"/>
    </w:lvl>
  </w:abstractNum>
  <w:abstractNum w:abstractNumId="48">
    <w:nsid w:val="1CF10FD8"/>
    <w:multiLevelType w:val="hybridMultilevel"/>
    <w:lvl w:ilvl="0">
      <w:lvlJc w:val="left"/>
      <w:lvlText w:val="%1."/>
      <w:numFmt w:val="lowerLetter"/>
      <w:start w:val="2"/>
    </w:lvl>
  </w:abstractNum>
  <w:abstractNum w:abstractNumId="49">
    <w:nsid w:val="180115BE"/>
    <w:multiLevelType w:val="hybridMultilevel"/>
    <w:lvl w:ilvl="0">
      <w:lvlJc w:val="left"/>
      <w:lvlText w:val="%1."/>
      <w:numFmt w:val="lowerLetter"/>
      <w:start w:val="4"/>
    </w:lvl>
  </w:abstractNum>
  <w:abstractNum w:abstractNumId="50">
    <w:nsid w:val="235BA861"/>
    <w:multiLevelType w:val="hybridMultilevel"/>
    <w:lvl w:ilvl="0">
      <w:lvlJc w:val="left"/>
      <w:lvlText w:val="%1."/>
      <w:numFmt w:val="lowerLetter"/>
      <w:start w:val="5"/>
    </w:lvl>
  </w:abstractNum>
  <w:abstractNum w:abstractNumId="51">
    <w:nsid w:val="47398C89"/>
    <w:multiLevelType w:val="hybridMultilevel"/>
    <w:lvl w:ilvl="0">
      <w:lvlJc w:val="left"/>
      <w:lvlText w:val="%1."/>
      <w:numFmt w:val="lowerLetter"/>
      <w:start w:val="6"/>
    </w:lvl>
  </w:abstractNum>
  <w:abstractNum w:abstractNumId="52">
    <w:nsid w:val="354FE9F9"/>
    <w:multiLevelType w:val="hybridMultilevel"/>
    <w:lvl w:ilvl="0">
      <w:lvlJc w:val="left"/>
      <w:lvlText w:val="%1."/>
      <w:numFmt w:val="lowerLetter"/>
      <w:start w:val="7"/>
    </w:lvl>
  </w:abstractNum>
  <w:abstractNum w:abstractNumId="53">
    <w:nsid w:val="15B5AF5C"/>
    <w:multiLevelType w:val="hybridMultilevel"/>
    <w:lvl w:ilvl="0">
      <w:lvlJc w:val="left"/>
      <w:lvlText w:val="%1"/>
      <w:numFmt w:val="lowerLetter"/>
      <w:start w:val="1"/>
    </w:lvl>
    <w:lvl w:ilvl="1">
      <w:lvlJc w:val="left"/>
      <w:lvlText w:val="(%2)"/>
      <w:numFmt w:val="lowerLetter"/>
      <w:start w:val="1"/>
    </w:lvl>
  </w:abstractNum>
  <w:abstractNum w:abstractNumId="54">
    <w:nsid w:val="741226BB"/>
    <w:multiLevelType w:val="hybridMultilevel"/>
    <w:lvl w:ilvl="0">
      <w:lvlJc w:val="left"/>
      <w:lvlText w:val="%1."/>
      <w:numFmt w:val="lowerLetter"/>
      <w:start w:val="12"/>
    </w:lvl>
  </w:abstractNum>
  <w:abstractNum w:abstractNumId="55">
    <w:nsid w:val="D34B6A8"/>
    <w:multiLevelType w:val="hybridMultilevel"/>
    <w:lvl w:ilvl="0">
      <w:lvlJc w:val="left"/>
      <w:lvlText w:val="%1."/>
      <w:numFmt w:val="lowerLetter"/>
      <w:start w:val="15"/>
    </w:lvl>
    <w:lvl w:ilvl="1">
      <w:lvlJc w:val="left"/>
      <w:lvlText w:val="(%2)"/>
      <w:numFmt w:val="lowerRoman"/>
      <w:start w:val="1"/>
    </w:lvl>
  </w:abstractNum>
  <w:abstractNum w:abstractNumId="56">
    <w:nsid w:val="10233C99"/>
    <w:multiLevelType w:val="hybridMultilevel"/>
    <w:lvl w:ilvl="0">
      <w:lvlJc w:val="left"/>
      <w:lvlText w:val="%1."/>
      <w:numFmt w:val="lowerLetter"/>
      <w:start w:val="16"/>
    </w:lvl>
    <w:lvl w:ilvl="1">
      <w:lvlJc w:val="left"/>
      <w:lvlText w:val="(%2)"/>
      <w:numFmt w:val="lowerRoman"/>
      <w:start w:val="2"/>
    </w:lvl>
  </w:abstractNum>
  <w:abstractNum w:abstractNumId="57">
    <w:nsid w:val="3F6AB60F"/>
    <w:multiLevelType w:val="hybridMultilevel"/>
    <w:lvl w:ilvl="0">
      <w:lvlJc w:val="left"/>
      <w:lvlText w:val="%1."/>
      <w:numFmt w:val="lowerLetter"/>
      <w:start w:val="17"/>
    </w:lvl>
    <w:lvl w:ilvl="1">
      <w:lvlJc w:val="left"/>
      <w:lvlText w:val="(%2)"/>
      <w:numFmt w:val="lowerRoman"/>
      <w:start w:val="2"/>
    </w:lvl>
  </w:abstractNum>
  <w:abstractNum w:abstractNumId="58">
    <w:nsid w:val="61574095"/>
    <w:multiLevelType w:val="hybridMultilevel"/>
    <w:lvl w:ilvl="0">
      <w:lvlJc w:val="left"/>
      <w:lvlText w:val="%1."/>
      <w:numFmt w:val="lowerLetter"/>
      <w:start w:val="18"/>
    </w:lvl>
  </w:abstractNum>
  <w:abstractNum w:abstractNumId="59">
    <w:nsid w:val="7E0C57B1"/>
    <w:multiLevelType w:val="hybridMultilevel"/>
    <w:lvl w:ilvl="0">
      <w:lvlJc w:val="left"/>
      <w:lvlText w:val="%1."/>
      <w:numFmt w:val="decimal"/>
      <w:start w:val="6"/>
    </w:lvl>
  </w:abstractNum>
  <w:abstractNum w:abstractNumId="60">
    <w:nsid w:val="77AE35EB"/>
    <w:multiLevelType w:val="hybridMultilevel"/>
    <w:lvl w:ilvl="0">
      <w:lvlJc w:val="left"/>
      <w:lvlText w:val="%1."/>
      <w:numFmt w:val="decimal"/>
      <w:start w:val="9"/>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2024-08-05T15:34:48Z</dcterms:created>
  <dcterms:modified xsi:type="dcterms:W3CDTF">2024-08-05T15:34:48Z</dcterms:modified>
</cp:coreProperties>
</file>