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2)*</w:t>
      </w:r>
    </w:p>
    <w:p>
      <w:pPr>
        <w:spacing w:after="0" w:line="213" w:lineRule="exact"/>
        <w:rPr>
          <w:sz w:val="24"/>
          <w:szCs w:val="24"/>
          <w:color w:val="auto"/>
        </w:rPr>
      </w:pPr>
    </w:p>
    <w:p>
      <w:pPr>
        <w:ind w:left="5040"/>
        <w:spacing w:after="0"/>
        <w:rPr>
          <w:sz w:val="20"/>
          <w:szCs w:val="20"/>
          <w:color w:val="auto"/>
        </w:rPr>
      </w:pPr>
      <w:r>
        <w:rPr>
          <w:rFonts w:ascii="Arial" w:cs="Arial" w:eastAsia="Arial" w:hAnsi="Arial"/>
          <w:sz w:val="20"/>
          <w:szCs w:val="20"/>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100" w:hanging="86"/>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11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240" w:top="231"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032724106</w:t>
            </w:r>
          </w:p>
        </w:tc>
        <w:tc>
          <w:tcPr>
            <w:tcW w:w="6400" w:type="dxa"/>
            <w:vAlign w:val="bottom"/>
          </w:tcPr>
          <w:p>
            <w:pPr>
              <w:ind w:left="3640"/>
              <w:spacing w:after="0"/>
              <w:rPr>
                <w:sz w:val="20"/>
                <w:szCs w:val="20"/>
                <w:color w:val="auto"/>
              </w:rPr>
            </w:pPr>
            <w:r>
              <w:rPr>
                <w:rFonts w:ascii="Arial" w:cs="Arial" w:eastAsia="Arial" w:hAnsi="Arial"/>
                <w:sz w:val="18"/>
                <w:szCs w:val="18"/>
                <w:b w:val="1"/>
                <w:bCs w:val="1"/>
                <w:color w:val="auto"/>
              </w:rPr>
              <w:t>13G/A</w:t>
            </w:r>
          </w:p>
        </w:tc>
        <w:tc>
          <w:tcPr>
            <w:tcW w:w="3180" w:type="dxa"/>
            <w:vAlign w:val="bottom"/>
          </w:tcPr>
          <w:p>
            <w:pPr>
              <w:ind w:left="1780"/>
              <w:spacing w:after="0"/>
              <w:rPr>
                <w:sz w:val="20"/>
                <w:szCs w:val="20"/>
                <w:color w:val="auto"/>
              </w:rPr>
            </w:pPr>
            <w:r>
              <w:rPr>
                <w:rFonts w:ascii="Arial" w:cs="Arial" w:eastAsia="Arial" w:hAnsi="Arial"/>
                <w:sz w:val="18"/>
                <w:szCs w:val="18"/>
                <w:b w:val="1"/>
                <w:bCs w:val="1"/>
                <w:color w:val="auto"/>
                <w:w w:val="84"/>
              </w:rPr>
              <w:t>Page 2 of 11 Pages</w:t>
            </w:r>
          </w:p>
        </w:tc>
        <w:tc>
          <w:tcPr>
            <w:tcW w:w="0" w:type="dxa"/>
            <w:vAlign w:val="bottom"/>
          </w:tcPr>
          <w:p>
            <w:pPr>
              <w:spacing w:after="0"/>
              <w:rPr>
                <w:sz w:val="1"/>
                <w:szCs w:val="1"/>
                <w:color w:val="auto"/>
              </w:rPr>
            </w:pPr>
          </w:p>
        </w:tc>
      </w:tr>
      <w:tr>
        <w:trPr>
          <w:trHeight w:val="338"/>
        </w:trPr>
        <w:tc>
          <w:tcPr>
            <w:tcW w:w="18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400" w:type="dxa"/>
            <w:vAlign w:val="bottom"/>
          </w:tcPr>
          <w:p>
            <w:pPr>
              <w:ind w:left="120"/>
              <w:spacing w:after="0"/>
              <w:rPr>
                <w:sz w:val="20"/>
                <w:szCs w:val="20"/>
                <w:color w:val="auto"/>
              </w:rPr>
            </w:pPr>
            <w:r>
              <w:rPr>
                <w:rFonts w:ascii="Arial" w:cs="Arial" w:eastAsia="Arial" w:hAnsi="Arial"/>
                <w:sz w:val="16"/>
                <w:szCs w:val="16"/>
                <w:color w:val="auto"/>
              </w:rPr>
              <w:t>NAME OF REPORTING PERSON</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400" w:type="dxa"/>
            <w:vAlign w:val="bottom"/>
            <w:vMerge w:val="restart"/>
          </w:tcPr>
          <w:p>
            <w:pPr>
              <w:ind w:left="460"/>
              <w:spacing w:after="0"/>
              <w:rPr>
                <w:sz w:val="20"/>
                <w:szCs w:val="20"/>
                <w:color w:val="auto"/>
              </w:rPr>
            </w:pPr>
            <w:r>
              <w:rPr>
                <w:rFonts w:ascii="Arial" w:cs="Arial" w:eastAsia="Arial" w:hAnsi="Arial"/>
                <w:sz w:val="20"/>
                <w:szCs w:val="20"/>
                <w:color w:val="auto"/>
              </w:rPr>
              <w:t>Adage Capital Partners, L.P.</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400" w:type="dxa"/>
            <w:vAlign w:val="bottom"/>
          </w:tcPr>
          <w:p>
            <w:pPr>
              <w:ind w:left="120"/>
              <w:spacing w:after="0"/>
              <w:rPr>
                <w:sz w:val="20"/>
                <w:szCs w:val="20"/>
                <w:color w:val="auto"/>
              </w:rPr>
            </w:pPr>
            <w:r>
              <w:rPr>
                <w:rFonts w:ascii="Arial" w:cs="Arial" w:eastAsia="Arial" w:hAnsi="Arial"/>
                <w:sz w:val="16"/>
                <w:szCs w:val="16"/>
                <w:color w:val="auto"/>
              </w:rPr>
              <w:t>CHECK THE APPROPRIATE BOX IF A MEMBER OF A GROUP</w:t>
            </w:r>
          </w:p>
        </w:tc>
        <w:tc>
          <w:tcPr>
            <w:tcW w:w="3180" w:type="dxa"/>
            <w:vAlign w:val="bottom"/>
            <w:vMerge w:val="restart"/>
          </w:tcPr>
          <w:p>
            <w:pPr>
              <w:ind w:left="19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40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180" w:type="dxa"/>
            <w:vAlign w:val="bottom"/>
          </w:tcPr>
          <w:p>
            <w:pPr>
              <w:ind w:left="192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2"/>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2,295,000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2,295,000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2,295,000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8.58%</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PN</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032724106</w:t>
            </w:r>
          </w:p>
        </w:tc>
        <w:tc>
          <w:tcPr>
            <w:tcW w:w="6400" w:type="dxa"/>
            <w:vAlign w:val="bottom"/>
          </w:tcPr>
          <w:p>
            <w:pPr>
              <w:ind w:left="3640"/>
              <w:spacing w:after="0"/>
              <w:rPr>
                <w:sz w:val="20"/>
                <w:szCs w:val="20"/>
                <w:color w:val="auto"/>
              </w:rPr>
            </w:pPr>
            <w:r>
              <w:rPr>
                <w:rFonts w:ascii="Arial" w:cs="Arial" w:eastAsia="Arial" w:hAnsi="Arial"/>
                <w:sz w:val="18"/>
                <w:szCs w:val="18"/>
                <w:b w:val="1"/>
                <w:bCs w:val="1"/>
                <w:color w:val="auto"/>
              </w:rPr>
              <w:t>13G/A</w:t>
            </w:r>
          </w:p>
        </w:tc>
        <w:tc>
          <w:tcPr>
            <w:tcW w:w="3180" w:type="dxa"/>
            <w:vAlign w:val="bottom"/>
          </w:tcPr>
          <w:p>
            <w:pPr>
              <w:ind w:left="1780"/>
              <w:spacing w:after="0"/>
              <w:rPr>
                <w:sz w:val="20"/>
                <w:szCs w:val="20"/>
                <w:color w:val="auto"/>
              </w:rPr>
            </w:pPr>
            <w:r>
              <w:rPr>
                <w:rFonts w:ascii="Arial" w:cs="Arial" w:eastAsia="Arial" w:hAnsi="Arial"/>
                <w:sz w:val="18"/>
                <w:szCs w:val="18"/>
                <w:b w:val="1"/>
                <w:bCs w:val="1"/>
                <w:color w:val="auto"/>
                <w:w w:val="84"/>
              </w:rPr>
              <w:t>Page 3 of 11 Pages</w:t>
            </w:r>
          </w:p>
        </w:tc>
        <w:tc>
          <w:tcPr>
            <w:tcW w:w="0" w:type="dxa"/>
            <w:vAlign w:val="bottom"/>
          </w:tcPr>
          <w:p>
            <w:pPr>
              <w:spacing w:after="0"/>
              <w:rPr>
                <w:sz w:val="1"/>
                <w:szCs w:val="1"/>
                <w:color w:val="auto"/>
              </w:rPr>
            </w:pPr>
          </w:p>
        </w:tc>
      </w:tr>
      <w:tr>
        <w:trPr>
          <w:trHeight w:val="432"/>
        </w:trPr>
        <w:tc>
          <w:tcPr>
            <w:tcW w:w="18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400" w:type="dxa"/>
            <w:vAlign w:val="bottom"/>
          </w:tcPr>
          <w:p>
            <w:pPr>
              <w:ind w:left="120"/>
              <w:spacing w:after="0"/>
              <w:rPr>
                <w:sz w:val="20"/>
                <w:szCs w:val="20"/>
                <w:color w:val="auto"/>
              </w:rPr>
            </w:pPr>
            <w:r>
              <w:rPr>
                <w:rFonts w:ascii="Arial" w:cs="Arial" w:eastAsia="Arial" w:hAnsi="Arial"/>
                <w:sz w:val="16"/>
                <w:szCs w:val="16"/>
                <w:color w:val="auto"/>
              </w:rPr>
              <w:t>NAME OF REPORTING PERSON</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400" w:type="dxa"/>
            <w:vAlign w:val="bottom"/>
            <w:vMerge w:val="restart"/>
          </w:tcPr>
          <w:p>
            <w:pPr>
              <w:ind w:left="460"/>
              <w:spacing w:after="0"/>
              <w:rPr>
                <w:sz w:val="20"/>
                <w:szCs w:val="20"/>
                <w:color w:val="auto"/>
              </w:rPr>
            </w:pPr>
            <w:r>
              <w:rPr>
                <w:rFonts w:ascii="Arial" w:cs="Arial" w:eastAsia="Arial" w:hAnsi="Arial"/>
                <w:sz w:val="20"/>
                <w:szCs w:val="20"/>
                <w:color w:val="auto"/>
              </w:rPr>
              <w:t>Adage Capital Partners GP, L.L.C.</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400" w:type="dxa"/>
            <w:vAlign w:val="bottom"/>
          </w:tcPr>
          <w:p>
            <w:pPr>
              <w:ind w:left="120"/>
              <w:spacing w:after="0"/>
              <w:rPr>
                <w:sz w:val="20"/>
                <w:szCs w:val="20"/>
                <w:color w:val="auto"/>
              </w:rPr>
            </w:pPr>
            <w:r>
              <w:rPr>
                <w:rFonts w:ascii="Arial" w:cs="Arial" w:eastAsia="Arial" w:hAnsi="Arial"/>
                <w:sz w:val="16"/>
                <w:szCs w:val="16"/>
                <w:color w:val="auto"/>
              </w:rPr>
              <w:t>CHECK THE APPROPRIATE BOX IF A MEMBER OF A GROUP</w:t>
            </w:r>
          </w:p>
        </w:tc>
        <w:tc>
          <w:tcPr>
            <w:tcW w:w="3180" w:type="dxa"/>
            <w:vAlign w:val="bottom"/>
            <w:vMerge w:val="restart"/>
          </w:tcPr>
          <w:p>
            <w:pPr>
              <w:ind w:left="19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40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180" w:type="dxa"/>
            <w:vAlign w:val="bottom"/>
          </w:tcPr>
          <w:p>
            <w:pPr>
              <w:ind w:left="192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3"/>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2,295,000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2,295,000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2,295,000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8.58%</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032724106</w:t>
            </w:r>
          </w:p>
        </w:tc>
        <w:tc>
          <w:tcPr>
            <w:tcW w:w="6400" w:type="dxa"/>
            <w:vAlign w:val="bottom"/>
          </w:tcPr>
          <w:p>
            <w:pPr>
              <w:ind w:left="3640"/>
              <w:spacing w:after="0"/>
              <w:rPr>
                <w:sz w:val="20"/>
                <w:szCs w:val="20"/>
                <w:color w:val="auto"/>
              </w:rPr>
            </w:pPr>
            <w:r>
              <w:rPr>
                <w:rFonts w:ascii="Arial" w:cs="Arial" w:eastAsia="Arial" w:hAnsi="Arial"/>
                <w:sz w:val="18"/>
                <w:szCs w:val="18"/>
                <w:b w:val="1"/>
                <w:bCs w:val="1"/>
                <w:color w:val="auto"/>
              </w:rPr>
              <w:t>13G/A</w:t>
            </w:r>
          </w:p>
        </w:tc>
        <w:tc>
          <w:tcPr>
            <w:tcW w:w="3180" w:type="dxa"/>
            <w:vAlign w:val="bottom"/>
          </w:tcPr>
          <w:p>
            <w:pPr>
              <w:ind w:left="1780"/>
              <w:spacing w:after="0"/>
              <w:rPr>
                <w:sz w:val="20"/>
                <w:szCs w:val="20"/>
                <w:color w:val="auto"/>
              </w:rPr>
            </w:pPr>
            <w:r>
              <w:rPr>
                <w:rFonts w:ascii="Arial" w:cs="Arial" w:eastAsia="Arial" w:hAnsi="Arial"/>
                <w:sz w:val="18"/>
                <w:szCs w:val="18"/>
                <w:b w:val="1"/>
                <w:bCs w:val="1"/>
                <w:color w:val="auto"/>
                <w:w w:val="84"/>
              </w:rPr>
              <w:t>Page 4 of 11 Pages</w:t>
            </w:r>
          </w:p>
        </w:tc>
        <w:tc>
          <w:tcPr>
            <w:tcW w:w="0" w:type="dxa"/>
            <w:vAlign w:val="bottom"/>
          </w:tcPr>
          <w:p>
            <w:pPr>
              <w:spacing w:after="0"/>
              <w:rPr>
                <w:sz w:val="1"/>
                <w:szCs w:val="1"/>
                <w:color w:val="auto"/>
              </w:rPr>
            </w:pPr>
          </w:p>
        </w:tc>
      </w:tr>
      <w:tr>
        <w:trPr>
          <w:trHeight w:val="567"/>
        </w:trPr>
        <w:tc>
          <w:tcPr>
            <w:tcW w:w="18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400" w:type="dxa"/>
            <w:vAlign w:val="bottom"/>
          </w:tcPr>
          <w:p>
            <w:pPr>
              <w:ind w:left="120"/>
              <w:spacing w:after="0"/>
              <w:rPr>
                <w:sz w:val="20"/>
                <w:szCs w:val="20"/>
                <w:color w:val="auto"/>
              </w:rPr>
            </w:pPr>
            <w:r>
              <w:rPr>
                <w:rFonts w:ascii="Arial" w:cs="Arial" w:eastAsia="Arial" w:hAnsi="Arial"/>
                <w:sz w:val="16"/>
                <w:szCs w:val="16"/>
                <w:color w:val="auto"/>
              </w:rPr>
              <w:t>NAME OF REPORTING PERSON</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400" w:type="dxa"/>
            <w:vAlign w:val="bottom"/>
            <w:vMerge w:val="restart"/>
          </w:tcPr>
          <w:p>
            <w:pPr>
              <w:ind w:left="460"/>
              <w:spacing w:after="0"/>
              <w:rPr>
                <w:sz w:val="20"/>
                <w:szCs w:val="20"/>
                <w:color w:val="auto"/>
              </w:rPr>
            </w:pPr>
            <w:r>
              <w:rPr>
                <w:rFonts w:ascii="Arial" w:cs="Arial" w:eastAsia="Arial" w:hAnsi="Arial"/>
                <w:sz w:val="20"/>
                <w:szCs w:val="20"/>
                <w:color w:val="auto"/>
              </w:rPr>
              <w:t>Adage Capital Advisors, L.L.C.</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400" w:type="dxa"/>
            <w:vAlign w:val="bottom"/>
          </w:tcPr>
          <w:p>
            <w:pPr>
              <w:ind w:left="120"/>
              <w:spacing w:after="0"/>
              <w:rPr>
                <w:sz w:val="20"/>
                <w:szCs w:val="20"/>
                <w:color w:val="auto"/>
              </w:rPr>
            </w:pPr>
            <w:r>
              <w:rPr>
                <w:rFonts w:ascii="Arial" w:cs="Arial" w:eastAsia="Arial" w:hAnsi="Arial"/>
                <w:sz w:val="16"/>
                <w:szCs w:val="16"/>
                <w:color w:val="auto"/>
              </w:rPr>
              <w:t>CHECK THE APPROPRIATE BOX IF A MEMBER OF A GROUP</w:t>
            </w:r>
          </w:p>
        </w:tc>
        <w:tc>
          <w:tcPr>
            <w:tcW w:w="3180" w:type="dxa"/>
            <w:vAlign w:val="bottom"/>
            <w:vMerge w:val="restart"/>
          </w:tcPr>
          <w:p>
            <w:pPr>
              <w:ind w:left="19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40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180" w:type="dxa"/>
            <w:vAlign w:val="bottom"/>
          </w:tcPr>
          <w:p>
            <w:pPr>
              <w:ind w:left="192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4"/>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2,295,000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2,295,000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2,295,000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8.58%</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032724106</w:t>
            </w:r>
          </w:p>
        </w:tc>
        <w:tc>
          <w:tcPr>
            <w:tcW w:w="6400" w:type="dxa"/>
            <w:vAlign w:val="bottom"/>
          </w:tcPr>
          <w:p>
            <w:pPr>
              <w:ind w:left="3640"/>
              <w:spacing w:after="0"/>
              <w:rPr>
                <w:sz w:val="20"/>
                <w:szCs w:val="20"/>
                <w:color w:val="auto"/>
              </w:rPr>
            </w:pPr>
            <w:r>
              <w:rPr>
                <w:rFonts w:ascii="Arial" w:cs="Arial" w:eastAsia="Arial" w:hAnsi="Arial"/>
                <w:sz w:val="18"/>
                <w:szCs w:val="18"/>
                <w:b w:val="1"/>
                <w:bCs w:val="1"/>
                <w:color w:val="auto"/>
              </w:rPr>
              <w:t>13G/A</w:t>
            </w:r>
          </w:p>
        </w:tc>
        <w:tc>
          <w:tcPr>
            <w:tcW w:w="3180" w:type="dxa"/>
            <w:vAlign w:val="bottom"/>
          </w:tcPr>
          <w:p>
            <w:pPr>
              <w:ind w:left="1780"/>
              <w:spacing w:after="0"/>
              <w:rPr>
                <w:sz w:val="20"/>
                <w:szCs w:val="20"/>
                <w:color w:val="auto"/>
              </w:rPr>
            </w:pPr>
            <w:r>
              <w:rPr>
                <w:rFonts w:ascii="Arial" w:cs="Arial" w:eastAsia="Arial" w:hAnsi="Arial"/>
                <w:sz w:val="18"/>
                <w:szCs w:val="18"/>
                <w:b w:val="1"/>
                <w:bCs w:val="1"/>
                <w:color w:val="auto"/>
                <w:w w:val="84"/>
              </w:rPr>
              <w:t>Page 5 of 11 Pages</w:t>
            </w:r>
          </w:p>
        </w:tc>
        <w:tc>
          <w:tcPr>
            <w:tcW w:w="0" w:type="dxa"/>
            <w:vAlign w:val="bottom"/>
          </w:tcPr>
          <w:p>
            <w:pPr>
              <w:spacing w:after="0"/>
              <w:rPr>
                <w:sz w:val="1"/>
                <w:szCs w:val="1"/>
                <w:color w:val="auto"/>
              </w:rPr>
            </w:pPr>
          </w:p>
        </w:tc>
      </w:tr>
      <w:tr>
        <w:trPr>
          <w:trHeight w:val="567"/>
        </w:trPr>
        <w:tc>
          <w:tcPr>
            <w:tcW w:w="18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400" w:type="dxa"/>
            <w:vAlign w:val="bottom"/>
          </w:tcPr>
          <w:p>
            <w:pPr>
              <w:ind w:left="120"/>
              <w:spacing w:after="0"/>
              <w:rPr>
                <w:sz w:val="20"/>
                <w:szCs w:val="20"/>
                <w:color w:val="auto"/>
              </w:rPr>
            </w:pPr>
            <w:r>
              <w:rPr>
                <w:rFonts w:ascii="Arial" w:cs="Arial" w:eastAsia="Arial" w:hAnsi="Arial"/>
                <w:sz w:val="16"/>
                <w:szCs w:val="16"/>
                <w:color w:val="auto"/>
              </w:rPr>
              <w:t>NAME OF REPORTING PERSON</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400" w:type="dxa"/>
            <w:vAlign w:val="bottom"/>
            <w:vMerge w:val="restart"/>
          </w:tcPr>
          <w:p>
            <w:pPr>
              <w:ind w:left="460"/>
              <w:spacing w:after="0"/>
              <w:rPr>
                <w:sz w:val="20"/>
                <w:szCs w:val="20"/>
                <w:color w:val="auto"/>
              </w:rPr>
            </w:pPr>
            <w:r>
              <w:rPr>
                <w:rFonts w:ascii="Arial" w:cs="Arial" w:eastAsia="Arial" w:hAnsi="Arial"/>
                <w:sz w:val="20"/>
                <w:szCs w:val="20"/>
                <w:color w:val="auto"/>
              </w:rPr>
              <w:t>Robert Atchinson</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400" w:type="dxa"/>
            <w:vAlign w:val="bottom"/>
          </w:tcPr>
          <w:p>
            <w:pPr>
              <w:ind w:left="120"/>
              <w:spacing w:after="0"/>
              <w:rPr>
                <w:sz w:val="20"/>
                <w:szCs w:val="20"/>
                <w:color w:val="auto"/>
              </w:rPr>
            </w:pPr>
            <w:r>
              <w:rPr>
                <w:rFonts w:ascii="Arial" w:cs="Arial" w:eastAsia="Arial" w:hAnsi="Arial"/>
                <w:sz w:val="16"/>
                <w:szCs w:val="16"/>
                <w:color w:val="auto"/>
              </w:rPr>
              <w:t>CHECK THE APPROPRIATE BOX IF A MEMBER OF A GROUP</w:t>
            </w:r>
          </w:p>
        </w:tc>
        <w:tc>
          <w:tcPr>
            <w:tcW w:w="3180" w:type="dxa"/>
            <w:vAlign w:val="bottom"/>
            <w:vMerge w:val="restart"/>
          </w:tcPr>
          <w:p>
            <w:pPr>
              <w:ind w:left="19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40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180" w:type="dxa"/>
            <w:vAlign w:val="bottom"/>
          </w:tcPr>
          <w:p>
            <w:pPr>
              <w:ind w:left="192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5"/>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2,295,000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2,295,000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2,295,000</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3"/>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8.58%</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032724106</w:t>
            </w:r>
          </w:p>
        </w:tc>
        <w:tc>
          <w:tcPr>
            <w:tcW w:w="6400" w:type="dxa"/>
            <w:vAlign w:val="bottom"/>
          </w:tcPr>
          <w:p>
            <w:pPr>
              <w:ind w:left="3640"/>
              <w:spacing w:after="0"/>
              <w:rPr>
                <w:sz w:val="20"/>
                <w:szCs w:val="20"/>
                <w:color w:val="auto"/>
              </w:rPr>
            </w:pPr>
            <w:r>
              <w:rPr>
                <w:rFonts w:ascii="Arial" w:cs="Arial" w:eastAsia="Arial" w:hAnsi="Arial"/>
                <w:sz w:val="18"/>
                <w:szCs w:val="18"/>
                <w:b w:val="1"/>
                <w:bCs w:val="1"/>
                <w:color w:val="auto"/>
              </w:rPr>
              <w:t>13G/A</w:t>
            </w:r>
          </w:p>
        </w:tc>
        <w:tc>
          <w:tcPr>
            <w:tcW w:w="3180" w:type="dxa"/>
            <w:vAlign w:val="bottom"/>
          </w:tcPr>
          <w:p>
            <w:pPr>
              <w:ind w:left="1780"/>
              <w:spacing w:after="0"/>
              <w:rPr>
                <w:sz w:val="20"/>
                <w:szCs w:val="20"/>
                <w:color w:val="auto"/>
              </w:rPr>
            </w:pPr>
            <w:r>
              <w:rPr>
                <w:rFonts w:ascii="Arial" w:cs="Arial" w:eastAsia="Arial" w:hAnsi="Arial"/>
                <w:sz w:val="18"/>
                <w:szCs w:val="18"/>
                <w:b w:val="1"/>
                <w:bCs w:val="1"/>
                <w:color w:val="auto"/>
                <w:w w:val="84"/>
              </w:rPr>
              <w:t>Page 6 of 11 Pages</w:t>
            </w:r>
          </w:p>
        </w:tc>
        <w:tc>
          <w:tcPr>
            <w:tcW w:w="0" w:type="dxa"/>
            <w:vAlign w:val="bottom"/>
          </w:tcPr>
          <w:p>
            <w:pPr>
              <w:spacing w:after="0"/>
              <w:rPr>
                <w:sz w:val="1"/>
                <w:szCs w:val="1"/>
                <w:color w:val="auto"/>
              </w:rPr>
            </w:pPr>
          </w:p>
        </w:tc>
      </w:tr>
      <w:tr>
        <w:trPr>
          <w:trHeight w:val="567"/>
        </w:trPr>
        <w:tc>
          <w:tcPr>
            <w:tcW w:w="18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400" w:type="dxa"/>
            <w:vAlign w:val="bottom"/>
          </w:tcPr>
          <w:p>
            <w:pPr>
              <w:ind w:left="120"/>
              <w:spacing w:after="0"/>
              <w:rPr>
                <w:sz w:val="20"/>
                <w:szCs w:val="20"/>
                <w:color w:val="auto"/>
              </w:rPr>
            </w:pPr>
            <w:r>
              <w:rPr>
                <w:rFonts w:ascii="Arial" w:cs="Arial" w:eastAsia="Arial" w:hAnsi="Arial"/>
                <w:sz w:val="16"/>
                <w:szCs w:val="16"/>
                <w:color w:val="auto"/>
              </w:rPr>
              <w:t>NAME OF REPORTING PERSON</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400" w:type="dxa"/>
            <w:vAlign w:val="bottom"/>
            <w:vMerge w:val="restart"/>
          </w:tcPr>
          <w:p>
            <w:pPr>
              <w:ind w:left="460"/>
              <w:spacing w:after="0"/>
              <w:rPr>
                <w:sz w:val="20"/>
                <w:szCs w:val="20"/>
                <w:color w:val="auto"/>
              </w:rPr>
            </w:pPr>
            <w:r>
              <w:rPr>
                <w:rFonts w:ascii="Arial" w:cs="Arial" w:eastAsia="Arial" w:hAnsi="Arial"/>
                <w:sz w:val="20"/>
                <w:szCs w:val="20"/>
                <w:color w:val="auto"/>
              </w:rPr>
              <w:t>Phillip Gross</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400" w:type="dxa"/>
            <w:vAlign w:val="bottom"/>
          </w:tcPr>
          <w:p>
            <w:pPr>
              <w:ind w:left="120"/>
              <w:spacing w:after="0"/>
              <w:rPr>
                <w:sz w:val="20"/>
                <w:szCs w:val="20"/>
                <w:color w:val="auto"/>
              </w:rPr>
            </w:pPr>
            <w:r>
              <w:rPr>
                <w:rFonts w:ascii="Arial" w:cs="Arial" w:eastAsia="Arial" w:hAnsi="Arial"/>
                <w:sz w:val="16"/>
                <w:szCs w:val="16"/>
                <w:color w:val="auto"/>
              </w:rPr>
              <w:t>CHECK THE APPROPRIATE BOX IF A MEMBER OF A GROUP</w:t>
            </w:r>
          </w:p>
        </w:tc>
        <w:tc>
          <w:tcPr>
            <w:tcW w:w="3180" w:type="dxa"/>
            <w:vAlign w:val="bottom"/>
            <w:vMerge w:val="restart"/>
          </w:tcPr>
          <w:p>
            <w:pPr>
              <w:ind w:left="19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40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180" w:type="dxa"/>
            <w:vAlign w:val="bottom"/>
          </w:tcPr>
          <w:p>
            <w:pPr>
              <w:ind w:left="192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6"/>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2,295,000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2,295,000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2,295,000</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3"/>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8.58%</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6" w:name="page7"/>
    <w:bookmarkEnd w:id="6"/>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11 Pages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840" w:type="dxa"/>
            <w:vAlign w:val="bottom"/>
            <w:gridSpan w:val="3"/>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280" w:type="dxa"/>
            <w:vAlign w:val="bottom"/>
          </w:tcPr>
          <w:p>
            <w:pPr>
              <w:spacing w:after="0"/>
              <w:rPr>
                <w:sz w:val="17"/>
                <w:szCs w:val="17"/>
                <w:color w:val="auto"/>
              </w:rPr>
            </w:pPr>
          </w:p>
        </w:tc>
        <w:tc>
          <w:tcPr>
            <w:tcW w:w="9840" w:type="dxa"/>
            <w:vAlign w:val="bottom"/>
            <w:gridSpan w:val="3"/>
          </w:tcPr>
          <w:p>
            <w:pPr>
              <w:ind w:left="440"/>
              <w:spacing w:after="0" w:line="206" w:lineRule="exact"/>
              <w:rPr>
                <w:sz w:val="20"/>
                <w:szCs w:val="20"/>
                <w:color w:val="auto"/>
              </w:rPr>
            </w:pPr>
            <w:r>
              <w:rPr>
                <w:rFonts w:ascii="Arial" w:cs="Arial" w:eastAsia="Arial" w:hAnsi="Arial"/>
                <w:sz w:val="20"/>
                <w:szCs w:val="20"/>
                <w:color w:val="auto"/>
              </w:rPr>
              <w:t>The name of the issuer is AnaptysBio, Inc. (the "Company").</w:t>
            </w:r>
          </w:p>
        </w:tc>
      </w:tr>
      <w:tr>
        <w:trPr>
          <w:trHeight w:val="20"/>
        </w:trPr>
        <w:tc>
          <w:tcPr>
            <w:tcW w:w="12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69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840" w:type="dxa"/>
            <w:vAlign w:val="bottom"/>
            <w:gridSpan w:val="3"/>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30"/>
        </w:trPr>
        <w:tc>
          <w:tcPr>
            <w:tcW w:w="1280" w:type="dxa"/>
            <w:vAlign w:val="bottom"/>
          </w:tcPr>
          <w:p>
            <w:pPr>
              <w:spacing w:after="0"/>
              <w:rPr>
                <w:sz w:val="19"/>
                <w:szCs w:val="19"/>
                <w:color w:val="auto"/>
              </w:rPr>
            </w:pPr>
          </w:p>
        </w:tc>
        <w:tc>
          <w:tcPr>
            <w:tcW w:w="9840" w:type="dxa"/>
            <w:vAlign w:val="bottom"/>
            <w:gridSpan w:val="3"/>
          </w:tcPr>
          <w:p>
            <w:pPr>
              <w:ind w:left="440"/>
              <w:spacing w:after="0"/>
              <w:rPr>
                <w:sz w:val="20"/>
                <w:szCs w:val="20"/>
                <w:color w:val="auto"/>
              </w:rPr>
            </w:pPr>
            <w:r>
              <w:rPr>
                <w:rFonts w:ascii="Arial" w:cs="Arial" w:eastAsia="Arial" w:hAnsi="Arial"/>
                <w:sz w:val="20"/>
                <w:szCs w:val="20"/>
                <w:color w:val="auto"/>
                <w:w w:val="90"/>
              </w:rPr>
              <w:t>The Company's principal executive offices are located at 10421 Pacific Center Court, Suite 200, San Diego, California</w:t>
            </w:r>
          </w:p>
        </w:tc>
      </w:tr>
      <w:tr>
        <w:trPr>
          <w:trHeight w:val="250"/>
        </w:trPr>
        <w:tc>
          <w:tcPr>
            <w:tcW w:w="1280" w:type="dxa"/>
            <w:vAlign w:val="bottom"/>
          </w:tcPr>
          <w:p>
            <w:pPr>
              <w:spacing w:after="0"/>
              <w:rPr>
                <w:sz w:val="21"/>
                <w:szCs w:val="21"/>
                <w:color w:val="auto"/>
              </w:rPr>
            </w:pPr>
          </w:p>
        </w:tc>
        <w:tc>
          <w:tcPr>
            <w:tcW w:w="4300" w:type="dxa"/>
            <w:vAlign w:val="bottom"/>
          </w:tcPr>
          <w:p>
            <w:pPr>
              <w:ind w:left="440"/>
              <w:spacing w:after="0"/>
              <w:rPr>
                <w:sz w:val="20"/>
                <w:szCs w:val="20"/>
                <w:color w:val="auto"/>
              </w:rPr>
            </w:pPr>
            <w:r>
              <w:rPr>
                <w:rFonts w:ascii="Arial" w:cs="Arial" w:eastAsia="Arial" w:hAnsi="Arial"/>
                <w:sz w:val="20"/>
                <w:szCs w:val="20"/>
                <w:color w:val="auto"/>
              </w:rPr>
              <w:t>92121.</w:t>
            </w:r>
          </w:p>
        </w:tc>
        <w:tc>
          <w:tcPr>
            <w:tcW w:w="780" w:type="dxa"/>
            <w:vAlign w:val="bottom"/>
          </w:tcPr>
          <w:p>
            <w:pPr>
              <w:spacing w:after="0"/>
              <w:rPr>
                <w:sz w:val="21"/>
                <w:szCs w:val="21"/>
                <w:color w:val="auto"/>
              </w:rPr>
            </w:pPr>
          </w:p>
        </w:tc>
        <w:tc>
          <w:tcPr>
            <w:tcW w:w="4760" w:type="dxa"/>
            <w:vAlign w:val="bottom"/>
          </w:tcPr>
          <w:p>
            <w:pPr>
              <w:spacing w:after="0"/>
              <w:rPr>
                <w:sz w:val="21"/>
                <w:szCs w:val="21"/>
                <w:color w:val="auto"/>
              </w:rPr>
            </w:pPr>
          </w:p>
        </w:tc>
      </w:tr>
    </w:tbl>
    <w:p>
      <w:pPr>
        <w:spacing w:after="0" w:line="200" w:lineRule="exact"/>
        <w:rPr>
          <w:sz w:val="20"/>
          <w:szCs w:val="20"/>
          <w:color w:val="auto"/>
        </w:rPr>
      </w:pPr>
    </w:p>
    <w:p>
      <w:pPr>
        <w:spacing w:after="0" w:line="232"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20"/>
          <w:szCs w:val="20"/>
          <w:b w:val="1"/>
          <w:bCs w:val="1"/>
          <w:color w:val="auto"/>
        </w:rPr>
        <w:t>NAME OF PERSON FILING</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This statement is filed by:</w:t>
      </w:r>
    </w:p>
    <w:p>
      <w:pPr>
        <w:spacing w:after="0" w:line="213" w:lineRule="exact"/>
        <w:rPr>
          <w:sz w:val="20"/>
          <w:szCs w:val="20"/>
          <w:color w:val="auto"/>
        </w:rPr>
      </w:pPr>
    </w:p>
    <w:p>
      <w:pPr>
        <w:ind w:left="2620" w:right="420" w:hanging="800"/>
        <w:spacing w:after="0" w:line="260" w:lineRule="auto"/>
        <w:tabs>
          <w:tab w:leader="none" w:pos="2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Partners, L.P., a Delaware limited partnership ("</w:t>
      </w:r>
      <w:r>
        <w:rPr>
          <w:rFonts w:ascii="Arial" w:cs="Arial" w:eastAsia="Arial" w:hAnsi="Arial"/>
          <w:sz w:val="20"/>
          <w:szCs w:val="20"/>
          <w:u w:val="single" w:color="auto"/>
          <w:color w:val="auto"/>
        </w:rPr>
        <w:t>ACP</w:t>
      </w:r>
      <w:r>
        <w:rPr>
          <w:rFonts w:ascii="Arial" w:cs="Arial" w:eastAsia="Arial" w:hAnsi="Arial"/>
          <w:sz w:val="20"/>
          <w:szCs w:val="20"/>
          <w:color w:val="auto"/>
        </w:rPr>
        <w:t>") with respect to the shares of Common Stock directly owned by it;</w:t>
      </w:r>
    </w:p>
    <w:p>
      <w:pPr>
        <w:spacing w:after="0" w:line="190" w:lineRule="exact"/>
        <w:rPr>
          <w:rFonts w:ascii="Arial" w:cs="Arial" w:eastAsia="Arial" w:hAnsi="Arial"/>
          <w:sz w:val="20"/>
          <w:szCs w:val="20"/>
          <w:color w:val="auto"/>
        </w:rPr>
      </w:pPr>
    </w:p>
    <w:p>
      <w:pPr>
        <w:ind w:left="2620" w:right="320" w:hanging="800"/>
        <w:spacing w:after="0" w:line="250" w:lineRule="auto"/>
        <w:tabs>
          <w:tab w:leader="none" w:pos="2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Partners GP, L.L.C., a limited liability company organized under the laws of the State of Delaware ("</w:t>
      </w:r>
      <w:r>
        <w:rPr>
          <w:rFonts w:ascii="Arial" w:cs="Arial" w:eastAsia="Arial" w:hAnsi="Arial"/>
          <w:sz w:val="20"/>
          <w:szCs w:val="20"/>
          <w:u w:val="single" w:color="auto"/>
          <w:color w:val="auto"/>
        </w:rPr>
        <w:t>ACPGP</w:t>
      </w:r>
      <w:r>
        <w:rPr>
          <w:rFonts w:ascii="Arial" w:cs="Arial" w:eastAsia="Arial" w:hAnsi="Arial"/>
          <w:sz w:val="20"/>
          <w:szCs w:val="20"/>
          <w:color w:val="auto"/>
        </w:rPr>
        <w:t>"), as general partner of ACP with respect to the shares of Common Stock directly owned by ACP;</w:t>
      </w:r>
    </w:p>
    <w:p>
      <w:pPr>
        <w:spacing w:after="0" w:line="199" w:lineRule="exact"/>
        <w:rPr>
          <w:rFonts w:ascii="Arial" w:cs="Arial" w:eastAsia="Arial" w:hAnsi="Arial"/>
          <w:sz w:val="20"/>
          <w:szCs w:val="20"/>
          <w:color w:val="auto"/>
        </w:rPr>
      </w:pPr>
    </w:p>
    <w:p>
      <w:pPr>
        <w:ind w:left="2620" w:right="240" w:hanging="800"/>
        <w:spacing w:after="0" w:line="250" w:lineRule="auto"/>
        <w:tabs>
          <w:tab w:leader="none" w:pos="2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Advisors, L.L.C., a limited liability company organized under the laws of the State of Delaware ("</w:t>
      </w:r>
      <w:r>
        <w:rPr>
          <w:rFonts w:ascii="Arial" w:cs="Arial" w:eastAsia="Arial" w:hAnsi="Arial"/>
          <w:sz w:val="20"/>
          <w:szCs w:val="20"/>
          <w:u w:val="single" w:color="auto"/>
          <w:color w:val="auto"/>
        </w:rPr>
        <w:t>ACA</w:t>
      </w:r>
      <w:r>
        <w:rPr>
          <w:rFonts w:ascii="Arial" w:cs="Arial" w:eastAsia="Arial" w:hAnsi="Arial"/>
          <w:sz w:val="20"/>
          <w:szCs w:val="20"/>
          <w:color w:val="auto"/>
        </w:rPr>
        <w:t>"), as managing member of ACPGP, general partner of ACP, with respect to the shares of Common Stock directly owned by ACP;</w:t>
      </w:r>
    </w:p>
    <w:p>
      <w:pPr>
        <w:spacing w:after="0" w:line="199" w:lineRule="exact"/>
        <w:rPr>
          <w:rFonts w:ascii="Arial" w:cs="Arial" w:eastAsia="Arial" w:hAnsi="Arial"/>
          <w:sz w:val="20"/>
          <w:szCs w:val="20"/>
          <w:color w:val="auto"/>
        </w:rPr>
      </w:pPr>
    </w:p>
    <w:p>
      <w:pPr>
        <w:ind w:left="2620" w:right="480" w:hanging="800"/>
        <w:spacing w:after="0" w:line="287" w:lineRule="auto"/>
        <w:tabs>
          <w:tab w:leader="none" w:pos="2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Robert Atchinson ("</w:t>
      </w:r>
      <w:r>
        <w:rPr>
          <w:rFonts w:ascii="Arial" w:cs="Arial" w:eastAsia="Arial" w:hAnsi="Arial"/>
          <w:sz w:val="19"/>
          <w:szCs w:val="19"/>
          <w:u w:val="single" w:color="auto"/>
          <w:color w:val="auto"/>
        </w:rPr>
        <w:t>Mr. Atchinson</w:t>
      </w:r>
      <w:r>
        <w:rPr>
          <w:rFonts w:ascii="Arial" w:cs="Arial" w:eastAsia="Arial" w:hAnsi="Arial"/>
          <w:sz w:val="19"/>
          <w:szCs w:val="19"/>
          <w:color w:val="auto"/>
        </w:rPr>
        <w:t>"), as managing member of ACA, managing member of ACPGP, general partner of ACP with respect to the shares of Common Stock directly owned by ACP; and</w:t>
      </w:r>
    </w:p>
    <w:p>
      <w:pPr>
        <w:spacing w:after="0" w:line="166" w:lineRule="exact"/>
        <w:rPr>
          <w:rFonts w:ascii="Arial" w:cs="Arial" w:eastAsia="Arial" w:hAnsi="Arial"/>
          <w:sz w:val="19"/>
          <w:szCs w:val="19"/>
          <w:color w:val="auto"/>
        </w:rPr>
      </w:pPr>
    </w:p>
    <w:p>
      <w:pPr>
        <w:ind w:left="2620" w:right="380" w:hanging="800"/>
        <w:spacing w:after="0" w:line="260" w:lineRule="auto"/>
        <w:tabs>
          <w:tab w:leader="none" w:pos="2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Phillip Gross ("</w:t>
      </w:r>
      <w:r>
        <w:rPr>
          <w:rFonts w:ascii="Arial" w:cs="Arial" w:eastAsia="Arial" w:hAnsi="Arial"/>
          <w:sz w:val="20"/>
          <w:szCs w:val="20"/>
          <w:u w:val="single" w:color="auto"/>
          <w:color w:val="auto"/>
        </w:rPr>
        <w:t>Mr. Gross</w:t>
      </w:r>
      <w:r>
        <w:rPr>
          <w:rFonts w:ascii="Arial" w:cs="Arial" w:eastAsia="Arial" w:hAnsi="Arial"/>
          <w:sz w:val="20"/>
          <w:szCs w:val="20"/>
          <w:color w:val="auto"/>
        </w:rPr>
        <w:t>"), as managing member of ACA, managing member of ACPGP, general partner of ACP with respect to the shares of Common Stock directly owned by ACP.</w:t>
      </w:r>
    </w:p>
    <w:p>
      <w:pPr>
        <w:spacing w:after="0" w:line="190" w:lineRule="exact"/>
        <w:rPr>
          <w:sz w:val="20"/>
          <w:szCs w:val="20"/>
          <w:color w:val="auto"/>
        </w:rPr>
      </w:pPr>
    </w:p>
    <w:p>
      <w:pPr>
        <w:ind w:left="1820" w:right="300"/>
        <w:spacing w:after="0" w:line="250" w:lineRule="auto"/>
        <w:rPr>
          <w:sz w:val="20"/>
          <w:szCs w:val="20"/>
          <w:color w:val="auto"/>
        </w:rPr>
      </w:pPr>
      <w:r>
        <w:rPr>
          <w:rFonts w:ascii="Arial" w:cs="Arial" w:eastAsia="Arial" w:hAnsi="Arial"/>
          <w:sz w:val="20"/>
          <w:szCs w:val="20"/>
          <w:color w:val="auto"/>
        </w:rPr>
        <w:t>The foregoing persons are hereinafter sometimes collectively referred to as the "</w:t>
      </w:r>
      <w:r>
        <w:rPr>
          <w:rFonts w:ascii="Arial" w:cs="Arial" w:eastAsia="Arial" w:hAnsi="Arial"/>
          <w:sz w:val="20"/>
          <w:szCs w:val="20"/>
          <w:u w:val="single" w:color="auto"/>
          <w:color w:val="auto"/>
        </w:rPr>
        <w:t>Reporting Persons</w:t>
      </w:r>
      <w:r>
        <w:rPr>
          <w:rFonts w:ascii="Arial" w:cs="Arial" w:eastAsia="Arial" w:hAnsi="Arial"/>
          <w:sz w:val="20"/>
          <w:szCs w:val="20"/>
          <w:color w:val="auto"/>
        </w:rPr>
        <w:t>." Any disclosures herein with respect to persons other than the Reporting Persons are made on information and belief after making inquiry to the appropriate party.</w:t>
      </w:r>
    </w:p>
    <w:p>
      <w:pPr>
        <w:spacing w:after="0" w:line="200" w:lineRule="exact"/>
        <w:rPr>
          <w:sz w:val="20"/>
          <w:szCs w:val="20"/>
          <w:color w:val="auto"/>
        </w:rPr>
      </w:pPr>
    </w:p>
    <w:p>
      <w:pPr>
        <w:ind w:left="1820" w:right="580"/>
        <w:spacing w:after="0" w:line="260" w:lineRule="auto"/>
        <w:rPr>
          <w:sz w:val="20"/>
          <w:szCs w:val="20"/>
          <w:color w:val="auto"/>
        </w:rPr>
      </w:pPr>
      <w:r>
        <w:rPr>
          <w:rFonts w:ascii="Arial" w:cs="Arial" w:eastAsia="Arial" w:hAnsi="Arial"/>
          <w:sz w:val="20"/>
          <w:szCs w:val="20"/>
          <w:color w:val="auto"/>
        </w:rPr>
        <w:t>The filing of this statement should not be construed in and of itself as an admission by any Reporting Person as to beneficial ownership of the securities reported herein.</w:t>
      </w:r>
    </w:p>
    <w:p>
      <w:pPr>
        <w:spacing w:after="0" w:line="200" w:lineRule="exact"/>
        <w:rPr>
          <w:sz w:val="20"/>
          <w:szCs w:val="20"/>
          <w:color w:val="auto"/>
        </w:rPr>
      </w:pPr>
    </w:p>
    <w:p>
      <w:pPr>
        <w:spacing w:after="0" w:line="214"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2" w:lineRule="exact"/>
        <w:rPr>
          <w:sz w:val="20"/>
          <w:szCs w:val="20"/>
          <w:color w:val="auto"/>
        </w:rPr>
      </w:pPr>
    </w:p>
    <w:p>
      <w:pPr>
        <w:ind w:left="1820" w:right="740"/>
        <w:spacing w:after="0" w:line="244" w:lineRule="auto"/>
        <w:rPr>
          <w:sz w:val="20"/>
          <w:szCs w:val="20"/>
          <w:color w:val="auto"/>
        </w:rPr>
      </w:pPr>
      <w:r>
        <w:rPr>
          <w:rFonts w:ascii="Arial" w:cs="Arial" w:eastAsia="Arial" w:hAnsi="Arial"/>
          <w:sz w:val="20"/>
          <w:szCs w:val="20"/>
          <w:color w:val="auto"/>
        </w:rPr>
        <w:t>The address of the business office of each of the Reporting Persons is 200 Clarendon Street, 52nd floor, Boston, Massachusetts 02116.</w:t>
      </w:r>
    </w:p>
    <w:p>
      <w:pPr>
        <w:sectPr>
          <w:pgSz w:w="11900" w:h="16838" w:orient="portrait"/>
          <w:cols w:equalWidth="0" w:num="1">
            <w:col w:w="11420"/>
          </w:cols>
          <w:pgMar w:left="240" w:top="229" w:right="239" w:bottom="1440" w:gutter="0" w:footer="0" w:header="0"/>
          <w:type w:val="continuous"/>
        </w:sectPr>
      </w:pPr>
    </w:p>
    <w:bookmarkStart w:id="7" w:name="page8"/>
    <w:bookmarkEnd w:id="7"/>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8 of 11 Pages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ACP is a limited partnership organized under the laws of the State of Delaware. ACPGP and ACA are limited liability</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companies organized under the laws of the State of Delaware. Messrs. Gross and Atchinson are citizens of the United</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States.</w:t>
      </w:r>
    </w:p>
    <w:p>
      <w:pPr>
        <w:spacing w:after="0" w:line="200" w:lineRule="exact"/>
        <w:rPr>
          <w:sz w:val="20"/>
          <w:szCs w:val="20"/>
          <w:color w:val="auto"/>
        </w:rPr>
      </w:pPr>
    </w:p>
    <w:p>
      <w:pPr>
        <w:spacing w:after="0" w:line="237"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4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280" w:type="dxa"/>
            <w:vAlign w:val="bottom"/>
          </w:tcPr>
          <w:p>
            <w:pPr>
              <w:spacing w:after="0"/>
              <w:rPr>
                <w:sz w:val="17"/>
                <w:szCs w:val="17"/>
                <w:color w:val="auto"/>
              </w:rPr>
            </w:pPr>
          </w:p>
        </w:tc>
        <w:tc>
          <w:tcPr>
            <w:tcW w:w="9940" w:type="dxa"/>
            <w:vAlign w:val="bottom"/>
            <w:gridSpan w:val="5"/>
          </w:tcPr>
          <w:p>
            <w:pPr>
              <w:ind w:left="440"/>
              <w:spacing w:after="0" w:line="206" w:lineRule="exact"/>
              <w:rPr>
                <w:sz w:val="20"/>
                <w:szCs w:val="20"/>
                <w:color w:val="auto"/>
              </w:rPr>
            </w:pPr>
            <w:r>
              <w:rPr>
                <w:rFonts w:ascii="Arial" w:cs="Arial" w:eastAsia="Arial" w:hAnsi="Arial"/>
                <w:sz w:val="20"/>
                <w:szCs w:val="20"/>
                <w:color w:val="auto"/>
              </w:rPr>
              <w:t>Common Stock, par value $0.001 per share (the "Common Stock").</w:t>
            </w:r>
          </w:p>
        </w:tc>
      </w:tr>
      <w:tr>
        <w:trPr>
          <w:trHeight w:val="69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428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1560" w:type="dxa"/>
            <w:vAlign w:val="bottom"/>
            <w:gridSpan w:val="2"/>
          </w:tcPr>
          <w:p>
            <w:pPr>
              <w:ind w:left="440"/>
              <w:spacing w:after="0"/>
              <w:rPr>
                <w:sz w:val="20"/>
                <w:szCs w:val="20"/>
                <w:color w:val="auto"/>
              </w:rPr>
            </w:pPr>
            <w:r>
              <w:rPr>
                <w:rFonts w:ascii="Arial" w:cs="Arial" w:eastAsia="Arial" w:hAnsi="Arial"/>
                <w:sz w:val="20"/>
                <w:szCs w:val="20"/>
                <w:color w:val="auto"/>
              </w:rPr>
              <w:t>032724106</w:t>
            </w:r>
          </w:p>
        </w:tc>
        <w:tc>
          <w:tcPr>
            <w:tcW w:w="2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20" w:type="dxa"/>
            <w:vAlign w:val="bottom"/>
          </w:tcPr>
          <w:p>
            <w:pPr>
              <w:spacing w:after="0"/>
              <w:rPr>
                <w:sz w:val="21"/>
                <w:szCs w:val="21"/>
                <w:color w:val="auto"/>
              </w:rPr>
            </w:pPr>
          </w:p>
        </w:tc>
      </w:tr>
      <w:tr>
        <w:trPr>
          <w:trHeight w:val="66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40" w:type="dxa"/>
            <w:vAlign w:val="bottom"/>
            <w:gridSpan w:val="5"/>
          </w:tcPr>
          <w:p>
            <w:pPr>
              <w:ind w:left="440"/>
              <w:spacing w:after="0"/>
              <w:rPr>
                <w:sz w:val="20"/>
                <w:szCs w:val="20"/>
                <w:color w:val="auto"/>
              </w:rPr>
            </w:pPr>
            <w:r>
              <w:rPr>
                <w:rFonts w:ascii="Arial" w:cs="Arial" w:eastAsia="Arial" w:hAnsi="Arial"/>
                <w:sz w:val="20"/>
                <w:szCs w:val="20"/>
                <w:b w:val="1"/>
                <w:bCs w:val="1"/>
                <w:color w:val="auto"/>
                <w:w w:val="99"/>
              </w:rPr>
              <w:t>IF THIS STATEMENT IS FILED PURSUANT TO Rules 13d-1(b), OR 13d-2(b) OR (c), CHECK WHETHER</w:t>
            </w:r>
          </w:p>
        </w:tc>
      </w:tr>
      <w:tr>
        <w:trPr>
          <w:trHeight w:val="256"/>
        </w:trPr>
        <w:tc>
          <w:tcPr>
            <w:tcW w:w="1280" w:type="dxa"/>
            <w:vAlign w:val="bottom"/>
          </w:tcPr>
          <w:p>
            <w:pPr>
              <w:spacing w:after="0"/>
              <w:rPr>
                <w:sz w:val="22"/>
                <w:szCs w:val="22"/>
                <w:color w:val="auto"/>
              </w:rPr>
            </w:pPr>
          </w:p>
        </w:tc>
        <w:tc>
          <w:tcPr>
            <w:tcW w:w="9940" w:type="dxa"/>
            <w:vAlign w:val="bottom"/>
            <w:gridSpan w:val="5"/>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(a)</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(b)</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Bank as defined in Section 3(a)(6)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(c)</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(d)</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(e)</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(f)</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8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(g)</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8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(h)</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A savings association as defined in Section 3(b) of the Federal Deposit Insurance Act;</w:t>
            </w:r>
          </w:p>
        </w:tc>
      </w:tr>
      <w:tr>
        <w:trPr>
          <w:trHeight w:val="403"/>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(i)</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w w:val="91"/>
              </w:rPr>
              <w:t>A church plan that is excluded from the definition of an investment company under Section 3(c)(14) of</w:t>
            </w:r>
          </w:p>
        </w:tc>
      </w:tr>
      <w:tr>
        <w:trPr>
          <w:trHeight w:val="250"/>
        </w:trPr>
        <w:tc>
          <w:tcPr>
            <w:tcW w:w="1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the Investment Company Act;</w:t>
            </w:r>
          </w:p>
        </w:tc>
      </w:tr>
      <w:tr>
        <w:trPr>
          <w:trHeight w:val="495"/>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(j)</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A non-U.S. institution in accordance with Rule 13d-1(b)(1)(ii)(J);</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(k)</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Group, in accordance with Rule 13d-1(b)(1)(ii)(K).</w:t>
            </w:r>
          </w:p>
        </w:tc>
      </w:tr>
    </w:tbl>
    <w:p>
      <w:pPr>
        <w:spacing w:after="0" w:line="187"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If filing as a non-U.S. institution in accordance with Rule 13d-1(b)(1)(ii)(J), please</w:t>
      </w:r>
    </w:p>
    <w:p>
      <w:pPr>
        <w:spacing w:after="0" w:line="16" w:lineRule="exact"/>
        <w:rPr>
          <w:sz w:val="20"/>
          <w:szCs w:val="20"/>
          <w:color w:val="auto"/>
        </w:rPr>
      </w:pPr>
    </w:p>
    <w:p>
      <w:pPr>
        <w:ind w:left="1820"/>
        <w:spacing w:after="0"/>
        <w:tabs>
          <w:tab w:leader="none" w:pos="5120" w:val="left"/>
        </w:tabs>
        <w:rPr>
          <w:sz w:val="20"/>
          <w:szCs w:val="20"/>
          <w:color w:val="auto"/>
        </w:rPr>
      </w:pPr>
      <w:r>
        <w:rPr>
          <w:rFonts w:ascii="Arial" w:cs="Arial" w:eastAsia="Arial" w:hAnsi="Arial"/>
          <w:sz w:val="20"/>
          <w:szCs w:val="20"/>
          <w:color w:val="auto"/>
        </w:rPr>
        <w:t>specify the type of institution:</w:t>
      </w:r>
      <w:r>
        <w:rPr>
          <w:sz w:val="20"/>
          <w:szCs w:val="20"/>
          <w:color w:val="auto"/>
        </w:rPr>
        <w:tab/>
      </w: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0</wp:posOffset>
            </wp:positionV>
            <wp:extent cx="3327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8" w:name="page9"/>
    <w:bookmarkEnd w:id="8"/>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9 of 11 Pages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1" w:lineRule="exact"/>
        <w:rPr>
          <w:sz w:val="20"/>
          <w:szCs w:val="20"/>
          <w:color w:val="auto"/>
        </w:rPr>
      </w:pPr>
    </w:p>
    <w:p>
      <w:pPr>
        <w:ind w:left="1740" w:hanging="818"/>
        <w:spacing w:after="0"/>
        <w:tabs>
          <w:tab w:leader="none" w:pos="174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ind w:left="2980" w:hanging="573"/>
        <w:spacing w:after="0"/>
        <w:tabs>
          <w:tab w:leader="none" w:pos="2980" w:val="left"/>
        </w:tabs>
        <w:numPr>
          <w:ilvl w:val="1"/>
          <w:numId w:val="8"/>
        </w:numPr>
        <w:rPr>
          <w:rFonts w:ascii="Arial" w:cs="Arial" w:eastAsia="Arial" w:hAnsi="Arial"/>
          <w:sz w:val="20"/>
          <w:szCs w:val="20"/>
          <w:color w:val="auto"/>
        </w:rPr>
      </w:pPr>
      <w:r>
        <w:rPr>
          <w:rFonts w:ascii="Arial" w:cs="Arial" w:eastAsia="Arial" w:hAnsi="Arial"/>
          <w:sz w:val="20"/>
          <w:szCs w:val="20"/>
          <w:color w:val="auto"/>
        </w:rPr>
        <w:t>Amount beneficially owned: 2,295,000</w:t>
      </w:r>
    </w:p>
    <w:p>
      <w:pPr>
        <w:ind w:left="2980" w:right="140" w:hanging="573"/>
        <w:spacing w:after="0" w:line="266" w:lineRule="auto"/>
        <w:tabs>
          <w:tab w:leader="none" w:pos="2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8.58%. The percentage set forth in this Schedule 13G/A is calculated based upon the 26,751,578 shares of Common Stock reported to be issued and outstanding as of November 6, 2018 as reflected in the Company's Quarterly Report on Form 10-Q for the quarterly period ended September 30, 2018 filed with the Securities and Exchange Commission on November 8, 2018.</w:t>
      </w:r>
    </w:p>
    <w:p>
      <w:pPr>
        <w:ind w:left="2980" w:hanging="573"/>
        <w:spacing w:after="0"/>
        <w:tabs>
          <w:tab w:leader="none" w:pos="2980" w:val="left"/>
        </w:tabs>
        <w:numPr>
          <w:ilvl w:val="1"/>
          <w:numId w:val="8"/>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640" w:hanging="665"/>
        <w:spacing w:after="0"/>
        <w:tabs>
          <w:tab w:leader="none" w:pos="3640" w:val="left"/>
        </w:tabs>
        <w:numPr>
          <w:ilvl w:val="2"/>
          <w:numId w:val="8"/>
        </w:numPr>
        <w:rPr>
          <w:rFonts w:ascii="Arial" w:cs="Arial" w:eastAsia="Arial" w:hAnsi="Arial"/>
          <w:sz w:val="20"/>
          <w:szCs w:val="20"/>
          <w:color w:val="auto"/>
        </w:rPr>
      </w:pPr>
      <w:r>
        <w:rPr>
          <w:rFonts w:ascii="Arial" w:cs="Arial" w:eastAsia="Arial" w:hAnsi="Arial"/>
          <w:sz w:val="20"/>
          <w:szCs w:val="20"/>
          <w:color w:val="auto"/>
        </w:rPr>
        <w:t>Shared power to vote or direct the vote: 2,295,000</w:t>
      </w:r>
    </w:p>
    <w:p>
      <w:pPr>
        <w:ind w:left="3640" w:hanging="665"/>
        <w:spacing w:after="0"/>
        <w:tabs>
          <w:tab w:leader="none" w:pos="3640" w:val="left"/>
        </w:tabs>
        <w:numPr>
          <w:ilvl w:val="2"/>
          <w:numId w:val="8"/>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640" w:hanging="665"/>
        <w:spacing w:after="0"/>
        <w:tabs>
          <w:tab w:leader="none" w:pos="3640" w:val="left"/>
        </w:tabs>
        <w:numPr>
          <w:ilvl w:val="2"/>
          <w:numId w:val="8"/>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2,295,000</w:t>
      </w:r>
    </w:p>
    <w:p>
      <w:pPr>
        <w:spacing w:after="0" w:line="213" w:lineRule="exact"/>
        <w:rPr>
          <w:sz w:val="20"/>
          <w:szCs w:val="20"/>
          <w:color w:val="auto"/>
        </w:rPr>
      </w:pPr>
    </w:p>
    <w:p>
      <w:pPr>
        <w:ind w:left="120" w:right="140"/>
        <w:spacing w:after="0" w:line="246" w:lineRule="auto"/>
        <w:rPr>
          <w:sz w:val="20"/>
          <w:szCs w:val="20"/>
          <w:color w:val="auto"/>
        </w:rPr>
      </w:pPr>
      <w:r>
        <w:rPr>
          <w:rFonts w:ascii="Arial" w:cs="Arial" w:eastAsia="Arial" w:hAnsi="Arial"/>
          <w:sz w:val="20"/>
          <w:szCs w:val="20"/>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Securities Exchange Act of 1934 (the "</w:t>
      </w:r>
      <w:r>
        <w:rPr>
          <w:rFonts w:ascii="Arial" w:cs="Arial" w:eastAsia="Arial" w:hAnsi="Arial"/>
          <w:sz w:val="20"/>
          <w:szCs w:val="20"/>
          <w:u w:val="single" w:color="auto"/>
          <w:color w:val="auto"/>
        </w:rPr>
        <w:t>Act</w:t>
      </w:r>
      <w:r>
        <w:rPr>
          <w:rFonts w:ascii="Arial" w:cs="Arial" w:eastAsia="Arial" w:hAnsi="Arial"/>
          <w:sz w:val="20"/>
          <w:szCs w:val="20"/>
          <w:color w:val="auto"/>
        </w:rPr>
        <w:t>"), ACPGP and ACA may be deemed to beneficially own the shares owned by ACP.</w:t>
      </w:r>
    </w:p>
    <w:p>
      <w:pPr>
        <w:spacing w:after="0" w:line="205" w:lineRule="exact"/>
        <w:rPr>
          <w:sz w:val="20"/>
          <w:szCs w:val="20"/>
          <w:color w:val="auto"/>
        </w:rPr>
      </w:pPr>
    </w:p>
    <w:p>
      <w:pPr>
        <w:ind w:left="1740" w:hanging="818"/>
        <w:spacing w:after="0"/>
        <w:tabs>
          <w:tab w:leader="none" w:pos="17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980" w:hanging="573"/>
        <w:spacing w:after="0"/>
        <w:tabs>
          <w:tab w:leader="none" w:pos="2980" w:val="left"/>
        </w:tabs>
        <w:numPr>
          <w:ilvl w:val="1"/>
          <w:numId w:val="9"/>
        </w:numPr>
        <w:rPr>
          <w:rFonts w:ascii="Arial" w:cs="Arial" w:eastAsia="Arial" w:hAnsi="Arial"/>
          <w:sz w:val="20"/>
          <w:szCs w:val="20"/>
          <w:color w:val="auto"/>
        </w:rPr>
      </w:pPr>
      <w:r>
        <w:rPr>
          <w:rFonts w:ascii="Arial" w:cs="Arial" w:eastAsia="Arial" w:hAnsi="Arial"/>
          <w:sz w:val="20"/>
          <w:szCs w:val="20"/>
          <w:color w:val="auto"/>
        </w:rPr>
        <w:t>Amount beneficially owned: 2,295,000</w:t>
      </w:r>
    </w:p>
    <w:p>
      <w:pPr>
        <w:ind w:left="2980" w:hanging="573"/>
        <w:spacing w:after="0"/>
        <w:tabs>
          <w:tab w:leader="none" w:pos="2980" w:val="left"/>
        </w:tabs>
        <w:numPr>
          <w:ilvl w:val="1"/>
          <w:numId w:val="9"/>
        </w:numPr>
        <w:rPr>
          <w:rFonts w:ascii="Arial" w:cs="Arial" w:eastAsia="Arial" w:hAnsi="Arial"/>
          <w:sz w:val="20"/>
          <w:szCs w:val="20"/>
          <w:color w:val="auto"/>
        </w:rPr>
      </w:pPr>
      <w:r>
        <w:rPr>
          <w:rFonts w:ascii="Arial" w:cs="Arial" w:eastAsia="Arial" w:hAnsi="Arial"/>
          <w:sz w:val="20"/>
          <w:szCs w:val="20"/>
          <w:color w:val="auto"/>
        </w:rPr>
        <w:t>Percent of class: 8.58%</w:t>
      </w:r>
    </w:p>
    <w:p>
      <w:pPr>
        <w:ind w:left="2980" w:hanging="573"/>
        <w:spacing w:after="0"/>
        <w:tabs>
          <w:tab w:leader="none" w:pos="2980" w:val="left"/>
        </w:tabs>
        <w:numPr>
          <w:ilvl w:val="1"/>
          <w:numId w:val="9"/>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640" w:hanging="672"/>
        <w:spacing w:after="0"/>
        <w:tabs>
          <w:tab w:leader="none" w:pos="3640" w:val="left"/>
        </w:tabs>
        <w:numPr>
          <w:ilvl w:val="2"/>
          <w:numId w:val="9"/>
        </w:numPr>
        <w:rPr>
          <w:rFonts w:ascii="Arial" w:cs="Arial" w:eastAsia="Arial" w:hAnsi="Arial"/>
          <w:sz w:val="20"/>
          <w:szCs w:val="20"/>
          <w:color w:val="auto"/>
        </w:rPr>
      </w:pPr>
      <w:r>
        <w:rPr>
          <w:rFonts w:ascii="Arial" w:cs="Arial" w:eastAsia="Arial" w:hAnsi="Arial"/>
          <w:sz w:val="20"/>
          <w:szCs w:val="20"/>
          <w:color w:val="auto"/>
        </w:rPr>
        <w:t>Shared power to vote or direct the vote: 2,295,000</w:t>
      </w:r>
    </w:p>
    <w:p>
      <w:pPr>
        <w:ind w:left="3640" w:hanging="672"/>
        <w:spacing w:after="0"/>
        <w:tabs>
          <w:tab w:leader="none" w:pos="3640" w:val="left"/>
        </w:tabs>
        <w:numPr>
          <w:ilvl w:val="2"/>
          <w:numId w:val="9"/>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640" w:hanging="672"/>
        <w:spacing w:after="0"/>
        <w:tabs>
          <w:tab w:leader="none" w:pos="3640" w:val="left"/>
        </w:tabs>
        <w:numPr>
          <w:ilvl w:val="2"/>
          <w:numId w:val="9"/>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2,295,000</w:t>
      </w:r>
    </w:p>
    <w:p>
      <w:pPr>
        <w:spacing w:after="0" w:line="213" w:lineRule="exact"/>
        <w:rPr>
          <w:sz w:val="20"/>
          <w:szCs w:val="20"/>
          <w:color w:val="auto"/>
        </w:rPr>
      </w:pPr>
    </w:p>
    <w:p>
      <w:pPr>
        <w:jc w:val="both"/>
        <w:ind w:left="120" w:right="32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194"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820" w:right="1800" w:hanging="1714"/>
        <w:spacing w:after="0" w:line="267" w:lineRule="auto"/>
        <w:tabs>
          <w:tab w:leader="none" w:pos="18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 xml:space="preserve">OWNERSHIP OF MORE THAN FIVE PERCENT ON BEHALF OF ANOTHER PERSON </w:t>
      </w:r>
      <w:r>
        <w:rPr>
          <w:rFonts w:ascii="Arial" w:cs="Arial" w:eastAsia="Arial" w:hAnsi="Arial"/>
          <w:sz w:val="20"/>
          <w:szCs w:val="20"/>
          <w:color w:val="auto"/>
        </w:rPr>
        <w:t>Not applicable.</w:t>
      </w:r>
    </w:p>
    <w:p>
      <w:pPr>
        <w:sectPr>
          <w:pgSz w:w="11900" w:h="16838" w:orient="portrait"/>
          <w:cols w:equalWidth="0" w:num="1">
            <w:col w:w="11420"/>
          </w:cols>
          <w:pgMar w:left="240" w:top="229" w:right="239" w:bottom="1440" w:gutter="0" w:footer="0" w:header="0"/>
          <w:type w:val="continuous"/>
        </w:sectPr>
      </w:pPr>
    </w:p>
    <w:bookmarkStart w:id="9" w:name="page10"/>
    <w:bookmarkEnd w:id="9"/>
    <w:p>
      <w:pPr>
        <w:spacing w:after="0"/>
        <w:tabs>
          <w:tab w:leader="none" w:pos="5460" w:val="left"/>
          <w:tab w:leader="none" w:pos="9920" w:val="left"/>
        </w:tabs>
        <w:rPr>
          <w:sz w:val="20"/>
          <w:szCs w:val="20"/>
          <w:color w:val="auto"/>
        </w:rPr>
      </w:pPr>
      <w:r>
        <w:rPr>
          <w:rFonts w:ascii="Arial" w:cs="Arial" w:eastAsia="Arial" w:hAnsi="Arial"/>
          <w:sz w:val="18"/>
          <w:szCs w:val="18"/>
          <w:b w:val="1"/>
          <w:bCs w:val="1"/>
          <w:color w:val="auto"/>
        </w:rPr>
        <w:t>CUSIP No. 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10 of 11 Pages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w:t>
      </w:r>
    </w:p>
    <w:p>
      <w:pPr>
        <w:spacing w:after="0" w:line="22" w:lineRule="exact"/>
        <w:rPr>
          <w:sz w:val="20"/>
          <w:szCs w:val="20"/>
          <w:color w:val="auto"/>
        </w:rPr>
      </w:pPr>
    </w:p>
    <w:p>
      <w:pPr>
        <w:ind w:left="1820" w:right="1500"/>
        <w:spacing w:after="0" w:line="244" w:lineRule="auto"/>
        <w:rPr>
          <w:sz w:val="20"/>
          <w:szCs w:val="20"/>
          <w:color w:val="auto"/>
        </w:rPr>
      </w:pPr>
      <w:r>
        <w:rPr>
          <w:rFonts w:ascii="Arial" w:cs="Arial" w:eastAsia="Arial" w:hAnsi="Arial"/>
          <w:sz w:val="20"/>
          <w:szCs w:val="20"/>
          <w:b w:val="1"/>
          <w:bCs w:val="1"/>
          <w:color w:val="auto"/>
        </w:rPr>
        <w:t xml:space="preserve">BEING REPORTED ON BY THE PARENT HOLDING COMPANY OR CONTROL PERSON </w:t>
      </w:r>
      <w:r>
        <w:rPr>
          <w:rFonts w:ascii="Arial" w:cs="Arial" w:eastAsia="Arial" w:hAnsi="Arial"/>
          <w:sz w:val="20"/>
          <w:szCs w:val="20"/>
          <w:color w:val="auto"/>
        </w:rPr>
        <w:t>Not applicable.</w:t>
      </w:r>
    </w:p>
    <w:p>
      <w:pPr>
        <w:spacing w:after="0" w:line="200" w:lineRule="exact"/>
        <w:rPr>
          <w:sz w:val="20"/>
          <w:szCs w:val="20"/>
          <w:color w:val="auto"/>
        </w:rPr>
      </w:pPr>
    </w:p>
    <w:p>
      <w:pPr>
        <w:spacing w:after="0" w:line="229"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820" w:right="16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9" w:right="239" w:bottom="1440" w:gutter="0" w:footer="0" w:header="0"/>
          <w:type w:val="continuous"/>
        </w:sectPr>
      </w:pPr>
    </w:p>
    <w:bookmarkStart w:id="10" w:name="page11"/>
    <w:bookmarkEnd w:id="10"/>
    <w:p>
      <w:pPr>
        <w:spacing w:after="0"/>
        <w:tabs>
          <w:tab w:leader="none" w:pos="5460" w:val="left"/>
          <w:tab w:leader="none" w:pos="9920" w:val="left"/>
        </w:tabs>
        <w:rPr>
          <w:sz w:val="20"/>
          <w:szCs w:val="20"/>
          <w:color w:val="auto"/>
        </w:rPr>
      </w:pPr>
      <w:r>
        <w:rPr>
          <w:rFonts w:ascii="Arial" w:cs="Arial" w:eastAsia="Arial" w:hAnsi="Arial"/>
          <w:sz w:val="18"/>
          <w:szCs w:val="18"/>
          <w:b w:val="1"/>
          <w:bCs w:val="1"/>
          <w:color w:val="auto"/>
        </w:rPr>
        <w:t>CUSIP No. 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11 of 11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13, 2019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919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919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919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919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919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
    <w:nsid w:val="5BD062C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2019-12-20T00:02:57Z</dcterms:created>
  <dcterms:modified xsi:type="dcterms:W3CDTF">2019-12-20T00:02:57Z</dcterms:modified>
</cp:coreProperties>
</file>