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620395</wp:posOffset>
            </wp:positionV>
            <wp:extent cx="258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105410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132080</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120015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116205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980" w:type="dxa"/>
            <w:vAlign w:val="bottom"/>
            <w:gridSpan w:val="2"/>
          </w:tcPr>
          <w:p>
            <w:pPr>
              <w:jc w:val="center"/>
              <w:ind w:left="197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8"/>
                <w:szCs w:val="18"/>
                <w:b w:val="1"/>
                <w:bCs w:val="1"/>
                <w:color w:val="auto"/>
                <w:w w:val="91"/>
              </w:rPr>
              <w:t>20-3828755</w:t>
            </w:r>
          </w:p>
        </w:tc>
      </w:tr>
      <w:tr>
        <w:trPr>
          <w:trHeight w:val="144"/>
        </w:trPr>
        <w:tc>
          <w:tcPr>
            <w:tcW w:w="3980" w:type="dxa"/>
            <w:vAlign w:val="bottom"/>
            <w:gridSpan w:val="2"/>
          </w:tcPr>
          <w:p>
            <w:pPr>
              <w:jc w:val="center"/>
              <w:ind w:left="1976"/>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219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gridSpan w:val="2"/>
          </w:tcPr>
          <w:p>
            <w:pPr>
              <w:jc w:val="center"/>
              <w:ind w:left="197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6"/>
              </w:rPr>
              <w:t>Identification Number)</w:t>
            </w:r>
          </w:p>
        </w:tc>
      </w:tr>
      <w:tr>
        <w:trPr>
          <w:trHeight w:val="295"/>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10770 Wateridge Circle, Suite 210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0"/>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2"/>
          </w:tcPr>
          <w:p>
            <w:pPr>
              <w:jc w:val="center"/>
              <w:ind w:left="102"/>
              <w:spacing w:after="0"/>
              <w:rPr>
                <w:sz w:val="20"/>
                <w:szCs w:val="20"/>
                <w:color w:val="auto"/>
              </w:rPr>
            </w:pPr>
            <w:r>
              <w:rPr>
                <w:rFonts w:ascii="Arial" w:cs="Arial" w:eastAsia="Arial" w:hAnsi="Arial"/>
                <w:sz w:val="18"/>
                <w:szCs w:val="18"/>
                <w:b w:val="1"/>
                <w:bCs w:val="1"/>
                <w:color w:val="auto"/>
                <w:w w:val="90"/>
              </w:rPr>
              <w:t>(858) 362-6295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23"/>
        </w:trPr>
        <w:tc>
          <w:tcPr>
            <w:tcW w:w="358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318"/>
        </w:trPr>
        <w:tc>
          <w:tcPr>
            <w:tcW w:w="11260" w:type="dxa"/>
            <w:vAlign w:val="bottom"/>
            <w:gridSpan w:val="7"/>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259"/>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19"/>
              <w:spacing w:after="0"/>
              <w:rPr>
                <w:sz w:val="20"/>
                <w:szCs w:val="20"/>
                <w:color w:val="auto"/>
              </w:rPr>
            </w:pPr>
            <w:r>
              <w:rPr>
                <w:rFonts w:ascii="Arial" w:cs="Arial" w:eastAsia="Arial" w:hAnsi="Arial"/>
                <w:sz w:val="18"/>
                <w:szCs w:val="18"/>
                <w:color w:val="auto"/>
                <w:w w:val="92"/>
              </w:rPr>
              <w:t>The Nasdaq Stock Market LLC</w:t>
            </w:r>
          </w:p>
        </w:tc>
      </w:tr>
    </w:tbl>
    <w:p>
      <w:pPr>
        <w:spacing w:after="0" w:line="80" w:lineRule="exact"/>
        <w:rPr>
          <w:sz w:val="24"/>
          <w:szCs w:val="24"/>
          <w:color w:val="auto"/>
        </w:rPr>
      </w:pPr>
    </w:p>
    <w:p>
      <w:pPr>
        <w:ind w:right="26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00"/>
              <w:spacing w:after="0" w:line="201" w:lineRule="exact"/>
              <w:rPr>
                <w:sz w:val="20"/>
                <w:szCs w:val="20"/>
                <w:color w:val="auto"/>
              </w:rPr>
            </w:pPr>
            <w:r>
              <w:rPr>
                <w:rFonts w:ascii="MS PGothic" w:cs="MS PGothic" w:eastAsia="MS PGothic" w:hAnsi="MS PGothic"/>
                <w:sz w:val="20"/>
                <w:szCs w:val="20"/>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89"/>
              </w:rPr>
              <w:t>☐</w:t>
            </w: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0"/>
        </w:trPr>
        <w:tc>
          <w:tcPr>
            <w:tcW w:w="2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89"/>
              </w:rPr>
              <w:t>☐</w:t>
            </w:r>
          </w:p>
        </w:tc>
      </w:tr>
    </w:tbl>
    <w:p>
      <w:pPr>
        <w:spacing w:after="0" w:line="54"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88" w:lineRule="exact"/>
        <w:tabs>
          <w:tab w:leader="none" w:pos="7640" w:val="left"/>
          <w:tab w:leader="none" w:pos="8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4, 2022, there were 28,239,212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140970</wp:posOffset>
            </wp:positionV>
            <wp:extent cx="2588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 w:name="page3"/>
    <w:bookmarkEnd w:id="2"/>
    <w:p>
      <w:pPr>
        <w:ind w:left="4860"/>
        <w:spacing w:after="0"/>
        <w:rPr>
          <w:sz w:val="20"/>
          <w:szCs w:val="20"/>
          <w:color w:val="auto"/>
        </w:rPr>
      </w:pPr>
      <w:r>
        <w:rPr>
          <w:rFonts w:ascii="Arial" w:cs="Arial" w:eastAsia="Arial" w:hAnsi="Arial"/>
          <w:sz w:val="22"/>
          <w:szCs w:val="22"/>
          <w:b w:val="1"/>
          <w:bCs w:val="1"/>
          <w:color w:val="auto"/>
        </w:rPr>
        <w:t>AnaptysBio, Inc.</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4">
        <w:r>
          <w:rPr>
            <w:rFonts w:ascii="Arial" w:cs="Arial" w:eastAsia="Arial" w:hAnsi="Arial"/>
            <w:sz w:val="18"/>
            <w:szCs w:val="18"/>
            <w:color w:val="0000FF"/>
          </w:rPr>
          <w:t>Item 1.</w:t>
        </w:r>
      </w:hyperlink>
      <w:r>
        <w:rPr>
          <w:rFonts w:ascii="Arial" w:cs="Arial" w:eastAsia="Arial" w:hAnsi="Arial"/>
          <w:sz w:val="18"/>
          <w:szCs w:val="18"/>
          <w:color w:val="0000FF"/>
        </w:rPr>
        <w:tab/>
      </w:r>
      <w:hyperlink w:anchor="page4">
        <w:r>
          <w:rPr>
            <w:rFonts w:ascii="Arial" w:cs="Arial" w:eastAsia="Arial" w:hAnsi="Arial"/>
            <w:sz w:val="16"/>
            <w:szCs w:val="16"/>
            <w:u w:val="single" w:color="auto"/>
            <w:color w:val="0000FF"/>
          </w:rPr>
          <w:t>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as of June 30, 2022 and December 31, 2021</w:t>
        </w:r>
      </w:hyperlink>
    </w:p>
    <w:p>
      <w:pPr>
        <w:spacing w:after="0" w:line="117" w:lineRule="exact"/>
        <w:rPr>
          <w:sz w:val="20"/>
          <w:szCs w:val="20"/>
          <w:color w:val="auto"/>
        </w:rPr>
      </w:pPr>
    </w:p>
    <w:p>
      <w:pPr>
        <w:ind w:left="134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and Comprehensive Loss for the Three and Six Months Ended June 30, 2022</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711517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line="74" w:lineRule="exact"/>
        <w:rPr>
          <w:sz w:val="20"/>
          <w:szCs w:val="20"/>
          <w:color w:val="auto"/>
        </w:rPr>
      </w:pPr>
    </w:p>
    <w:p>
      <w:pPr>
        <w:ind w:left="13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 for the Three and Six Months Ended June 30, 2022</w:t>
        </w:r>
      </w:hyperlink>
    </w:p>
    <w:p>
      <w:pPr>
        <w:spacing w:after="0" w:line="117" w:lineRule="exact"/>
        <w:rPr>
          <w:sz w:val="20"/>
          <w:szCs w:val="20"/>
          <w:color w:val="auto"/>
        </w:rPr>
      </w:pPr>
    </w:p>
    <w:p>
      <w:pPr>
        <w:ind w:left="1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Stockholders’ Equity for the Three and Six Months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Cash Flows for the Six Months Ended June 30, 2022 and 2021</w:t>
        </w:r>
      </w:hyperlink>
    </w:p>
    <w:p>
      <w:pPr>
        <w:spacing w:after="0" w:line="117" w:lineRule="exact"/>
        <w:rPr>
          <w:sz w:val="20"/>
          <w:szCs w:val="20"/>
          <w:color w:val="auto"/>
        </w:rPr>
      </w:pPr>
    </w:p>
    <w:p>
      <w:pPr>
        <w:ind w:left="1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Unaudited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24">
        <w:r>
          <w:rPr>
            <w:rFonts w:ascii="Arial" w:cs="Arial" w:eastAsia="Arial" w:hAnsi="Arial"/>
            <w:sz w:val="18"/>
            <w:szCs w:val="18"/>
            <w:color w:val="0000FF"/>
          </w:rPr>
          <w:t>Item 2.</w:t>
        </w:r>
      </w:hyperlink>
      <w:r>
        <w:rPr>
          <w:rFonts w:ascii="Arial" w:cs="Arial" w:eastAsia="Arial" w:hAnsi="Arial"/>
          <w:sz w:val="18"/>
          <w:szCs w:val="18"/>
          <w:color w:val="0000FF"/>
        </w:rPr>
        <w:tab/>
      </w:r>
      <w:hyperlink w:anchor="page24">
        <w:r>
          <w:rPr>
            <w:rFonts w:ascii="Arial" w:cs="Arial" w:eastAsia="Arial" w:hAnsi="Arial"/>
            <w:sz w:val="16"/>
            <w:szCs w:val="16"/>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34">
        <w:r>
          <w:rPr>
            <w:rFonts w:ascii="Arial" w:cs="Arial" w:eastAsia="Arial" w:hAnsi="Arial"/>
            <w:sz w:val="18"/>
            <w:szCs w:val="18"/>
            <w:color w:val="0000FF"/>
          </w:rPr>
          <w:t>Item 3.</w:t>
        </w:r>
      </w:hyperlink>
      <w:r>
        <w:rPr>
          <w:rFonts w:ascii="Arial" w:cs="Arial" w:eastAsia="Arial" w:hAnsi="Arial"/>
          <w:sz w:val="18"/>
          <w:szCs w:val="18"/>
          <w:color w:val="0000FF"/>
        </w:rPr>
        <w:tab/>
      </w:r>
      <w:hyperlink w:anchor="page34">
        <w:r>
          <w:rPr>
            <w:rFonts w:ascii="Arial" w:cs="Arial" w:eastAsia="Arial" w:hAnsi="Arial"/>
            <w:sz w:val="16"/>
            <w:szCs w:val="16"/>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35">
        <w:r>
          <w:rPr>
            <w:rFonts w:ascii="Arial" w:cs="Arial" w:eastAsia="Arial" w:hAnsi="Arial"/>
            <w:sz w:val="18"/>
            <w:szCs w:val="18"/>
            <w:color w:val="0000FF"/>
          </w:rPr>
          <w:t>Item 4.</w:t>
        </w:r>
      </w:hyperlink>
      <w:r>
        <w:rPr>
          <w:rFonts w:ascii="Arial" w:cs="Arial" w:eastAsia="Arial" w:hAnsi="Arial"/>
          <w:sz w:val="18"/>
          <w:szCs w:val="18"/>
          <w:color w:val="0000FF"/>
        </w:rPr>
        <w:tab/>
      </w:r>
      <w:hyperlink w:anchor="page35">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36830</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293"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p>
      <w:pPr>
        <w:spacing w:after="0" w:line="542" w:lineRule="exact"/>
        <w:rPr>
          <w:sz w:val="20"/>
          <w:szCs w:val="20"/>
          <w:color w:val="auto"/>
        </w:rPr>
      </w:pPr>
    </w:p>
    <w:p>
      <w:pPr>
        <w:sectPr>
          <w:pgSz w:w="11900" w:h="16838" w:orient="portrait"/>
          <w:cols w:equalWidth="0" w:num="2">
            <w:col w:w="9740" w:space="340"/>
            <w:col w:w="1160"/>
          </w:cols>
          <w:pgMar w:left="320" w:top="895" w:right="339" w:bottom="1440" w:gutter="0" w:footer="0" w:header="0"/>
        </w:sectPr>
      </w:pPr>
    </w:p>
    <w:tbl>
      <w:tblPr>
        <w:tblLayout w:type="fixed"/>
        <w:tblInd w:w="20" w:type="dxa"/>
        <w:tblCellMar>
          <w:top w:w="0" w:type="dxa"/>
          <w:left w:w="0" w:type="dxa"/>
          <w:bottom w:w="0" w:type="dxa"/>
          <w:right w:w="0" w:type="dxa"/>
        </w:tblCellMar>
      </w:tblPr>
      <w:tr>
        <w:trPr>
          <w:trHeight w:val="250"/>
        </w:trPr>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Item 2.</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Unregistered Sales of Equity Securities and Use of Proceeds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0">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20" w:type="dxa"/>
            <w:vAlign w:val="bottom"/>
            <w:tcBorders>
              <w:top w:val="single" w:sz="8" w:color="0000FF"/>
            </w:tcBorders>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Item 3.</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Defaults Upon Senior Securities</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0">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40" w:type="dxa"/>
            <w:vAlign w:val="bottom"/>
            <w:tcBorders>
              <w:top w:val="single" w:sz="8" w:color="0000FF"/>
            </w:tcBorders>
            <w:shd w:val="clear" w:color="auto" w:fill="CCEEFF"/>
          </w:tcPr>
          <w:p>
            <w:pPr>
              <w:spacing w:after="0"/>
              <w:rPr>
                <w:sz w:val="10"/>
                <w:szCs w:val="10"/>
                <w:color w:val="auto"/>
              </w:rPr>
            </w:pPr>
          </w:p>
        </w:tc>
        <w:tc>
          <w:tcPr>
            <w:tcW w:w="560" w:type="dxa"/>
            <w:vAlign w:val="bottom"/>
            <w:tcBorders>
              <w:top w:val="single" w:sz="8" w:color="0000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Item 4.</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Mine Safety Disclosures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5.</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6.</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Exhibits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60" w:type="dxa"/>
            <w:vAlign w:val="bottom"/>
            <w:gridSpan w:val="3"/>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Exhibit Index</w:t>
              </w:r>
            </w:hyperlink>
          </w:p>
        </w:tc>
        <w:tc>
          <w:tcPr>
            <w:tcW w:w="482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4060" w:type="dxa"/>
            <w:vAlign w:val="bottom"/>
            <w:tcBorders>
              <w:top w:val="single" w:sz="8" w:color="CCEEFF"/>
            </w:tcBorders>
            <w:shd w:val="clear" w:color="auto" w:fill="CCEEFF"/>
          </w:tcPr>
          <w:p>
            <w:pPr>
              <w:spacing w:after="0"/>
              <w:rPr>
                <w:sz w:val="10"/>
                <w:szCs w:val="10"/>
                <w:color w:val="auto"/>
              </w:rPr>
            </w:pPr>
          </w:p>
        </w:tc>
        <w:tc>
          <w:tcPr>
            <w:tcW w:w="4820" w:type="dxa"/>
            <w:vAlign w:val="bottom"/>
            <w:tcBorders>
              <w:top w:val="single" w:sz="8" w:color="CCEEFF"/>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60" w:type="dxa"/>
            <w:vAlign w:val="bottom"/>
            <w:gridSpan w:val="3"/>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4820" w:type="dxa"/>
            <w:vAlign w:val="bottom"/>
            <w:vMerge w:val="restart"/>
          </w:tcPr>
          <w:p>
            <w:pPr>
              <w:jc w:val="right"/>
              <w:ind w:right="470"/>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5"/>
        </w:trPr>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53"/>
        </w:trPr>
        <w:tc>
          <w:tcPr>
            <w:tcW w:w="7980" w:type="dxa"/>
            <w:vAlign w:val="bottom"/>
          </w:tcPr>
          <w:p>
            <w:pPr>
              <w:ind w:left="53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71,701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495,729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52,368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206"/>
        </w:trPr>
        <w:tc>
          <w:tcPr>
            <w:tcW w:w="798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452,809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553,876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19,558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261,019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251,093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9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w w:val="93"/>
              </w:rPr>
              <w:t>Preferred stock, $0.001 par value, 10,000 shares authorized and no shares, issued or outstanding at June 30, 2022 and</w:t>
            </w: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respectively</w:t>
            </w:r>
          </w:p>
        </w:tc>
        <w:tc>
          <w:tcPr>
            <w:tcW w:w="2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8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$0.001 par value, 500,000 shares authorized, 28,231 shares and 27,647 shares issued and outstanding at</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June 30, 2022 and December 31, 2021, respectively</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678,575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(390,562)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(321,753)</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356,428</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1,216</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30,027</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41,274</w:t>
            </w: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25,314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43,360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49,499</w:t>
            </w: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18,374</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10,669</w:t>
            </w:r>
          </w:p>
        </w:tc>
      </w:tr>
      <w:tr>
        <w:trPr>
          <w:trHeight w:val="212"/>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29,015</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30,560</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61,734</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60,168</w:t>
            </w:r>
          </w:p>
        </w:tc>
      </w:tr>
      <w:tr>
        <w:trPr>
          <w:trHeight w:val="207"/>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(27,799)</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(59,548)</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(18,894)</w:t>
            </w: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740" w:type="dxa"/>
            <w:vAlign w:val="bottom"/>
            <w:tcBorders>
              <w:top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(9,261)</w:t>
            </w: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w:t>
            </w:r>
          </w:p>
        </w:tc>
      </w:tr>
      <w:tr>
        <w:trPr>
          <w:trHeight w:val="207"/>
        </w:trPr>
        <w:tc>
          <w:tcPr>
            <w:tcW w:w="5740" w:type="dxa"/>
            <w:vAlign w:val="bottom"/>
            <w:tcBorders>
              <w:bottom w:val="single" w:sz="8" w:color="CFF0FC"/>
            </w:tcBorders>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(18,592)</w:t>
            </w:r>
          </w:p>
        </w:tc>
      </w:tr>
      <w:tr>
        <w:trPr>
          <w:trHeight w:val="213"/>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(3,439)</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r>
      <w:tr>
        <w:trPr>
          <w:trHeight w:val="206"/>
        </w:trPr>
        <w:tc>
          <w:tcPr>
            <w:tcW w:w="574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(72,248)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(18,764)</w:t>
            </w: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574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13"/>
        </w:trPr>
        <w:tc>
          <w:tcPr>
            <w:tcW w:w="574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27,960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27,377</w:t>
            </w: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7"/>
                <w:szCs w:val="7"/>
                <w:color w:val="auto"/>
              </w:rPr>
            </w:pPr>
          </w:p>
        </w:tc>
        <w:tc>
          <w:tcPr>
            <w:tcW w:w="11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124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Accumulated Other</w:t>
            </w:r>
          </w:p>
        </w:tc>
        <w:tc>
          <w:tcPr>
            <w:tcW w:w="180" w:type="dxa"/>
            <w:vAlign w:val="bottom"/>
          </w:tcPr>
          <w:p>
            <w:pPr>
              <w:spacing w:after="0"/>
              <w:rPr>
                <w:sz w:val="7"/>
                <w:szCs w:val="7"/>
                <w:color w:val="auto"/>
              </w:rPr>
            </w:pPr>
          </w:p>
        </w:tc>
        <w:tc>
          <w:tcPr>
            <w:tcW w:w="116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1040" w:type="dxa"/>
            <w:vAlign w:val="bottom"/>
          </w:tcPr>
          <w:p>
            <w:pPr>
              <w:jc w:val="center"/>
              <w:ind w:right="14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Comprehensive Loss</w:t>
            </w:r>
          </w:p>
        </w:tc>
        <w:tc>
          <w:tcPr>
            <w:tcW w:w="180" w:type="dxa"/>
            <w:vAlign w:val="bottom"/>
          </w:tcPr>
          <w:p>
            <w:pPr>
              <w:spacing w:after="0"/>
              <w:rPr>
                <w:sz w:val="12"/>
                <w:szCs w:val="12"/>
                <w:color w:val="auto"/>
              </w:rPr>
            </w:pPr>
          </w:p>
        </w:tc>
        <w:tc>
          <w:tcPr>
            <w:tcW w:w="1160" w:type="dxa"/>
            <w:vAlign w:val="bottom"/>
            <w:gridSpan w:val="2"/>
          </w:tcPr>
          <w:p>
            <w:pPr>
              <w:ind w:left="28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040" w:type="dxa"/>
            <w:vAlign w:val="bottom"/>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27,647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678,575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(321,753)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356,428</w:t>
            </w:r>
          </w:p>
        </w:tc>
        <w:tc>
          <w:tcPr>
            <w:tcW w:w="0" w:type="dxa"/>
            <w:vAlign w:val="bottom"/>
          </w:tcPr>
          <w:p>
            <w:pPr>
              <w:spacing w:after="0"/>
              <w:rPr>
                <w:sz w:val="1"/>
                <w:szCs w:val="1"/>
                <w:color w:val="auto"/>
              </w:rPr>
            </w:pPr>
          </w:p>
        </w:tc>
      </w:tr>
      <w:tr>
        <w:trPr>
          <w:trHeight w:val="135"/>
        </w:trPr>
        <w:tc>
          <w:tcPr>
            <w:tcW w:w="4160" w:type="dxa"/>
            <w:vAlign w:val="bottom"/>
          </w:tcPr>
          <w:p>
            <w:pPr>
              <w:ind w:left="100"/>
              <w:spacing w:after="0" w:line="135" w:lineRule="exact"/>
              <w:rPr>
                <w:sz w:val="20"/>
                <w:szCs w:val="20"/>
                <w:color w:val="auto"/>
              </w:rPr>
            </w:pPr>
            <w:r>
              <w:rPr>
                <w:rFonts w:ascii="Arial" w:cs="Arial" w:eastAsia="Arial" w:hAnsi="Arial"/>
                <w:sz w:val="14"/>
                <w:szCs w:val="14"/>
                <w:color w:val="auto"/>
                <w:w w:val="96"/>
              </w:rPr>
              <w:t>Issuance of common stock from exercises of options and employee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100"/>
              <w:spacing w:after="0"/>
              <w:rPr>
                <w:sz w:val="20"/>
                <w:szCs w:val="20"/>
                <w:color w:val="auto"/>
              </w:rPr>
            </w:pPr>
            <w:r>
              <w:rPr>
                <w:rFonts w:ascii="Arial" w:cs="Arial" w:eastAsia="Arial" w:hAnsi="Arial"/>
                <w:sz w:val="14"/>
                <w:szCs w:val="14"/>
                <w:color w:val="auto"/>
              </w:rPr>
              <w:t>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531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4,844</w:t>
            </w: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7,742</w:t>
            </w: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color w:val="auto"/>
              </w:rPr>
              <w:t>Comprehensive loss,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(36,255)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(36,255)</w:t>
            </w:r>
          </w:p>
        </w:tc>
        <w:tc>
          <w:tcPr>
            <w:tcW w:w="0" w:type="dxa"/>
            <w:vAlign w:val="bottom"/>
          </w:tcPr>
          <w:p>
            <w:pPr>
              <w:spacing w:after="0"/>
              <w:rPr>
                <w:sz w:val="1"/>
                <w:szCs w:val="1"/>
                <w:color w:val="auto"/>
              </w:rPr>
            </w:pPr>
          </w:p>
        </w:tc>
      </w:tr>
      <w:tr>
        <w:trPr>
          <w:trHeight w:val="168"/>
        </w:trPr>
        <w:tc>
          <w:tcPr>
            <w:tcW w:w="416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28,178</w:t>
            </w: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691,161</w:t>
            </w:r>
          </w:p>
        </w:tc>
        <w:tc>
          <w:tcPr>
            <w:tcW w:w="1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(2,434)</w:t>
            </w: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(358,008)</w:t>
            </w: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330,747</w:t>
            </w:r>
          </w:p>
        </w:tc>
        <w:tc>
          <w:tcPr>
            <w:tcW w:w="0" w:type="dxa"/>
            <w:vAlign w:val="bottom"/>
          </w:tcPr>
          <w:p>
            <w:pPr>
              <w:spacing w:after="0"/>
              <w:rPr>
                <w:sz w:val="1"/>
                <w:szCs w:val="1"/>
                <w:color w:val="auto"/>
              </w:rPr>
            </w:pPr>
          </w:p>
        </w:tc>
      </w:tr>
      <w:tr>
        <w:trPr>
          <w:trHeight w:val="116"/>
        </w:trPr>
        <w:tc>
          <w:tcPr>
            <w:tcW w:w="4160" w:type="dxa"/>
            <w:vAlign w:val="bottom"/>
            <w:shd w:val="clear" w:color="auto" w:fill="CFF0FC"/>
          </w:tcPr>
          <w:p>
            <w:pPr>
              <w:ind w:left="100"/>
              <w:spacing w:after="0" w:line="116" w:lineRule="exact"/>
              <w:rPr>
                <w:sz w:val="20"/>
                <w:szCs w:val="20"/>
                <w:color w:val="auto"/>
              </w:rPr>
            </w:pPr>
            <w:r>
              <w:rPr>
                <w:rFonts w:ascii="Arial" w:cs="Arial" w:eastAsia="Arial" w:hAnsi="Arial"/>
                <w:sz w:val="13"/>
                <w:szCs w:val="13"/>
                <w:color w:val="auto"/>
              </w:rPr>
              <w:t>Issuance of common stock from exercises of options and employee</w:t>
            </w: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86"/>
        </w:trPr>
        <w:tc>
          <w:tcPr>
            <w:tcW w:w="41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6,658</w:t>
            </w: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Comprehensive loss, net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86"/>
        </w:trPr>
        <w:tc>
          <w:tcPr>
            <w:tcW w:w="4160" w:type="dxa"/>
            <w:vAlign w:val="bottom"/>
          </w:tcPr>
          <w:p>
            <w:pPr>
              <w:ind w:left="10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(32,554)</w:t>
            </w:r>
          </w:p>
        </w:tc>
        <w:tc>
          <w:tcPr>
            <w:tcW w:w="0" w:type="dxa"/>
            <w:vAlign w:val="bottom"/>
          </w:tcPr>
          <w:p>
            <w:pPr>
              <w:spacing w:after="0"/>
              <w:rPr>
                <w:sz w:val="1"/>
                <w:szCs w:val="1"/>
                <w:color w:val="auto"/>
              </w:rPr>
            </w:pPr>
          </w:p>
        </w:tc>
      </w:tr>
      <w:tr>
        <w:trPr>
          <w:trHeight w:val="197"/>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28,231</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698,701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(3,861)</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(390,562)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304,306</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7"/>
                <w:szCs w:val="7"/>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40"/>
              <w:spacing w:after="0" w:line="81"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7"/>
                <w:szCs w:val="7"/>
                <w:color w:val="auto"/>
              </w:rPr>
            </w:pPr>
          </w:p>
        </w:tc>
        <w:tc>
          <w:tcPr>
            <w:tcW w:w="120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Accumulated Other</w:t>
            </w:r>
          </w:p>
        </w:tc>
        <w:tc>
          <w:tcPr>
            <w:tcW w:w="180" w:type="dxa"/>
            <w:vAlign w:val="bottom"/>
          </w:tcPr>
          <w:p>
            <w:pPr>
              <w:spacing w:after="0"/>
              <w:rPr>
                <w:sz w:val="7"/>
                <w:szCs w:val="7"/>
                <w:color w:val="auto"/>
              </w:rPr>
            </w:pPr>
          </w:p>
        </w:tc>
        <w:tc>
          <w:tcPr>
            <w:tcW w:w="112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1020" w:type="dxa"/>
            <w:vAlign w:val="bottom"/>
          </w:tcPr>
          <w:p>
            <w:pPr>
              <w:jc w:val="center"/>
              <w:ind w:right="12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Comprehensive Loss</w:t>
            </w:r>
          </w:p>
        </w:tc>
        <w:tc>
          <w:tcPr>
            <w:tcW w:w="180" w:type="dxa"/>
            <w:vAlign w:val="bottom"/>
          </w:tcPr>
          <w:p>
            <w:pPr>
              <w:spacing w:after="0"/>
              <w:rPr>
                <w:sz w:val="12"/>
                <w:szCs w:val="12"/>
                <w:color w:val="auto"/>
              </w:rPr>
            </w:pPr>
          </w:p>
        </w:tc>
        <w:tc>
          <w:tcPr>
            <w:tcW w:w="112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020" w:type="dxa"/>
            <w:vAlign w:val="bottom"/>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3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660,665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(263,957)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396,731</w:t>
            </w:r>
          </w:p>
        </w:tc>
        <w:tc>
          <w:tcPr>
            <w:tcW w:w="0" w:type="dxa"/>
            <w:vAlign w:val="bottom"/>
          </w:tcPr>
          <w:p>
            <w:pPr>
              <w:spacing w:after="0"/>
              <w:rPr>
                <w:sz w:val="1"/>
                <w:szCs w:val="1"/>
                <w:color w:val="auto"/>
              </w:rPr>
            </w:pPr>
          </w:p>
        </w:tc>
      </w:tr>
      <w:tr>
        <w:trPr>
          <w:trHeight w:val="186"/>
        </w:trPr>
        <w:tc>
          <w:tcPr>
            <w:tcW w:w="4300" w:type="dxa"/>
            <w:vAlign w:val="bottom"/>
          </w:tcPr>
          <w:p>
            <w:pPr>
              <w:ind w:left="100"/>
              <w:spacing w:after="0"/>
              <w:rPr>
                <w:sz w:val="20"/>
                <w:szCs w:val="20"/>
                <w:color w:val="auto"/>
              </w:rPr>
            </w:pPr>
            <w:r>
              <w:rPr>
                <w:rFonts w:ascii="Arial" w:cs="Arial" w:eastAsia="Arial" w:hAnsi="Arial"/>
                <w:sz w:val="14"/>
                <w:szCs w:val="14"/>
                <w:color w:val="auto"/>
              </w:rPr>
              <w:t>Shares issued under employee stock plans</w:t>
            </w: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92"/>
        </w:trPr>
        <w:tc>
          <w:tcPr>
            <w:tcW w:w="43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9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86"/>
        </w:trPr>
        <w:tc>
          <w:tcPr>
            <w:tcW w:w="4300" w:type="dxa"/>
            <w:vAlign w:val="bottom"/>
          </w:tcPr>
          <w:p>
            <w:pPr>
              <w:ind w:left="20"/>
              <w:spacing w:after="0"/>
              <w:rPr>
                <w:sz w:val="20"/>
                <w:szCs w:val="20"/>
                <w:color w:val="auto"/>
              </w:rPr>
            </w:pPr>
            <w:r>
              <w:rPr>
                <w:rFonts w:ascii="Arial" w:cs="Arial" w:eastAsia="Arial" w:hAnsi="Arial"/>
                <w:sz w:val="14"/>
                <w:szCs w:val="14"/>
                <w:color w:val="auto"/>
              </w:rPr>
              <w:t>Comprehensive loss, net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92"/>
        </w:trPr>
        <w:tc>
          <w:tcPr>
            <w:tcW w:w="43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9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0" w:type="dxa"/>
            <w:vAlign w:val="bottom"/>
          </w:tcPr>
          <w:p>
            <w:pPr>
              <w:spacing w:after="0"/>
              <w:rPr>
                <w:sz w:val="1"/>
                <w:szCs w:val="1"/>
                <w:color w:val="auto"/>
              </w:rPr>
            </w:pPr>
          </w:p>
        </w:tc>
      </w:tr>
      <w:tr>
        <w:trPr>
          <w:trHeight w:val="168"/>
        </w:trPr>
        <w:tc>
          <w:tcPr>
            <w:tcW w:w="43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27,367</w:t>
            </w:r>
          </w:p>
        </w:tc>
        <w:tc>
          <w:tcPr>
            <w:tcW w:w="1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664,147</w:t>
            </w:r>
          </w:p>
        </w:tc>
        <w:tc>
          <w:tcPr>
            <w:tcW w:w="1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(282,120)</w:t>
            </w:r>
          </w:p>
        </w:tc>
        <w:tc>
          <w:tcPr>
            <w:tcW w:w="1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381,943</w:t>
            </w:r>
          </w:p>
        </w:tc>
        <w:tc>
          <w:tcPr>
            <w:tcW w:w="0" w:type="dxa"/>
            <w:vAlign w:val="bottom"/>
          </w:tcPr>
          <w:p>
            <w:pPr>
              <w:spacing w:after="0"/>
              <w:rPr>
                <w:sz w:val="1"/>
                <w:szCs w:val="1"/>
                <w:color w:val="auto"/>
              </w:rPr>
            </w:pPr>
          </w:p>
        </w:tc>
      </w:tr>
      <w:tr>
        <w:trPr>
          <w:trHeight w:val="170"/>
        </w:trPr>
        <w:tc>
          <w:tcPr>
            <w:tcW w:w="43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Shares issued under employee stock plans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86"/>
        </w:trPr>
        <w:tc>
          <w:tcPr>
            <w:tcW w:w="430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3,690</w:t>
            </w:r>
          </w:p>
        </w:tc>
        <w:tc>
          <w:tcPr>
            <w:tcW w:w="0" w:type="dxa"/>
            <w:vAlign w:val="bottom"/>
          </w:tcPr>
          <w:p>
            <w:pPr>
              <w:spacing w:after="0"/>
              <w:rPr>
                <w:sz w:val="1"/>
                <w:szCs w:val="1"/>
                <w:color w:val="auto"/>
              </w:rPr>
            </w:pPr>
          </w:p>
        </w:tc>
      </w:tr>
      <w:tr>
        <w:trPr>
          <w:trHeight w:val="192"/>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 net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86"/>
        </w:trPr>
        <w:tc>
          <w:tcPr>
            <w:tcW w:w="43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97"/>
        </w:trPr>
        <w:tc>
          <w:tcPr>
            <w:tcW w:w="4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27,433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668,429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(282,549)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385,731</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(68,809)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(18,592)</w:t>
            </w:r>
          </w:p>
        </w:tc>
        <w:tc>
          <w:tcPr>
            <w:tcW w:w="0" w:type="dxa"/>
            <w:vAlign w:val="bottom"/>
          </w:tcPr>
          <w:p>
            <w:pPr>
              <w:spacing w:after="0"/>
              <w:rPr>
                <w:sz w:val="1"/>
                <w:szCs w:val="1"/>
                <w:color w:val="auto"/>
              </w:rPr>
            </w:pPr>
          </w:p>
        </w:tc>
      </w:tr>
      <w:tr>
        <w:trPr>
          <w:trHeight w:val="23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7,005</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right-of-use assets – operating</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Receivables from collaborative partners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(3,235)</w:t>
            </w: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Operating lease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(45,161)</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(13,613)</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(494,795)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(9,734)</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 and maturities of investments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111,020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105,604</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2"/>
        </w:trPr>
        <w:tc>
          <w:tcPr>
            <w:tcW w:w="77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(383,908)</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94,690</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Repayment of liability for sale of future royalties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debt issuance costs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(decrease) increase in cash and cash equivalents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(424,028)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81,798</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495,729</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250,516</w:t>
            </w:r>
          </w:p>
        </w:tc>
        <w:tc>
          <w:tcPr>
            <w:tcW w:w="0" w:type="dxa"/>
            <w:vAlign w:val="bottom"/>
          </w:tcPr>
          <w:p>
            <w:pPr>
              <w:spacing w:after="0"/>
              <w:rPr>
                <w:sz w:val="1"/>
                <w:szCs w:val="1"/>
                <w:color w:val="auto"/>
              </w:rPr>
            </w:pPr>
          </w:p>
        </w:tc>
      </w:tr>
      <w:tr>
        <w:trPr>
          <w:trHeight w:val="234"/>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71,701</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332,314</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Amounts accrued for issuance costs related to the sale of future royalties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20,685</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 related to issuance of common stock, upon exercise of stock options</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clinical-stage biotechnology company focused on delivering innovative immunology therapeutics. Our proprietary clinical stage pipeline includes imsidolimab, our anti-IL-36R antibody, previously referred to as ANB019, for the treatment of dermatological inflammatory diseases, including generalized pustular psoriasis, or GPP, and moderate-to-severe hidradenitis suppurativa; rosnilimab, our anti-PD-1 agonist program, previously referred to as ANB030, for the treatment of moderate-to-severe alopecia areata; and ANB032, our anti-BTLA agonist program, which is broadly applicable to human inflammatory diseases associated with lymphoid and myeloid immune cell dysregulation. We have also developed multiple therapeutic antibodies in an immuno-oncology collaboration with GSK, including an anti-PD-1 antagonist antibody (JEMPERLI (dostarlimab-gxly) GSK4057190), an anti-TIM-3 antagonist antibody (cobolimab, GSK4069889) and an anti-LAG-3 antagonist antibody (GSK4074386). We currently generate revenue from milestones and royalties achieved under our collaborative research and development arrangements. Our antibody pipeline has been developed using our proprietary somatic hypermutation, or SHM platform, which uses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SHM for antibody discovery and is designed to replicate key features of the human immune system to overcome the limitations of competing antibody discovery technologies.</w:t>
      </w:r>
    </w:p>
    <w:p>
      <w:pPr>
        <w:spacing w:after="0" w:line="7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Since our inception, we have devoted our primary effort to research and development activities. Our financial support has been provided primarily from the sale of our common and preferred stock, royalty monetization,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69" w:lineRule="exact"/>
        <w:rPr>
          <w:sz w:val="20"/>
          <w:szCs w:val="20"/>
          <w:color w:val="auto"/>
        </w:rPr>
      </w:pPr>
    </w:p>
    <w:p>
      <w:pPr>
        <w:ind w:left="260" w:right="7680" w:hanging="252"/>
        <w:spacing w:after="0" w:line="378"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86"/>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2022 are not necessarily indicative of the results that may be expected for the year ending December 31, 2022. Interim results are not necessarily indicative of results for a full year. The COVID-19 pandemic and mitigation measures taken in response have had, and may continue to have, an adverse impact on global economic conditions and an adverse effect on our business and financial conditions.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to date there has not been any material delays in clinical operations. The financial statements should be read in conjunction with our audited financial statements for the year ended December 31, 2021 included in our Annual Report on Form 10-K.</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4"/>
                <w:szCs w:val="14"/>
                <w:b w:val="1"/>
                <w:bCs w:val="1"/>
                <w:color w:val="auto"/>
                <w:w w:val="99"/>
              </w:rPr>
              <w:t>June 30,</w:t>
            </w:r>
          </w:p>
        </w:tc>
      </w:tr>
      <w:tr>
        <w:trPr>
          <w:trHeight w:val="184"/>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8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3,905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3,800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621"/>
        </w:trPr>
        <w:tc>
          <w:tcPr>
            <w:tcW w:w="5740" w:type="dxa"/>
            <w:vAlign w:val="bottom"/>
          </w:tcPr>
          <w:p>
            <w:pPr>
              <w:spacing w:after="0"/>
              <w:rPr>
                <w:sz w:val="20"/>
                <w:szCs w:val="20"/>
                <w:color w:val="auto"/>
              </w:rPr>
            </w:pPr>
            <w:r>
              <w:rPr>
                <w:rFonts w:ascii="Arial" w:cs="Arial" w:eastAsia="Arial" w:hAnsi="Arial"/>
                <w:sz w:val="18"/>
                <w:szCs w:val="18"/>
                <w:b w:val="1"/>
                <w:bCs w:val="1"/>
                <w:color w:val="auto"/>
              </w:rPr>
              <w:t>3. Balance Sheet Accounts and Supplemental Disclosures</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5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5740" w:type="dxa"/>
            <w:vAlign w:val="bottom"/>
          </w:tcPr>
          <w:p>
            <w:pPr>
              <w:ind w:left="380"/>
              <w:spacing w:after="0"/>
              <w:rPr>
                <w:sz w:val="20"/>
                <w:szCs w:val="20"/>
                <w:color w:val="auto"/>
              </w:rPr>
            </w:pPr>
            <w:r>
              <w:rPr>
                <w:rFonts w:ascii="Arial" w:cs="Arial" w:eastAsia="Arial" w:hAnsi="Arial"/>
                <w:sz w:val="18"/>
                <w:szCs w:val="18"/>
                <w:color w:val="auto"/>
              </w:rPr>
              <w:t>Property and equipment, net consist of the following:</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5"/>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5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3"/>
              </w:rPr>
              <w:t>December 31, 2021</w:t>
            </w: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7,205</w:t>
            </w: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(4,922)</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2,283</w:t>
            </w:r>
          </w:p>
        </w:tc>
      </w:tr>
      <w:tr>
        <w:trPr>
          <w:trHeight w:val="21"/>
        </w:trPr>
        <w:tc>
          <w:tcPr>
            <w:tcW w:w="5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development and manufacturing expenses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7,953</w:t>
            </w:r>
          </w:p>
        </w:tc>
      </w:tr>
      <w:tr>
        <w:trPr>
          <w:trHeight w:val="230"/>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GlaxoSmithKline Collaboration</w:t>
      </w:r>
    </w:p>
    <w:p>
      <w:pPr>
        <w:spacing w:after="0" w:line="104" w:lineRule="exact"/>
        <w:rPr>
          <w:sz w:val="20"/>
          <w:szCs w:val="20"/>
          <w:color w:val="auto"/>
        </w:rPr>
      </w:pPr>
    </w:p>
    <w:p>
      <w:pPr>
        <w:ind w:firstLine="486"/>
        <w:spacing w:after="0" w:line="236" w:lineRule="auto"/>
        <w:rPr>
          <w:sz w:val="20"/>
          <w:szCs w:val="20"/>
          <w:color w:val="auto"/>
        </w:rPr>
      </w:pPr>
      <w:r>
        <w:rPr>
          <w:rFonts w:ascii="Arial" w:cs="Arial" w:eastAsia="Arial" w:hAnsi="Arial"/>
          <w:sz w:val="17"/>
          <w:szCs w:val="17"/>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 Currently, under the GSK Agreement, GSK is developing JEMPERLI (dostarlimab), an anti-PD-1 antagonist antibody, as a monotherapy and in combination with additional therapies, for various solid tumor indications. In addition, under the collaboration, GSK is developing dostarlimab in combination with two other development programs form the GSK Agreement: cobolimab, an anti-TIM-3 antibody, and GSK40974386, an anti-LAG-3 antibody, for various solid tumor indications.</w:t>
      </w:r>
    </w:p>
    <w:p>
      <w:pPr>
        <w:spacing w:after="0" w:line="8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4-8%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determined that the upfront license fees and research funding under the GSK Agreement, as amended, should be accounted for as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in combination with any third-party molecules of Zejula,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and is under development for additional cancer indications. GSK agreed, starting January 1, 2021, to pay us a 1% royalty on all GSK net sales of Zejula. This 1% royalty is subject to deductions due to third party royalties owed, with a minimum royalty payable to us of 0.5%, which is currently the royalty we receive from GSK for Zejula. In addition, under the Amendment, we were granted increased royalties upon sales of JEMPERLI,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The $1.1 billion in cash milestone payments due under the GSK</w:t>
      </w:r>
    </w:p>
    <w:p>
      <w:pPr>
        <w:spacing w:after="0" w:line="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16" w:lineRule="exact"/>
        <w:rPr>
          <w:sz w:val="20"/>
          <w:szCs w:val="20"/>
          <w:color w:val="auto"/>
        </w:rPr>
      </w:pPr>
    </w:p>
    <w:p>
      <w:pPr>
        <w:jc w:val="both"/>
        <w:ind w:right="420" w:firstLine="486"/>
        <w:spacing w:after="0" w:line="311" w:lineRule="auto"/>
        <w:rPr>
          <w:sz w:val="20"/>
          <w:szCs w:val="20"/>
          <w:color w:val="auto"/>
        </w:rPr>
      </w:pPr>
      <w:r>
        <w:rPr>
          <w:rFonts w:ascii="Arial" w:cs="Arial" w:eastAsia="Arial" w:hAnsi="Arial"/>
          <w:sz w:val="16"/>
          <w:szCs w:val="16"/>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4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June 30, 2022,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1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earned and recognized $1.2 million and $2.2 million in royalty revenue during the three and six months ended June 30, 2022 related to GSK’s net sales of Zejula and JEMPERLI during the period based on estimates of GSK’s sales historical experience. Of the royalty revenue recognized during the three and six months ended June 30, 2022, $0.6 million and $0.9 million is JEMPERLI non-cash revenue related to the Royalty Monetization Agreement, see Note 5. GSK reports sales information to us on a one quarter lag and differences between actual and estimated royalty revenues will be adjusted in the following quarter. We earned and recognized $0 and $1.3 million in royalty revenue during the three and six months ended June 30, 2021 related to GSK’s net sales of Zejula and JEMPERLI during the period.</w:t>
      </w:r>
    </w:p>
    <w:p>
      <w:pPr>
        <w:spacing w:after="0" w:line="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No clinical milestones were earned or recognized during the three and six months ended June 30,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recognized through June 30, 2022 under the GSK Agreement are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Anti-PD-1</w:t>
            </w:r>
          </w:p>
        </w:tc>
        <w:tc>
          <w:tcPr>
            <w:tcW w:w="2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Anti-TIM-3</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460" w:type="dxa"/>
            <w:vAlign w:val="bottom"/>
            <w:gridSpan w:val="3"/>
          </w:tcPr>
          <w:p>
            <w:pPr>
              <w:ind w:left="360"/>
              <w:spacing w:after="0"/>
              <w:rPr>
                <w:sz w:val="20"/>
                <w:szCs w:val="20"/>
                <w:color w:val="auto"/>
              </w:rPr>
            </w:pPr>
            <w:r>
              <w:rPr>
                <w:rFonts w:ascii="Arial" w:cs="Arial" w:eastAsia="Arial" w:hAnsi="Arial"/>
                <w:sz w:val="14"/>
                <w:szCs w:val="14"/>
                <w:b w:val="1"/>
                <w:bCs w:val="1"/>
                <w:color w:val="auto"/>
              </w:rPr>
              <w:t>(JEMPERLI/Dostarlimab)</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(GSK4069889A/Cobolimab)</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130"/>
        </w:trPr>
        <w:tc>
          <w:tcPr>
            <w:tcW w:w="39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Milestone Event</w:t>
            </w:r>
          </w:p>
        </w:tc>
        <w:tc>
          <w:tcPr>
            <w:tcW w:w="86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Borders>
              <w:top w:val="single" w:sz="8" w:color="auto"/>
            </w:tcBorders>
          </w:tcPr>
          <w:p>
            <w:pPr>
              <w:jc w:val="center"/>
              <w:ind w:left="248"/>
              <w:spacing w:after="0" w:line="130"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1"/>
                <w:szCs w:val="11"/>
                <w:color w:val="auto"/>
              </w:rPr>
            </w:pPr>
          </w:p>
        </w:tc>
        <w:tc>
          <w:tcPr>
            <w:tcW w:w="11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top w:val="single" w:sz="8" w:color="auto"/>
            </w:tcBorders>
          </w:tcPr>
          <w:p>
            <w:pPr>
              <w:jc w:val="center"/>
              <w:ind w:left="8"/>
              <w:spacing w:after="0" w:line="130"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1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5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 xml:space="preserve">Initiated </w:t>
            </w:r>
            <w:r>
              <w:rPr>
                <w:rFonts w:ascii="Arial" w:cs="Arial" w:eastAsia="Arial" w:hAnsi="Arial"/>
                <w:sz w:val="14"/>
                <w:szCs w:val="14"/>
                <w:i w:val="1"/>
                <w:iCs w:val="1"/>
                <w:color w:val="auto"/>
                <w:w w:val="96"/>
              </w:rPr>
              <w:t>in vivo</w:t>
            </w:r>
            <w:r>
              <w:rPr>
                <w:rFonts w:ascii="Arial" w:cs="Arial" w:eastAsia="Arial" w:hAnsi="Arial"/>
                <w:sz w:val="14"/>
                <w:szCs w:val="14"/>
                <w:color w:val="auto"/>
                <w:w w:val="96"/>
              </w:rPr>
              <w:t xml:space="preserve"> toxicology studies using good laboratory practices</w:t>
            </w:r>
          </w:p>
        </w:tc>
        <w:tc>
          <w:tcPr>
            <w:tcW w:w="860" w:type="dxa"/>
            <w:vAlign w:val="bottom"/>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60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91"/>
              </w:rPr>
              <w:t>Q2'15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340" w:type="dxa"/>
            <w:vAlign w:val="bottom"/>
            <w:gridSpan w:val="2"/>
            <w:vMerge w:val="restart"/>
            <w:shd w:val="clear" w:color="auto" w:fill="CFF0FC"/>
          </w:tcPr>
          <w:p>
            <w:pPr>
              <w:jc w:val="center"/>
              <w:ind w:right="60"/>
              <w:spacing w:after="0"/>
              <w:rPr>
                <w:sz w:val="20"/>
                <w:szCs w:val="20"/>
                <w:color w:val="auto"/>
              </w:rPr>
            </w:pPr>
            <w:r>
              <w:rPr>
                <w:rFonts w:ascii="Arial" w:cs="Arial" w:eastAsia="Arial" w:hAnsi="Arial"/>
                <w:sz w:val="14"/>
                <w:szCs w:val="14"/>
                <w:color w:val="auto"/>
                <w:w w:val="97"/>
              </w:rPr>
              <w:t>Q4'15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(GLPs)</w:t>
            </w:r>
          </w:p>
        </w:tc>
        <w:tc>
          <w:tcPr>
            <w:tcW w:w="860" w:type="dxa"/>
            <w:vAlign w:val="bottom"/>
            <w:vMerge w:val="continue"/>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Q2'16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2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3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7"/>
              </w:rPr>
              <w:t>Q4'17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Q3'18</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Q2'19</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line="189" w:lineRule="exact"/>
              <w:rPr>
                <w:sz w:val="20"/>
                <w:szCs w:val="20"/>
                <w:color w:val="auto"/>
              </w:rPr>
            </w:pPr>
            <w:r>
              <w:rPr>
                <w:rFonts w:ascii="Arial" w:cs="Arial" w:eastAsia="Arial" w:hAnsi="Arial"/>
                <w:sz w:val="14"/>
                <w:szCs w:val="14"/>
                <w:color w:val="auto"/>
              </w:rPr>
              <w:t>Filing of the first BLA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second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BLA approval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8"/>
              </w:rPr>
              <w:t>$20.0M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rPr>
                <w:sz w:val="20"/>
                <w:szCs w:val="20"/>
                <w:color w:val="auto"/>
              </w:rPr>
            </w:pPr>
            <w:r>
              <w:rPr>
                <w:rFonts w:ascii="Arial" w:cs="Arial" w:eastAsia="Arial" w:hAnsi="Arial"/>
                <w:sz w:val="14"/>
                <w:szCs w:val="14"/>
                <w:color w:val="auto"/>
              </w:rPr>
              <w:t>First MAA approval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BLA approval - second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8"/>
              </w:rPr>
              <w:t>$20.0M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Q3'21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40" w:hanging="392"/>
        <w:spacing w:after="0"/>
        <w:tabs>
          <w:tab w:leader="none" w:pos="4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Biologics License Application (“BLA”)</w:t>
      </w:r>
    </w:p>
    <w:p>
      <w:pPr>
        <w:spacing w:after="0" w:line="15" w:lineRule="exact"/>
        <w:rPr>
          <w:rFonts w:ascii="Arial" w:cs="Arial" w:eastAsia="Arial" w:hAnsi="Arial"/>
          <w:sz w:val="23"/>
          <w:szCs w:val="23"/>
          <w:color w:val="auto"/>
          <w:vertAlign w:val="superscript"/>
        </w:rPr>
      </w:pPr>
    </w:p>
    <w:p>
      <w:pPr>
        <w:ind w:left="440" w:hanging="392"/>
        <w:spacing w:after="0" w:line="194" w:lineRule="auto"/>
        <w:tabs>
          <w:tab w:leader="none" w:pos="4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Marketing Authorization Application (“MAA”)</w:t>
      </w:r>
    </w:p>
    <w:p>
      <w:pPr>
        <w:spacing w:after="0" w:line="94"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right="860" w:firstLine="486"/>
        <w:spacing w:after="0" w:line="308" w:lineRule="auto"/>
        <w:rPr>
          <w:sz w:val="20"/>
          <w:szCs w:val="20"/>
          <w:color w:val="auto"/>
        </w:rPr>
      </w:pPr>
      <w:r>
        <w:rPr>
          <w:rFonts w:ascii="Arial" w:cs="Arial" w:eastAsia="Arial" w:hAnsi="Arial"/>
          <w:sz w:val="17"/>
          <w:szCs w:val="17"/>
          <w:color w:val="auto"/>
        </w:rPr>
        <w:t>We recognized $1.2 million and $2.2 million in revenue under the GSK Agreement during the three and six months ended June 30, 2022, respectively, and $30.0 million and $41.3 million during the three and six months ended June 30, 2021, respectively.</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Contractual milestones that may be recognized in the future under the GSK agreement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Anti-PD-1</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Anti-TIM-3</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(JEMPERLI/Dostarlimab)</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(GSK4069889A/Cobolimab)</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25"/>
        </w:trPr>
        <w:tc>
          <w:tcPr>
            <w:tcW w:w="5940" w:type="dxa"/>
            <w:vAlign w:val="bottom"/>
            <w:vMerge w:val="restart"/>
          </w:tcPr>
          <w:p>
            <w:pPr>
              <w:ind w:left="2420"/>
              <w:spacing w:after="0"/>
              <w:rPr>
                <w:sz w:val="20"/>
                <w:szCs w:val="20"/>
                <w:color w:val="auto"/>
              </w:rPr>
            </w:pPr>
            <w:r>
              <w:rPr>
                <w:rFonts w:ascii="Arial" w:cs="Arial" w:eastAsia="Arial" w:hAnsi="Arial"/>
                <w:sz w:val="16"/>
                <w:szCs w:val="16"/>
                <w:b w:val="1"/>
                <w:bCs w:val="1"/>
                <w:color w:val="auto"/>
              </w:rPr>
              <w:t>Milestone Event</w:t>
            </w:r>
          </w:p>
        </w:tc>
        <w:tc>
          <w:tcPr>
            <w:tcW w:w="18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Amount</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32"/>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 clinical and Development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$10.0M</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$10.0M</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Regulatory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$15.0M</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$90.0M</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$90.0M</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$165.0M</w:t>
            </w: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$165.0M</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$165.0M</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Contractual Milestones Remaining</w:t>
            </w: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$180.0M</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$265.0M</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$265.0M</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There was no revenue recognized under this agreement during the three and six months ended June 30, 2022 and 2021. Revenue was last recognized under this agreement in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of Future Royalties</w:t>
      </w:r>
    </w:p>
    <w:p>
      <w:pPr>
        <w:spacing w:after="0" w:line="12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In October 2021, we signed a royalty monetization agreement (“Royalty Monetization Agreement”) with Sagard Healthcare Royalty Partners, LP (“Sagard”). Under the terms of the Royalty Monetization Agreement, we received $250.0 million in exchange for royalties and milestones payable to us under our GSK collaboration on annual global net sales of JEMPERLI below $1.0 billion starting in October 2021. The aggregate JEMPERLI royalties and milestones to be received by Sagard under the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Royalty Monetization Agreement will expire resulting in us regaining all subsequent JEMPERLI royalties and milestones. As of June 30, 2022, Sagard has received a total of $0.7 million in royalties and milestones.</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Royalty Monetization Agreement includes a call option pursuant to which at any time after December 1, 2024, we may reacquire our interest in the specified royalties by paying Sagard (in cash) a specified amount described as (a) in the case of a Reacquisition Date that falls within the period from (but excluding) December 1, 2024 to (and including) December 31, 2026, the greater of (i) $312.5 million minus the total Net Amount actually received by Purchaser prior to such Reacquisition Date, and (ii) an amount that, when paid to Sagard on such Reacquisition Date, will generate an internal rate of return (“IRR”) for Sagard of 9.0% over the Relevant Period; (b) in the case of a Reacquisition Date that falls within the period from (and including) January 1, 2027 to (and including) December 31, 2027, the greater of (i) $337.5 million minus the total Net Amount actually received by Purchaser prior to such Reacquisition Date and (ii) an amount that, when paid to Sagard on such Reacquisition Date, will generate an IRR for Sagard of 10% over the Relevant Period; and (c) in the case of a Reacquisition Date that occurs on or after January 1, 2028, the greater of (i) $412.5 million minus the total Net Amount actually received by Purchaser prior to such Reacquisition Date and (ii) an amount that, when paid to Sagard on such Reacquisition Date, will generate an IRR for Sagard of 10% over the Relevant Period.</w:t>
      </w:r>
    </w:p>
    <w:p>
      <w:pPr>
        <w:spacing w:after="0" w:line="77"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The proceeds received from Sagard of $250.0 million were recorded as a liability, net of transaction costs of $0.4 million, which will be amortized over the estimated life of the arrangement using the effective interest rate method.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w:t>
      </w:r>
    </w:p>
    <w:p>
      <w:pPr>
        <w:spacing w:after="0" w:line="63"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estimate the effective interest rate used to record non-cash interest expense under the Agreement based on the estimate of future royalty payments to be received by Sagard. As of June 30, 2022, the estimated effective rate under the agreement was 9.1%. Over the life of the arrangement, the actual effective interest rate will be affected by the amount and the timing of the royalty payments received by Sagard and changes in the Company’s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5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recognized non-cash royalty revenue of approximately $0.6 million and $0.9 million for the three and six months ended June 30, 2022, respectively, and non-cash interest expense of approximately $5.9 million and $10.7 million for the three and six months ended June 30, 2022, respectively. The interest and amortization of issuance costs is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activity within the liability account for the six months ended June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June 30, 2022</w:t>
            </w: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JEMPERLI royalties and milestones - balance at 12/31/2021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251,093</w:t>
            </w: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Issuance costs related to the sale of future royalties</w:t>
            </w:r>
          </w:p>
        </w:tc>
        <w:tc>
          <w:tcPr>
            <w:tcW w:w="4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issuance costs</w:t>
            </w:r>
          </w:p>
        </w:tc>
        <w:tc>
          <w:tcPr>
            <w:tcW w:w="4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Royalty and milestone payments to Sagard</w:t>
            </w:r>
          </w:p>
        </w:tc>
        <w:tc>
          <w:tcPr>
            <w:tcW w:w="4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recognized</w:t>
            </w:r>
          </w:p>
        </w:tc>
        <w:tc>
          <w:tcPr>
            <w:tcW w:w="4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 and milestones - ending balance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261,019</w:t>
            </w:r>
          </w:p>
        </w:tc>
      </w:tr>
      <w:tr>
        <w:trPr>
          <w:trHeight w:val="21"/>
        </w:trPr>
        <w:tc>
          <w:tcPr>
            <w:tcW w:w="8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260" w:right="6360" w:hanging="252"/>
        <w:spacing w:after="0" w:line="377"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shd w:val="clear" w:color="auto" w:fill="CFF0FC"/>
          </w:tcPr>
          <w:p>
            <w:pPr>
              <w:spacing w:after="0"/>
              <w:rPr>
                <w:sz w:val="15"/>
                <w:szCs w:val="15"/>
                <w:color w:val="auto"/>
              </w:rPr>
            </w:pPr>
          </w:p>
        </w:tc>
        <w:tc>
          <w:tcPr>
            <w:tcW w:w="4840" w:type="dxa"/>
            <w:vAlign w:val="bottom"/>
            <w:tcBorders>
              <w:top w:val="single" w:sz="8" w:color="CFF0FC"/>
            </w:tcBorders>
            <w:gridSpan w:val="3"/>
            <w:shd w:val="clear" w:color="auto" w:fill="CFF0FC"/>
          </w:tcPr>
          <w:p>
            <w:pPr>
              <w:spacing w:after="0" w:line="175" w:lineRule="exact"/>
              <w:rPr>
                <w:sz w:val="20"/>
                <w:szCs w:val="20"/>
                <w:color w:val="auto"/>
              </w:rPr>
            </w:pPr>
            <w:r>
              <w:rPr>
                <w:rFonts w:ascii="Arial" w:cs="Arial" w:eastAsia="Arial" w:hAnsi="Arial"/>
                <w:sz w:val="18"/>
                <w:szCs w:val="18"/>
                <w:b w:val="1"/>
                <w:bCs w:val="1"/>
                <w:color w:val="auto"/>
              </w:rPr>
              <w:t>At June 30, 2022</w:t>
            </w:r>
          </w:p>
        </w:tc>
        <w:tc>
          <w:tcPr>
            <w:tcW w:w="3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59,020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(1)(2)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56,061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At December 31, 2021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445,647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445,647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840" w:type="dxa"/>
            <w:vAlign w:val="bottom"/>
            <w:gridSpan w:val="3"/>
            <w:shd w:val="clear" w:color="auto" w:fill="CFF0FC"/>
          </w:tcPr>
          <w:p>
            <w:pPr>
              <w:ind w:left="4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 w:hanging="232"/>
        <w:spacing w:after="0"/>
        <w:tabs>
          <w:tab w:leader="none" w:pos="2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in the accompanying consolidated balance sheets.</w:t>
      </w:r>
    </w:p>
    <w:p>
      <w:pPr>
        <w:spacing w:after="0" w:line="28"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8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June 30, 2022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408,577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 for sale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945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94505" cy="154305"/>
                    </a:xfrm>
                    <a:prstGeom prst="rect">
                      <a:avLst/>
                    </a:prstGeom>
                    <a:noFill/>
                  </pic:spPr>
                </pic:pic>
              </a:graphicData>
            </a:graphic>
          </wp:anchor>
        </w:drawing>
      </w:r>
    </w:p>
    <w:p>
      <w:pPr>
        <w:spacing w:after="0" w:line="87" w:lineRule="exact"/>
        <w:rPr>
          <w:sz w:val="20"/>
          <w:szCs w:val="20"/>
          <w:color w:val="auto"/>
        </w:rPr>
      </w:pPr>
    </w:p>
    <w:p>
      <w:pPr>
        <w:ind w:left="460" w:right="100" w:hanging="412"/>
        <w:spacing w:after="0" w:line="227" w:lineRule="auto"/>
        <w:tabs>
          <w:tab w:leader="none" w:pos="29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$13.3 million have maturity dates of less than one year and $22.7 million have maturity dates between one to two years as of June 30, 2022.</w:t>
      </w:r>
    </w:p>
    <w:p>
      <w:pPr>
        <w:spacing w:after="0" w:line="26" w:lineRule="exact"/>
        <w:rPr>
          <w:rFonts w:ascii="Arial" w:cs="Arial" w:eastAsia="Arial" w:hAnsi="Arial"/>
          <w:sz w:val="23"/>
          <w:szCs w:val="23"/>
          <w:color w:val="auto"/>
          <w:vertAlign w:val="superscript"/>
        </w:rPr>
      </w:pPr>
    </w:p>
    <w:p>
      <w:pPr>
        <w:ind w:left="460" w:right="160" w:hanging="412"/>
        <w:spacing w:after="0" w:line="227"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$1.4 million have maturity dates of less than one year and $1.9 million have a maturity date of between one to two years as of June 30, 2022.</w:t>
      </w:r>
    </w:p>
    <w:p>
      <w:pPr>
        <w:spacing w:after="0" w:line="13" w:lineRule="exact"/>
        <w:rPr>
          <w:rFonts w:ascii="Arial" w:cs="Arial" w:eastAsia="Arial" w:hAnsi="Arial"/>
          <w:sz w:val="23"/>
          <w:szCs w:val="23"/>
          <w:color w:val="auto"/>
          <w:vertAlign w:val="superscript"/>
        </w:rPr>
      </w:pPr>
    </w:p>
    <w:p>
      <w:pPr>
        <w:ind w:left="460" w:right="300" w:hanging="412"/>
        <w:spacing w:after="0" w:line="227" w:lineRule="auto"/>
        <w:tabs>
          <w:tab w:leader="none" w:pos="35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$28.5 million have maturity dates of less than one year and $27.6 million have a maturity date of between one to two years as of June 30, 2022.</w:t>
      </w:r>
    </w:p>
    <w:p>
      <w:pPr>
        <w:spacing w:after="0" w:line="26" w:lineRule="exact"/>
        <w:rPr>
          <w:rFonts w:ascii="Arial" w:cs="Arial" w:eastAsia="Arial" w:hAnsi="Arial"/>
          <w:sz w:val="23"/>
          <w:szCs w:val="23"/>
          <w:color w:val="auto"/>
          <w:vertAlign w:val="superscript"/>
        </w:rPr>
      </w:pPr>
    </w:p>
    <w:p>
      <w:pPr>
        <w:ind w:left="460" w:right="80" w:hanging="412"/>
        <w:spacing w:after="0" w:line="227" w:lineRule="auto"/>
        <w:tabs>
          <w:tab w:leader="none" w:pos="29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$330.7 million have maturity dates of less than one year and $77.9 million have a maturity date of between one to two years as of June 30, 2022.</w:t>
      </w:r>
    </w:p>
    <w:p>
      <w:pPr>
        <w:spacing w:after="0" w:line="20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aggregate market value, cost basis, and gross unrealized gains and losses of available for sale investments by security type, classified in short-term and long-term investments as of December 31, 2021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87,831</w:t>
            </w:r>
          </w:p>
        </w:tc>
        <w:tc>
          <w:tcPr>
            <w:tcW w:w="0" w:type="dxa"/>
            <w:vAlign w:val="bottom"/>
          </w:tcPr>
          <w:p>
            <w:pPr>
              <w:spacing w:after="0"/>
              <w:rPr>
                <w:sz w:val="1"/>
                <w:szCs w:val="1"/>
                <w:color w:val="auto"/>
              </w:rPr>
            </w:pPr>
          </w:p>
        </w:tc>
      </w:tr>
      <w:tr>
        <w:trPr>
          <w:trHeight w:val="248"/>
        </w:trPr>
        <w:tc>
          <w:tcPr>
            <w:tcW w:w="5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 for sale investments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119,680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119,465</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5196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1960" cy="154305"/>
                    </a:xfrm>
                    <a:prstGeom prst="rect">
                      <a:avLst/>
                    </a:prstGeom>
                    <a:noFill/>
                  </pic:spPr>
                </pic:pic>
              </a:graphicData>
            </a:graphic>
          </wp:anchor>
        </w:drawing>
      </w:r>
    </w:p>
    <w:p>
      <w:pPr>
        <w:spacing w:after="0" w:line="87" w:lineRule="exact"/>
        <w:rPr>
          <w:sz w:val="20"/>
          <w:szCs w:val="20"/>
          <w:color w:val="auto"/>
        </w:rPr>
      </w:pPr>
    </w:p>
    <w:p>
      <w:pPr>
        <w:ind w:left="460" w:right="220" w:hanging="412"/>
        <w:spacing w:after="0" w:line="227" w:lineRule="auto"/>
        <w:tabs>
          <w:tab w:leader="none" w:pos="37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 million have maturity dates of less than one year and $4.8 million have a maturity date of between one to two years as of December 31, 2021.</w:t>
      </w:r>
    </w:p>
    <w:p>
      <w:pPr>
        <w:spacing w:after="0" w:line="26" w:lineRule="exact"/>
        <w:rPr>
          <w:rFonts w:ascii="Arial" w:cs="Arial" w:eastAsia="Arial" w:hAnsi="Arial"/>
          <w:sz w:val="23"/>
          <w:szCs w:val="23"/>
          <w:color w:val="auto"/>
          <w:vertAlign w:val="superscript"/>
        </w:rPr>
      </w:pPr>
    </w:p>
    <w:p>
      <w:pPr>
        <w:ind w:left="460" w:right="80" w:hanging="412"/>
        <w:spacing w:after="0" w:line="227" w:lineRule="auto"/>
        <w:tabs>
          <w:tab w:leader="none" w:pos="33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$1.3 million have a maturity date of less than one year and $2.5 million have a maturity date of between one to two years as of December 31, 2021.</w:t>
      </w:r>
    </w:p>
    <w:p>
      <w:pPr>
        <w:spacing w:after="0" w:line="26" w:lineRule="exact"/>
        <w:rPr>
          <w:rFonts w:ascii="Arial" w:cs="Arial" w:eastAsia="Arial" w:hAnsi="Arial"/>
          <w:sz w:val="23"/>
          <w:szCs w:val="23"/>
          <w:color w:val="auto"/>
          <w:vertAlign w:val="superscript"/>
        </w:rPr>
      </w:pPr>
    </w:p>
    <w:p>
      <w:pPr>
        <w:ind w:left="460" w:right="280" w:hanging="412"/>
        <w:spacing w:after="0" w:line="227" w:lineRule="auto"/>
        <w:tabs>
          <w:tab w:leader="none" w:pos="41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$4.8 million have maturity dates of less than one year and $17.3 million have a maturity date of between one to two years as of December 31, 2021.</w:t>
      </w:r>
    </w:p>
    <w:p>
      <w:pPr>
        <w:spacing w:after="0" w:line="13" w:lineRule="exact"/>
        <w:rPr>
          <w:rFonts w:ascii="Arial" w:cs="Arial" w:eastAsia="Arial" w:hAnsi="Arial"/>
          <w:sz w:val="23"/>
          <w:szCs w:val="23"/>
          <w:color w:val="auto"/>
          <w:vertAlign w:val="superscript"/>
        </w:rPr>
      </w:pPr>
    </w:p>
    <w:p>
      <w:pPr>
        <w:ind w:left="460" w:right="640" w:hanging="412"/>
        <w:spacing w:after="0" w:line="227" w:lineRule="auto"/>
        <w:tabs>
          <w:tab w:leader="none" w:pos="41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$45.3 million have maturity dates of less than one year and $42.5 million have a maturity date of between one to two years as of December 31, 2021.</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gross unrealized losses and fair values for those investments that were in an unrealized loss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and December 31, 2021,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43"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center"/>
              <w:ind w:right="193"/>
              <w:spacing w:after="0" w:line="14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6"/>
                <w:szCs w:val="16"/>
                <w:color w:val="auto"/>
              </w:rPr>
            </w:pPr>
          </w:p>
        </w:tc>
        <w:tc>
          <w:tcPr>
            <w:tcW w:w="2060" w:type="dxa"/>
            <w:vAlign w:val="bottom"/>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13"/>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Borders>
              <w:top w:val="single" w:sz="8" w:color="auto"/>
            </w:tcBorders>
          </w:tcPr>
          <w:p>
            <w:pPr>
              <w:jc w:val="right"/>
              <w:ind w:right="19"/>
              <w:spacing w:after="0" w:line="130" w:lineRule="exact"/>
              <w:rPr>
                <w:sz w:val="20"/>
                <w:szCs w:val="20"/>
                <w:color w:val="auto"/>
              </w:rPr>
            </w:pPr>
            <w:r>
              <w:rPr>
                <w:rFonts w:ascii="Arial" w:cs="Arial" w:eastAsia="Arial" w:hAnsi="Arial"/>
                <w:sz w:val="14"/>
                <w:szCs w:val="14"/>
                <w:b w:val="1"/>
                <w:bCs w:val="1"/>
                <w:color w:val="auto"/>
              </w:rPr>
              <w:t>Gross</w:t>
            </w: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93"/>
              <w:spacing w:after="0" w:line="130"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June 30, 2022 and December 31, 2021, unrealized losses on available for sale investments were $3.7 million and $0.2 million, respectively. There were no securities in an unrealized loss position for greater than 12 months as of June 30, 2022. We do not intend to sell the investments and it is not more likely than not that we will be required to sell the investments before recovery of their amortized cost basis, accordingly, no allowance for credit losses were recorded.</w:t>
      </w:r>
    </w:p>
    <w:p>
      <w:pPr>
        <w:spacing w:after="0" w:line="291" w:lineRule="exact"/>
        <w:rPr>
          <w:sz w:val="20"/>
          <w:szCs w:val="20"/>
          <w:color w:val="auto"/>
        </w:rPr>
      </w:pPr>
    </w:p>
    <w:p>
      <w:pPr>
        <w:ind w:left="260" w:right="9420" w:hanging="252"/>
        <w:spacing w:after="0" w:line="425" w:lineRule="auto"/>
        <w:tabs>
          <w:tab w:leader="none" w:pos="19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firstLine="486"/>
        <w:spacing w:after="0" w:line="308" w:lineRule="auto"/>
        <w:rPr>
          <w:sz w:val="20"/>
          <w:szCs w:val="20"/>
          <w:color w:val="auto"/>
        </w:rPr>
      </w:pPr>
      <w:r>
        <w:rPr>
          <w:rFonts w:ascii="Arial" w:cs="Arial" w:eastAsia="Arial" w:hAnsi="Arial"/>
          <w:sz w:val="17"/>
          <w:szCs w:val="17"/>
          <w:color w:val="auto"/>
        </w:rPr>
        <w:t>Of the 500,000,000 shares of common stock authorized, 28,231,344 shares were issued and outstanding as of June 30, 2022. Common stock reserved for future issuance upon the exercise, issuance or conversion of the respective equity instruments at June 30, 2022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580" w:type="dxa"/>
            <w:vAlign w:val="bottom"/>
            <w:shd w:val="clear" w:color="auto" w:fill="CCEEFF"/>
          </w:tcPr>
          <w:p>
            <w:pPr>
              <w:spacing w:after="0"/>
              <w:rPr>
                <w:sz w:val="19"/>
                <w:szCs w:val="19"/>
                <w:color w:val="auto"/>
              </w:rPr>
            </w:pPr>
          </w:p>
        </w:tc>
      </w:tr>
      <w:tr>
        <w:trPr>
          <w:trHeight w:val="229"/>
        </w:trPr>
        <w:tc>
          <w:tcPr>
            <w:tcW w:w="964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3,802,921</w:t>
            </w:r>
          </w:p>
        </w:tc>
      </w:tr>
      <w:tr>
        <w:trPr>
          <w:trHeight w:val="230"/>
        </w:trPr>
        <w:tc>
          <w:tcPr>
            <w:tcW w:w="9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Restricted stock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969,643</w:t>
            </w:r>
          </w:p>
        </w:tc>
      </w:tr>
      <w:tr>
        <w:trPr>
          <w:trHeight w:val="230"/>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Shares Reserved For:</w:t>
            </w:r>
          </w:p>
        </w:tc>
        <w:tc>
          <w:tcPr>
            <w:tcW w:w="1580" w:type="dxa"/>
            <w:vAlign w:val="bottom"/>
          </w:tcPr>
          <w:p>
            <w:pPr>
              <w:spacing w:after="0"/>
              <w:rPr>
                <w:sz w:val="19"/>
                <w:szCs w:val="19"/>
                <w:color w:val="auto"/>
              </w:rPr>
            </w:pPr>
          </w:p>
        </w:tc>
      </w:tr>
      <w:tr>
        <w:trPr>
          <w:trHeight w:val="243"/>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2,498,741</w:t>
            </w:r>
          </w:p>
        </w:tc>
      </w:tr>
      <w:tr>
        <w:trPr>
          <w:trHeight w:val="230"/>
        </w:trPr>
        <w:tc>
          <w:tcPr>
            <w:tcW w:w="6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1,507,549</w:t>
            </w:r>
          </w:p>
        </w:tc>
      </w:tr>
      <w:tr>
        <w:trPr>
          <w:trHeight w:val="248"/>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8,778,854</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10" w:lineRule="exact"/>
        <w:rPr>
          <w:sz w:val="20"/>
          <w:szCs w:val="20"/>
          <w:color w:val="auto"/>
        </w:rPr>
      </w:pPr>
    </w:p>
    <w:p>
      <w:pPr>
        <w:ind w:left="260" w:right="8960" w:hanging="252"/>
        <w:spacing w:after="0" w:line="425" w:lineRule="auto"/>
        <w:tabs>
          <w:tab w:leader="none" w:pos="19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b w:val="1"/>
          <w:bCs w:val="1"/>
          <w:i w:val="1"/>
          <w:iCs w:val="1"/>
          <w:color w:val="auto"/>
        </w:rPr>
        <w:t>2017 Equity Incentive Plan</w:t>
      </w:r>
    </w:p>
    <w:p>
      <w:pPr>
        <w:ind w:right="40" w:firstLine="486"/>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1,105,890 shares as of January 1, 2022.</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276,472 shares as of January 1, 2022. The initial six months offering period for the ESPP was completed in November 2021 with a subsequent six month offering period commencing thereafter. These offering periods are expected to continue starting in May and November of each year. As of June 30, 2022, 40,160 shares have been issued under the ESPP.</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six months ended June 30,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Exercise</w:t>
            </w: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3"/>
                <w:szCs w:val="13"/>
                <w:color w:val="auto"/>
              </w:rPr>
            </w:pPr>
          </w:p>
        </w:tc>
        <w:tc>
          <w:tcPr>
            <w:tcW w:w="1260" w:type="dxa"/>
            <w:vAlign w:val="bottom"/>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3"/>
        </w:trPr>
        <w:tc>
          <w:tcPr>
            <w:tcW w:w="478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Price per</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3"/>
                <w:szCs w:val="13"/>
                <w:color w:val="auto"/>
              </w:rPr>
            </w:pPr>
          </w:p>
        </w:tc>
        <w:tc>
          <w:tcPr>
            <w:tcW w:w="126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1,212,920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(307,147)</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3,802,921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June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1,755,799</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117"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Each Restricted Stock Unit (“RSUs”)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0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50"/>
        </w:trPr>
        <w:tc>
          <w:tcPr>
            <w:tcW w:w="5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969,643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969,643</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Stock Units expected to vest at June 30,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969,643</w:t>
            </w:r>
          </w:p>
        </w:tc>
        <w:tc>
          <w:tcPr>
            <w:tcW w:w="24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93"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8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6"/>
                <w:szCs w:val="16"/>
                <w:color w:val="auto"/>
              </w:rPr>
            </w:pPr>
          </w:p>
        </w:tc>
      </w:tr>
      <w:tr>
        <w:trPr>
          <w:trHeight w:val="224"/>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4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9"/>
                <w:szCs w:val="19"/>
                <w:color w:val="auto"/>
              </w:rPr>
            </w:pPr>
          </w:p>
        </w:tc>
      </w:tr>
      <w:tr>
        <w:trPr>
          <w:trHeight w:val="23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22.28</w:t>
            </w:r>
          </w:p>
        </w:tc>
        <w:tc>
          <w:tcPr>
            <w:tcW w:w="8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22.39</w:t>
            </w:r>
          </w:p>
        </w:tc>
        <w:tc>
          <w:tcPr>
            <w:tcW w:w="260" w:type="dxa"/>
            <w:vAlign w:val="bottom"/>
            <w:shd w:val="clear" w:color="auto" w:fill="CFF0FC"/>
          </w:tcPr>
          <w:p>
            <w:pPr>
              <w:spacing w:after="0"/>
              <w:rPr>
                <w:sz w:val="19"/>
                <w:szCs w:val="19"/>
                <w:color w:val="auto"/>
              </w:rPr>
            </w:pPr>
          </w:p>
        </w:tc>
      </w:tr>
    </w:tbl>
    <w:p>
      <w:pPr>
        <w:spacing w:after="0" w:line="29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Expected volatility for 2022 and 2021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6"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4"/>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4"/>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1,794</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4,864</w:t>
            </w: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2,255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r>
      <w:tr>
        <w:trPr>
          <w:trHeight w:val="248"/>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6,658</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3,690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w:t>
            </w: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three and six months ended June 30, 2022, we recognized $2.9 million and $3.2 million of non-cash stock-based compensation cost related to the award.</w:t>
      </w:r>
    </w:p>
    <w:p>
      <w:pPr>
        <w:spacing w:after="0" w:line="6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At June 30, 2022, there was $30.2 million of unrecognized compensation cost related to unvested stock option awards, which is expected to be recognized over a remaining weighted-average vesting period of 2.47 years, $22.0 million of unrecognized cost related to unvested RSUs awards, which is expected to be recognized over a period of 1.72 years and $0.1 million of unrecognized compensation cost related to the ESPP, which is expected to be recognized over a remaining weighted-average vesting period of 0.38 years.</w:t>
      </w:r>
    </w:p>
    <w:p>
      <w:pPr>
        <w:spacing w:after="0" w:line="291" w:lineRule="exact"/>
        <w:rPr>
          <w:sz w:val="20"/>
          <w:szCs w:val="20"/>
          <w:color w:val="auto"/>
        </w:rPr>
      </w:pPr>
    </w:p>
    <w:p>
      <w:pPr>
        <w:ind w:left="300" w:right="8500" w:hanging="292"/>
        <w:spacing w:after="0" w:line="425" w:lineRule="auto"/>
        <w:tabs>
          <w:tab w:leader="none" w:pos="19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right="20" w:firstLine="486"/>
        <w:spacing w:after="0" w:line="269" w:lineRule="auto"/>
        <w:rPr>
          <w:sz w:val="20"/>
          <w:szCs w:val="20"/>
          <w:color w:val="auto"/>
        </w:rPr>
      </w:pPr>
      <w:r>
        <w:rPr>
          <w:rFonts w:ascii="Arial" w:cs="Arial" w:eastAsia="Arial" w:hAnsi="Arial"/>
          <w:sz w:val="17"/>
          <w:szCs w:val="17"/>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2022, we have recorded $0.3 million as a security deposit in accordance with the terms of the Lease Agreement.</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effective date of adoption in determining the present value of future payments. The weighted-average discount rate used was 4.0% and the weighted-average remaining lease term is approximately 9.2 years.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75"/>
        </w:trPr>
        <w:tc>
          <w:tcPr>
            <w:tcW w:w="4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2022, the future minimum annual obligations for the Company’s operating lease liabilities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2,531</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13,239</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24,389</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20,222</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w:t>
      </w:r>
    </w:p>
    <w:p>
      <w:pPr>
        <w:spacing w:after="0" w:line="243" w:lineRule="exact"/>
        <w:rPr>
          <w:sz w:val="20"/>
          <w:szCs w:val="20"/>
          <w:color w:val="auto"/>
        </w:rPr>
      </w:pPr>
    </w:p>
    <w:p>
      <w:pPr>
        <w:ind w:firstLine="283"/>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and skin toxicities associated with treatments with hidradenitis suppurativa;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on favorable terms or at all,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macro-economic factors, including volatility in equity markets, and fluctuations in interest rates and 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 and other financing transactions;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3" w:name="page24"/>
    <w:bookmarkEnd w:id="23"/>
    <w:p>
      <w:pPr>
        <w:spacing w:after="0" w:line="198"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5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63"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six months ended June 30, 2022, included in Part I, Item 1 of this report and with our audited consolidated financial statements and related notes thereto for the year ended December 31, 2021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We are a clinical-stage biotechnology company focused on delivering innovative immunology therapeutics. Our proprietary clinical stage pipeline includes imsidolimab, our anti-IL-36R antibody, previously referred to as ANB019, for the treatment of dermatological inflammatory diseases, including generalized pustular psoriasis, or GPP, and moderate-to-severe hidradenitis suppurativa; rosnilimab, our anti-PD-1 agonist program, previously referred to as ANB030, for the treatment of moderate-to-severe alopecia areata; and ANB032, our anti-BTLA agonist program, which is broadly applicable to human inflammatory diseases associated with lymphoid and myeloid immune cell dysregulation. We have also developed multiple therapeutic antibodies in an immuno-oncology collaboration with GSK, including an anti-PD-1 antagonist antibody (JEMPERLI (dostarlimab-gxly) GSK4057190), an anti-TIM-3 antagonist antibody (cobolimab, GSK4069889) and an anti-LAG-3 antagonist antibody (GSK4074386). We currently generate revenue from milestones and royalties achieved under our collaborative research and development arrangements. We also have additional preclinical programs and discovery research of potentially innovative immunology therapeutics, including ANB033, an antagonistic antibody for inflammatory diseases. Our antibody pipeline has been developed using our proprietary somatic hypermutation, or SHM platform, which uses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for antibody discovery and is designed to replicate key features of the human immune system to overcome the limitations of competing antibody discovery technologies.</w:t>
      </w:r>
    </w:p>
    <w:p>
      <w:pPr>
        <w:spacing w:after="0" w:line="64"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Imsidolimab, our wholly-owned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indicated homozygous wild-type IL-36RN, CARD14 and AP1S3 alleles for all 8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inadequate efficacy. One patient contracted COVID-19 during the course of the clinical trial, which was deemed a serious adverse event unrelated to imsidolimab, and did not lead to study discontinuation.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diagnostic code pertaining to GPP (L40.1).</w:t>
      </w:r>
    </w:p>
    <w:p>
      <w:pPr>
        <w:spacing w:after="0" w:line="6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met with the FDA during the second quarter of 2021 for an end-of-Phase 2 meeting to review an orphan disease registration plan for imsidolimab for the treatment of GPP. We have initiated our first Phase 3 trial for imsidolimab for GPP, called GEMINI-1, which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6 months of monthly dosing. Top-line data from an interim analysis of GEMINI-1 is anticipated in the fourth quarter of 2023.</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are conducting a global registry of GPP patients, also referred to as the RADIANCE study, which we anticipate will improve understanding of the patient journey and assist in enrollment of future GPP clinical trials.</w:t>
      </w:r>
    </w:p>
    <w:p>
      <w:pPr>
        <w:spacing w:after="0" w:line="62"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third quarter of 2022.</w:t>
      </w:r>
    </w:p>
    <w:p>
      <w:pPr>
        <w:spacing w:after="0" w:line="57" w:lineRule="exact"/>
        <w:rPr>
          <w:sz w:val="20"/>
          <w:szCs w:val="20"/>
          <w:color w:val="auto"/>
        </w:rPr>
      </w:pPr>
    </w:p>
    <w:p>
      <w:pPr>
        <w:ind w:firstLine="486"/>
        <w:spacing w:after="0" w:line="283" w:lineRule="auto"/>
        <w:rPr>
          <w:sz w:val="20"/>
          <w:szCs w:val="20"/>
          <w:color w:val="auto"/>
        </w:rPr>
      </w:pPr>
      <w:r>
        <w:rPr>
          <w:rFonts w:ascii="Arial" w:cs="Arial" w:eastAsia="Arial" w:hAnsi="Arial"/>
          <w:sz w:val="16"/>
          <w:szCs w:val="16"/>
          <w:color w:val="auto"/>
        </w:rPr>
        <w:t xml:space="preserve">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of rosnilimab in alopecia areata patient samples. 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IV doses of rosnilimab ranging between 0.02mg to 600mg or placebo, while multiple ascending dose (MAD) cohorts received four weekly subcutaneous doses of rosnilimab ranging between 60mg and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 discontinuation which was deemed unrelated to treatment. No serious adverse events were reported in subjects receiving multiple doses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of rosnilimab or placebo</w:t>
      </w:r>
      <w:r>
        <w:rPr>
          <w:rFonts w:ascii="Arial" w:cs="Arial" w:eastAsia="Arial" w:hAnsi="Arial"/>
          <w:sz w:val="21"/>
          <w:szCs w:val="21"/>
          <w:color w:val="008080"/>
        </w:rPr>
        <w:t>.</w:t>
      </w:r>
    </w:p>
    <w:p>
      <w:pPr>
        <w:spacing w:after="0" w:line="10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Pharmacokinetic analyses demonstrated a favorable profile for rosnilimab with an estimated two-week half-life for subcutaneous and IV routes of administration.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 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This effect was maximized on high-PD-1 expressing Tcon cells, which represented approximately 5% of peripheral T cells, with 90% reduction relative to baseline. Conversely, total T cells (CD3+), total Tcon cells (CD3+, CD25low) and total regulatory T (Treg)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 as ex vivo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in vivo mechanism has the potential to treat T-cell driven human inflammatory diseases. During the fourth quarter of 2021, we initiated AZURE, a randomized placebo-controlled 45-patient Phase 2 trial of rosnilimab in moderate-to-severe alopecia areata patients with at least 50% scalp hair loss for at least 6 months prior to enrollment, where the primary endpoint is change in severity of alopecia tool (SALT) relative to baseline. Top-line data from the AZURE clinical trial is anticipated during the first quarter of 2023. We continue to assess clinical development opportunities for rosnilimab in additional indications, including vitiligo and rheumatoid arthritis.</w:t>
      </w:r>
    </w:p>
    <w:p>
      <w:pPr>
        <w:spacing w:after="0" w:line="7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6"/>
          <w:szCs w:val="16"/>
          <w:color w:val="auto"/>
        </w:rPr>
        <w:t>Our third wholly-owned program is an anti-BTLA agonist antibody, known as ANB032, which is broadly applicable to human inflammatory diseases associated with lymphoid and myeloid immune cell dysregulation. Genetic studies have demonstrated that BTLA pathway mutations increase</w:t>
      </w:r>
    </w:p>
    <w:p>
      <w:pPr>
        <w:ind w:right="120"/>
        <w:spacing w:after="0" w:line="291" w:lineRule="auto"/>
        <w:rPr>
          <w:sz w:val="20"/>
          <w:szCs w:val="20"/>
          <w:color w:val="auto"/>
        </w:rPr>
      </w:pPr>
      <w:r>
        <w:rPr>
          <w:rFonts w:ascii="Arial" w:cs="Arial" w:eastAsia="Arial" w:hAnsi="Arial"/>
          <w:sz w:val="16"/>
          <w:szCs w:val="16"/>
          <w:color w:val="auto"/>
        </w:rPr>
        <w:t>human susceptibility to multiple autoimmune diseases and insufficient BTLA signaling can lead to dysregulated T or B cell responses. ANB032 is anticipated to down-modulate the activity of T cells, B cells and BTLA expressing myeloid dendritic cells via several potential mechanisms: direct BTLA agonistic activity, stabilization of the interaction of BTLA and HVEM in cis which prevents pro-inflammatory signaling mediated by HVEM ligands such as LIGHT, and abrogation of pro-inflammatory HVEM signaling mediated by BTLA in trans. We announced positive top-line data from a healthy volunteer Phase 1 trial of ANB032, under an Australian Clinical Trial Notification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w:t>
      </w:r>
    </w:p>
    <w:p>
      <w:pPr>
        <w:spacing w:after="0" w:line="5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ANB032 was generally well-tolerated, no dose limiting toxicities were observed and there were no discontinuations due to adverse events other than one patient quarantined for potential COVID infection. No serious adverse events (SAEs) were reported. Most adverse events were considered to be mild-to-moderate, of short duration, resolved without sequelae and occurred sporadically in a dose-independent manner. Three severe adverse events (two blood creatine phosphokinase (CPK) increase and one aspartate aminotransferase (AST) increase), none of which were treatment-related, were reported in two subjects in the lowest dose MAD cohort.</w:t>
      </w:r>
    </w:p>
    <w:p>
      <w:pPr>
        <w:spacing w:after="0" w:line="8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Pharmacokinetic analyses demonstrated a favorable profile for ANB032 including an approximate two-week half-life for subcutaneous and IV routes of administration. ANB032 demonstrated rapid and sustained target engagement on both T cells and B cells with full BTLA receptor occupancy was observed within hours and was maintained for greater than 30 days following IV or subcutaneous ANB032 dosing. ANB032 pharmacodynamic activity resulted in reduction of cell surface BTLA expression on T cells and B cells following dosing. A portion of the cell surface BTLA was shed from the cells as soluble BTLA (sBTLA), while the residual approximately 60% of baseline BTLA on T cells and B cells remained occupied by ANB032. The duration of reduced BTLA expression correlated with receptor occupancy in a dose-dependent manner and was maintained for greater than 30 days following IV or subcutaneous ANB032 dosing. Importantly, reduction of cell surface BTLA expression and the shedding of a portion of the cell surface BTLA as soluble BTLA, which was previously demonstrated to occur with ANB032 treatment in animal models of inflammation where robust efficacy was observed, confirmed the pharmacodynamic activity of ANB032 in humans. Based upon these data, we believe ANB032’s in vivo mechanism has the potential to broadly treat T and B-cell driven human inflammatory diseases. We anticipate submitting an IND for a Phase 2 clinical trial with ANB032 during the fourth quarter of 2022.</w:t>
      </w:r>
    </w:p>
    <w:p>
      <w:pPr>
        <w:spacing w:after="0" w:line="7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also have additional preclinical programs and discovery research of potentially innovative immunology therapeutics, including ANB033, an antagonistic antibody for inflammatory diseases.</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to our wholly-owned antibody programs, multiple Company-developed antibody programs have been advanced to preclinical and clinical milestones under our collaborations. We have received to date approximately $228.3 million in cash receipts from collaborations. Our collaborations include an immuno-oncology-focused collaboration with GlaxoSmithKline, Inc. (“GSK”) and an inflammation-focused collaboration with Bristol-Myers Squibb (“BMS”).</w:t>
      </w:r>
    </w:p>
    <w:p>
      <w:pPr>
        <w:spacing w:after="0" w:line="79"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addition, in April 2021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A second FDA approval was received in August 2021 for JEMPERLI in pan-deficient mismatch repair tumors (“PdMMRT”). JEMPERLI is currently in clinical development for various solid tumor indications, including first-line advanced/recurrent endometrial cancer, first line ovarian cancer, and non-small cell lung cancer.</w:t>
      </w:r>
    </w:p>
    <w:p>
      <w:pPr>
        <w:spacing w:after="0" w:line="84" w:lineRule="exact"/>
        <w:rPr>
          <w:sz w:val="20"/>
          <w:szCs w:val="20"/>
          <w:color w:val="auto"/>
        </w:rPr>
      </w:pPr>
    </w:p>
    <w:p>
      <w:pPr>
        <w:ind w:right="840" w:firstLine="486"/>
        <w:spacing w:after="0" w:line="308" w:lineRule="auto"/>
        <w:rPr>
          <w:sz w:val="20"/>
          <w:szCs w:val="20"/>
          <w:color w:val="auto"/>
        </w:rPr>
      </w:pPr>
      <w:r>
        <w:rPr>
          <w:rFonts w:ascii="Arial" w:cs="Arial" w:eastAsia="Arial" w:hAnsi="Arial"/>
          <w:sz w:val="17"/>
          <w:szCs w:val="17"/>
          <w:color w:val="auto"/>
        </w:rPr>
        <w:t>In addition, under the collaboration, GSK is developing dostarlimab in combination with two other development programs from the GSK Agreement: cobolimab, an anti-TIM-3 antibody, and GSK40974386, an anti-LAG-3 antibody for multiple solid tumor indications.</w:t>
      </w:r>
    </w:p>
    <w:p>
      <w:pPr>
        <w:spacing w:after="0" w:line="38"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Also, under a separate collaboration between GSK and iTeos Therapeutics, dostarlimab is being developed in combination with EOS-448 (anti-TIGIT) and inupadenant (A2A receptor antagonist) in various solid tumor indications, including registration-directed trials combining dostarlimab and EOS-448 for first-line PD-L1 high non-small cell lung cancer (NSCLC) patients, head and neck squamous cell cancer (HNSCC) and a third undisclosed indication. In addition, GSK is conducting combination trials of dostarlimab with Zejula, belantamab mafodotin (BCMA ADC), GSK6097608 (anti-CD96), GSK3745417 (STING agonist) and GSK4381562 (anti-PVRIG). In June 2021, GSK estimated potential peak annual global JEMPERLI sales on a non-risk adjusted basis of £1-£2 billion, which is currently equal to approximately $1.2 to $2.4 billion based on the GBP to USD exchange rate as of June 30, 2022, for currently approved indications and first-line use in endometrial and ovarian cancer only.</w:t>
      </w:r>
    </w:p>
    <w:p>
      <w:pPr>
        <w:spacing w:after="0" w:line="6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The 1% Zejula royalty is subject to deductions due to third party royalties owed, with a minimum royalty payable to us of 0.5%, which is currently the royalty we receive from GSK for Zejula. In October 2021, we signed a royalty monetization agreement (“Royalty Monetization Agreement”) with Sagard Healthcare Royalty Partners (“Sagard”). Pursuant to this transaction, we received a $250.0 million payment upon closing in December 2021, in exchange for JEMPERLI royalties due to us on annual commercial sales below $1.0 billion and certain milestones starting in October 2021. The aggregate JEMPERLI royalties and milestones to be received by Sagard under the Royalty Monetization Agreement is capped at certain fixed multiples of the upfront payment based upon time. For more information see Note 4 — Collaborative Research and Development Agreements and Note 5 — Sale of Future Royalties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3343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are continuing to proactively monitor and assess the COVID-19 global pandemic. The full impact of the COVID-19 pandemic is inherently uncertain. Our ongoing clinical trials have been, and may continue to be, affected by the closure of offices, or country borders, among other measures being put in place around the world.</w:t>
      </w:r>
    </w:p>
    <w:p>
      <w:pPr>
        <w:spacing w:after="0" w:line="7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While we have re-opened our offices, we continue to allow remote work, we continue to monitor developments of the COVID-19 pandemic and we may take further actions as may be required by government authorities or that we determine are in the best interests of our employees, patients, and business partners. We have implemented appropriate safety measures, following guidance from the Center for Disease Control and the Occupational Safety and Health Administration.</w:t>
      </w:r>
    </w:p>
    <w:p>
      <w:pPr>
        <w:spacing w:after="0" w:line="53"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June 30, 2022, we have received $228.3 million in funding from our collaborators.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9" w:name="page30"/>
    <w:bookmarkEnd w:id="29"/>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900" w:right="20" w:hanging="406"/>
        <w:spacing w:after="0" w:line="308"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900" w:right="60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immunology therapeutic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63"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We have completed Phase 1 and Phase 2 clinical trials and have ongoing Phase 2 and 3 clinical trials for imsidolimab, completed a Phase 1 clinical trial and have an ongoing Phase 2 clinical trial in rosnilimab, and have completed a Phase 1 trial in ANB032. We expect our research and development expenses to be higher for the foreseeable future as we continue to advance our product candidates into larger clinical trials.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ind w:firstLine="243"/>
        <w:spacing w:after="0" w:line="301" w:lineRule="auto"/>
        <w:rPr>
          <w:sz w:val="20"/>
          <w:szCs w:val="20"/>
          <w:color w:val="auto"/>
        </w:rPr>
      </w:pPr>
      <w:r>
        <w:rPr>
          <w:rFonts w:ascii="Arial" w:cs="Arial" w:eastAsia="Arial" w:hAnsi="Arial"/>
          <w:sz w:val="16"/>
          <w:szCs w:val="16"/>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 Our estimate of the interest rate under the arrangement is based on forecasted royalty and milestone payments expected to be made to Sagard over the life of the agreement.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7,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Six Months Ended June 30, 2022 and 2021</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Collaboration revenue consists of both milestone payments under the collaborations, and royalty payments. We recognized $0.0 million in milestone revenue during the three months ended June 30, 2022 compared to $30.0 million during the three months ended June 30, 2021, related to milestone payments associated with JEMPERLI, the anti-PD-1 antagonist antibody partnered with GSK. For the second quarter of 2021, milestone revenue reflects $20.0 million for first BLA approval in a first indication, and $10.0 million for first MAA approval in a first indication.</w:t>
      </w:r>
    </w:p>
    <w:p>
      <w:pPr>
        <w:spacing w:after="0" w:line="6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recognized $0.0 million and $40.0 million of milestone revenue during the six months ended June 30, 2022 and 2021, respectively, related to milestone payments associated with JEMPERLI, the anti-PD-1 antagonist antibody partnered with GSK. For the six months ended June 30, 2021, milestone revenue reflects $10.0 million for successful filing of the first BLA in a second indication for JEMPERLI, $20.0 million for first BLA approval in a first indication, and $10.0 million for first MAA approval in a first indication.</w:t>
      </w:r>
    </w:p>
    <w:p>
      <w:pPr>
        <w:spacing w:after="0" w:line="7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6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Royalty revenue is a function of our partners' product sales and the applicable royalty rate. During the three months ended June 30, 2022 and 2021, we recognized $1.2 million and $0.0 million, respectively, related to the net sales of GSK’s Zejula and JEMPERLI, which we estimated based on GSK’s historical sales.</w:t>
      </w:r>
    </w:p>
    <w:p>
      <w:pPr>
        <w:spacing w:after="0" w:line="7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six months ended June 30, 2022 and 2021 we recognized $2.2 million and $1.3 million, respectively, of royalty revenue related to the net sales of GSK’s Zejula and JEMPERLI.</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Research and development expenses were $20.8 million during the three months ended June 30, 2022 compared to $25.3 million during the three months ended June 30, 2021 for decrease of $4.5 million, primarily due to a $3.8 million decrease in clinical expenses, $0.4 million decrease in outside services for manufacturing expenses, $0.2 million decrease in salaries and related expenses, including stock compensation expense, and a $0.1 million decrease in other research and development expenses.</w:t>
      </w:r>
    </w:p>
    <w:p>
      <w:pPr>
        <w:spacing w:after="0" w:line="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Research and development expenses were $43.4 million during the six months ended June 30, 2022 compared to $49.5 million during the six months ended June 30, 2021 for a decrease of $6.1 million, primarily due to a $4.1 million decrease in clinical expenses, $3.1 million decrease in outside services for manufacturing expenses, offset by a $0.7 million increase in salaries and related expenses, including stock compensation expense, and a $0.4 million increase in other research and development expenses.</w:t>
      </w:r>
    </w:p>
    <w:p>
      <w:pPr>
        <w:spacing w:after="0" w:line="7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4"/>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Increase/(Decrease)</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Imsidolimab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11,822</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24,470</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Rosnilimab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ANB032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Etokimab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Preclinical and other unallocated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460" w:firstLine="486"/>
        <w:spacing w:after="0" w:line="286" w:lineRule="auto"/>
        <w:rPr>
          <w:sz w:val="20"/>
          <w:szCs w:val="20"/>
          <w:color w:val="auto"/>
        </w:rPr>
      </w:pPr>
      <w:r>
        <w:rPr>
          <w:rFonts w:ascii="Arial" w:cs="Arial" w:eastAsia="Arial" w:hAnsi="Arial"/>
          <w:sz w:val="17"/>
          <w:szCs w:val="17"/>
          <w:color w:val="auto"/>
        </w:rPr>
        <w:t>General and administrative expenses were $8.2 million during the three months ended June 30, 2022 compared to $5.2 million during the three months ended June 30, 2021 for an increase of $3.0 million, primarily due to a $3.0 million increase in personnel costs including stock compensation expense, $0.1 million increase in other general and administrative expenses, offset by a $0.1 million decrease in legal expense.</w:t>
      </w:r>
    </w:p>
    <w:p>
      <w:pPr>
        <w:spacing w:after="0" w:line="57" w:lineRule="exact"/>
        <w:rPr>
          <w:sz w:val="20"/>
          <w:szCs w:val="20"/>
          <w:color w:val="auto"/>
        </w:rPr>
      </w:pPr>
    </w:p>
    <w:p>
      <w:pPr>
        <w:ind w:right="380" w:firstLine="486"/>
        <w:spacing w:after="0" w:line="311" w:lineRule="auto"/>
        <w:rPr>
          <w:sz w:val="20"/>
          <w:szCs w:val="20"/>
          <w:color w:val="auto"/>
        </w:rPr>
      </w:pPr>
      <w:r>
        <w:rPr>
          <w:rFonts w:ascii="Arial" w:cs="Arial" w:eastAsia="Arial" w:hAnsi="Arial"/>
          <w:sz w:val="16"/>
          <w:szCs w:val="16"/>
          <w:color w:val="auto"/>
        </w:rPr>
        <w:t>General and administrative expenses were $18.4 million during the six months ended June 30, 2022 compared to $10.7 million during the six months ended June 30, 2021 for an increase of $7.7 million, primarily due to $0.6 million in severance costs and $3.2 million in stock compensation expense due to the resignation of our former President and CEO, and a $3.9 million increase in personnel costs including stock compensation expense.</w:t>
      </w:r>
    </w:p>
    <w:p>
      <w:pPr>
        <w:spacing w:after="0" w:line="4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jc w:val="both"/>
        <w:ind w:right="40" w:firstLine="243"/>
        <w:spacing w:after="0" w:line="263" w:lineRule="auto"/>
        <w:rPr>
          <w:sz w:val="20"/>
          <w:szCs w:val="20"/>
          <w:color w:val="auto"/>
        </w:rPr>
      </w:pPr>
      <w:r>
        <w:rPr>
          <w:rFonts w:ascii="Arial" w:cs="Arial" w:eastAsia="Arial" w:hAnsi="Arial"/>
          <w:sz w:val="18"/>
          <w:szCs w:val="18"/>
          <w:color w:val="auto"/>
        </w:rPr>
        <w:t>Non-cash interest expense was $5.9 million during the three months ended June 30, 2022 compared to $0 during the three months ended June 30, 2021. The increase in non-cash interest expense is due to interest recognized on the liability related to the sale of future royalties that was completed in December 2021.</w:t>
      </w:r>
    </w:p>
    <w:p>
      <w:pPr>
        <w:spacing w:after="0" w:line="76" w:lineRule="exact"/>
        <w:rPr>
          <w:sz w:val="20"/>
          <w:szCs w:val="20"/>
          <w:color w:val="auto"/>
        </w:rPr>
      </w:pPr>
    </w:p>
    <w:p>
      <w:pPr>
        <w:ind w:right="40" w:firstLine="243"/>
        <w:spacing w:after="0" w:line="263" w:lineRule="auto"/>
        <w:rPr>
          <w:sz w:val="20"/>
          <w:szCs w:val="20"/>
          <w:color w:val="auto"/>
        </w:rPr>
      </w:pPr>
      <w:r>
        <w:rPr>
          <w:rFonts w:ascii="Arial" w:cs="Arial" w:eastAsia="Arial" w:hAnsi="Arial"/>
          <w:sz w:val="18"/>
          <w:szCs w:val="18"/>
          <w:color w:val="auto"/>
        </w:rPr>
        <w:t>Non-cash interest expense was $10.7 million during the six months ended June 30, 2022 compared to $0 during the six months ended June 30, 2021. The increase in non-cash interest expense is due to interest recognized on the liability related to the sale of future royalties that was completed in December 2021.</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Interest income was $1.1 million and $0.1 million during the three months ended June 30, 2022 and 2021, respectively, and $1.4 million and $0.3 million during the six months ended June 30, 2022 and 2021, respectively, which primarily related to our short-term and long-term investments. The increase in interest income is due to higher interest rates earned on investments and due to an increase in the available balance to invest as a result of the proceeds from the sale of future royalties completed in December 2021.</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Other income, net was less than $0.1 million for both the three and six months ended June 30, 2022 and 2021, which primarily related to foreign exchange transactions through our Australian subsidiary and with our foreign CROs and CMOs.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From our inception through June 30, 2022, we have received an aggregate of $1.1 billion to fund our operations, which included $628.6 million from the sale of equity securities, $250.0 million from the sale of future royalties, $228.3 million from our collaboration agreements and $19.1 million from venture debt. As of June 30, 2022, we had $572.1 million in cash, cash equivalents and investments.</w:t>
      </w:r>
    </w:p>
    <w:p>
      <w:pPr>
        <w:spacing w:after="0" w:line="76"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October 2021, we signed the Royalty Monetization Agreement with Sagard. Pursuant to this transaction we received a $250.0 million payment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closing in December 2021, in exchange for JEMPERLI royalties due to us on annual commercial sales below $1.0 billion and certain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milestones starting in October 2021. We treated the sale of future revenue from the Royalty Monetization Agreement with Sagard as debt, which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amortized under the effective interest rate method over the estimated life of the related expected royalty stream. We recorded the upfront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million, net of $0.4 million of transaction costs, as a liability related to the sale of future revenue. The liability and the related interest expense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our current estimates of future royalties and certain milestones expected to be paid over the life of the agreement. We will periodically assess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expected royalty and milestone payments and to the extent our future estimates or timing of such payments are materially different than our previous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estimates, we will prospectively recognize related interest expense. Royalty revenue will be recognized as earned on net sales of JEMPERLI, and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the royalty payments to Sagard as a reduction of the liability when paid. As such payments are made to Sagard, the balance of the liability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effectively repaid over the life of the Royalty Monetization Agreement. For further discussion of the sale of future revenue, refer to Note 5 — Sale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Future Royalties in the accompanying notes to the consolidated financial statements.</w:t>
      </w:r>
    </w:p>
    <w:p>
      <w:pPr>
        <w:spacing w:after="0" w:line="10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December 2021, we entered into an Open Market Sales Agreement with Jefferies LLC, through which we may offer and sell shares of our common stock, having an aggregate offering of up to $150.0 million through Jefferies LLC as our sales agent. We will pay the agent a commission of up to 3% of the gross proceeds of sales made through the at-the-market offering program. During the six months ended June 30, 2022, we did not sell any shares under the at-the-market offering program and all $150.0 million remains available for sale.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Cash, cash equivalents and investments totaled $572.1 million as of June 30, 2022, compared to $615.2 million as of December 31, 2021.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84"/>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11"/>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(45,161)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(13,613)</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(383,908)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94,690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(424,028)</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Net cash used in operating activities during the six months ended June 30, 2022 of $45.2 million was primarily due to our net loss of $68.8 million, adjusted for addbacks for non-cash expenses of $26.3 million, which includes stock-based compensation, amortization of operating right-of-use assets, non-cash interest expense and net decreases in working capital of $2.7 million. Net cash used in operating activities during the six months ended June 30, 2021 of $13.6 million was primarily due to our net loss of $18.6 million, adjusted for addbacks for non-cash expenses of $8.3 million, which includes stock-based compensation and amortization of operating right-of-use assets, and net decreases in working capital of $3.3 million.</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Net cash (used in) and provided by investing activities during the six months ended June 30, 2022 and 2021 of $(383.9) million and $94.7 million, respectively, primarily relates to the timing of sales, maturities and purchases of our investments.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net cash provided by financing activities during the six months ended June 30, 2022 of $5.0 million was due to $5.7 million for the issuance of common stock upon the exercise of stock options, offset by $0.7 million for repayments of the liability for the sale of future royalties with Sagard. The net cash provided by financing activities during the six months ended June 30, 2021 of $0.7 million primarily related to the issuance of common stock upon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As of June 30, 2022,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7,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2022,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84"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38" w:lineRule="exact"/>
        <w:rPr>
          <w:sz w:val="20"/>
          <w:szCs w:val="20"/>
          <w:color w:val="auto"/>
        </w:rPr>
      </w:pPr>
    </w:p>
    <w:p>
      <w:pPr>
        <w:ind w:left="900" w:hanging="406"/>
        <w:spacing w:after="0" w:line="259"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280" w:hanging="406"/>
        <w:spacing w:after="0" w:line="286"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900" w:right="12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62" w:lineRule="exact"/>
        <w:rPr>
          <w:rFonts w:ascii="Arial" w:cs="Arial" w:eastAsia="Arial" w:hAnsi="Arial"/>
          <w:sz w:val="18"/>
          <w:szCs w:val="18"/>
          <w:color w:val="auto"/>
        </w:rPr>
      </w:pPr>
    </w:p>
    <w:p>
      <w:pPr>
        <w:ind w:left="900" w:right="68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imsidolimab, rosnilimab and ANB032 and have no history of commercializing biotechnology products, which may make it difficult to evaluate the prospects for our future viability.</w:t>
      </w:r>
    </w:p>
    <w:p>
      <w:pPr>
        <w:spacing w:after="0" w:line="62" w:lineRule="exact"/>
        <w:rPr>
          <w:rFonts w:ascii="Arial" w:cs="Arial" w:eastAsia="Arial" w:hAnsi="Arial"/>
          <w:sz w:val="18"/>
          <w:szCs w:val="18"/>
          <w:color w:val="auto"/>
        </w:rPr>
      </w:pPr>
    </w:p>
    <w:p>
      <w:pPr>
        <w:ind w:left="900" w:right="1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900" w:right="14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900" w:right="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98"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color w:val="auto"/>
        </w:rPr>
        <w:t>product candidates for clinical trials, our ability to obtain marketing approval, or our ability to provide supply of our products for patients, if approved, could be delayed or stopped.</w:t>
      </w:r>
    </w:p>
    <w:p>
      <w:pPr>
        <w:spacing w:after="0" w:line="62" w:lineRule="exact"/>
        <w:rPr>
          <w:sz w:val="20"/>
          <w:szCs w:val="20"/>
          <w:color w:val="auto"/>
        </w:rPr>
      </w:pPr>
    </w:p>
    <w:p>
      <w:pPr>
        <w:ind w:left="900" w:right="120" w:hanging="406"/>
        <w:spacing w:after="0" w:line="342" w:lineRule="auto"/>
        <w:tabs>
          <w:tab w:leader="none" w:pos="8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5" w:lineRule="exact"/>
        <w:rPr>
          <w:rFonts w:ascii="Arial" w:cs="Arial" w:eastAsia="Arial" w:hAnsi="Arial"/>
          <w:sz w:val="16"/>
          <w:szCs w:val="16"/>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8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right="20" w:hanging="406"/>
        <w:spacing w:after="0" w:line="308" w:lineRule="auto"/>
        <w:tabs>
          <w:tab w:leader="none" w:pos="8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900" w:right="40" w:hanging="406"/>
        <w:spacing w:after="0" w:line="263"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900" w:right="28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62" w:lineRule="exact"/>
        <w:rPr>
          <w:rFonts w:ascii="Arial" w:cs="Arial" w:eastAsia="Arial" w:hAnsi="Arial"/>
          <w:sz w:val="18"/>
          <w:szCs w:val="18"/>
          <w:color w:val="auto"/>
        </w:rPr>
      </w:pPr>
    </w:p>
    <w:p>
      <w:pPr>
        <w:ind w:left="900" w:right="360" w:hanging="406"/>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spacing w:after="0" w:line="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ACORN clinical trial of imsidolimab in moderate-to-severe acne did not demonstrate efficacy over placebo on primary or secondary endpoints, and we do not currently plan to conduct further development of imsidolimab in acne.</w:t>
      </w:r>
    </w:p>
    <w:p>
      <w:pPr>
        <w:spacing w:after="0" w:line="87" w:lineRule="exact"/>
        <w:rPr>
          <w:sz w:val="20"/>
          <w:szCs w:val="20"/>
          <w:color w:val="auto"/>
        </w:rPr>
      </w:pPr>
    </w:p>
    <w:p>
      <w:pPr>
        <w:ind w:right="740" w:firstLine="486"/>
        <w:spacing w:after="0" w:line="308" w:lineRule="auto"/>
        <w:rPr>
          <w:sz w:val="20"/>
          <w:szCs w:val="20"/>
          <w:color w:val="auto"/>
        </w:rPr>
      </w:pPr>
      <w:r>
        <w:rPr>
          <w:rFonts w:ascii="Arial" w:cs="Arial" w:eastAsia="Arial" w:hAnsi="Arial"/>
          <w:sz w:val="17"/>
          <w:szCs w:val="17"/>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38"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1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 We recently discontinued imsidolimab clinical development for EGFR-mediated skin toxicities due, in part, to slower than anticipated enrollment in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8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and other clinical trials with rosnilimab and ANB032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1"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5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0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we have cleared an IND to conduct a clinical trial for rosnilimab in the United States and we have cleared a CTA to conduct a clinical trial for ANB032 in Australia, before commencing clinical trials in the United States for ANB032 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78"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spacing w:after="0" w:line="7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80" w:hanging="406"/>
        <w:spacing w:after="0" w:line="277"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20" w:hanging="406"/>
        <w:spacing w:after="0" w:line="308" w:lineRule="auto"/>
        <w:tabs>
          <w:tab w:leader="none" w:pos="8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11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rights to that product candidate through collaboration, licensing or other royalty arrangements in cases in which it would have been more advantageous for us to retain sole development and commercialization rights.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have recently commenced clinical development of imsidolimab, rosnilimab and ANB032 and no history of commercializing biotechnology products, which may make it difficult to evaluate the prospects for our future viability.</w:t>
      </w:r>
    </w:p>
    <w:p>
      <w:pPr>
        <w:spacing w:after="0" w:line="5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6" w:lineRule="exact"/>
        <w:rPr>
          <w:sz w:val="20"/>
          <w:szCs w:val="20"/>
          <w:color w:val="auto"/>
        </w:rPr>
      </w:pPr>
    </w:p>
    <w:p>
      <w:pPr>
        <w:ind w:left="900" w:right="60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6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117"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8"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7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For GPP, our competitors include other anti-IL-36 receptor antibodies called spesolimab or BI 655130 (Boehringer Ingelheim) and REGN6490 (Regeneron).</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 as well as therapies in development such as secukinumab (Cosentyx; Novartis), which binds IL-17A, bimekizumab (UCB) which blocks IL-17 cytokine function, bermekimab (Janssen) which blocks IL-1α cytokine function, and an anti-IL-36 receptor antibody called spesolimab or BI-655130 (Boehringer Ingelheim)</w:t>
      </w:r>
      <w:r>
        <w:rPr>
          <w:rFonts w:ascii="Arial" w:cs="Arial" w:eastAsia="Arial" w:hAnsi="Arial"/>
          <w:sz w:val="18"/>
          <w:szCs w:val="18"/>
          <w:color w:val="auto"/>
        </w:rPr>
        <w:t>.</w:t>
      </w:r>
    </w:p>
    <w:p>
      <w:pPr>
        <w:spacing w:after="0" w:line="65" w:lineRule="exact"/>
        <w:rPr>
          <w:sz w:val="20"/>
          <w:szCs w:val="20"/>
          <w:color w:val="auto"/>
        </w:rPr>
      </w:pPr>
    </w:p>
    <w:p>
      <w:pPr>
        <w:ind w:right="80" w:firstLine="486"/>
        <w:spacing w:after="0" w:line="276" w:lineRule="auto"/>
        <w:rPr>
          <w:sz w:val="20"/>
          <w:szCs w:val="20"/>
          <w:color w:val="auto"/>
        </w:rPr>
      </w:pPr>
      <w:r>
        <w:rPr>
          <w:rFonts w:ascii="Arial" w:cs="Arial" w:eastAsia="Arial" w:hAnsi="Arial"/>
          <w:sz w:val="16"/>
          <w:szCs w:val="16"/>
          <w:color w:val="auto"/>
        </w:rPr>
        <w:t>For our anti-PD-1 agonist antibody program, our competitors include other anti-PD-1 agonist antibodies LY3462817 (Eli Lilly) in Phase 2 development, JNJ-67484703 (Janssen) in Phase 2 development, another PD-1 agonist antibody (Boeringer Ingelheim) in Phase 1 development, PT627 and PT001 (Pandion Therapeutics, which has been acquired by Merck) in preclinical development, and MB151 (MiroBio) in preclinical development.</w:t>
      </w:r>
    </w:p>
    <w:p>
      <w:pPr>
        <w:spacing w:after="0" w:line="5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For moderate-to-severe alopecia areata, our competitors include topical and oral corticosteroids, topical immunotherapy (diphencyprone, dinitrochlorobenzene, squaric acid dibutyl ester), calcineurin inhibitors (tacrolimus, pimecrolimus), prostaglandins and janus kinase inhibitors (baricitinib, tofacitinib, ruxolitinib, and CTP-543) in clinical development.</w:t>
      </w:r>
    </w:p>
    <w:p>
      <w:pPr>
        <w:spacing w:after="0" w:line="7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preclinical development.</w:t>
      </w:r>
    </w:p>
    <w:p>
      <w:pPr>
        <w:spacing w:after="0" w:line="7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7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49"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56"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18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02"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7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20" w:hanging="406"/>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280" w:hanging="406"/>
        <w:spacing w:after="0" w:line="308"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3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22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current good manufacturing practices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Furthermore, all of our therapeutic antibodies are manufactured by starting with cells which are stored in a cell bank. We have one master cell bank for each antibody manufactured in accordance with cGMP and multiple working cell banks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believe we would have adequate backup should any cell bank be lost in a catastrophic event. However, it is possible that we could lose multiple cell banks and have our manufacturing severely impacted by the need to replace the cell banks.</w:t>
      </w:r>
    </w:p>
    <w:p>
      <w:pPr>
        <w:spacing w:after="0" w:line="62"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78"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61" w:lineRule="exact"/>
        <w:rPr>
          <w:sz w:val="20"/>
          <w:szCs w:val="20"/>
          <w:color w:val="auto"/>
        </w:rPr>
      </w:pPr>
    </w:p>
    <w:p>
      <w:pPr>
        <w:ind w:right="440"/>
        <w:spacing w:after="0" w:line="378" w:lineRule="auto"/>
        <w:rPr>
          <w:sz w:val="20"/>
          <w:szCs w:val="20"/>
          <w:color w:val="auto"/>
        </w:rPr>
      </w:pPr>
      <w:r>
        <w:rPr>
          <w:rFonts w:ascii="Arial" w:cs="Arial" w:eastAsia="Arial" w:hAnsi="Arial"/>
          <w:sz w:val="15"/>
          <w:szCs w:val="15"/>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6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COVID-19 pandemic caused us to modify our business practices (including but not limited to curtailing or modifying employee travel, temporarily moving to full remote work, and cancelling physical participation in meetings, events and conferences). As we have re-opened our offices and continue to monitor developments of the COVID-19 pandemic, we will continue to allow some remote work, and we may take further actions as may be required by government authorities or that we determine are in the best interests of our employees and patients.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 care medical visits. A prolonged disruption or any further unforeseen delay in our operations or within any of our business activities could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80"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We had $2.2 million in collaboration revenue and our net loss was $68.8 million for the six months ended June 30, 2022 and a net loss of $18.6 million for the six months ended June 30, 2021, with $41.3 million in collaboration revenue. As of June 30, 2022, we had an accumulated deficit of $390.6 million.</w:t>
      </w:r>
    </w:p>
    <w:p>
      <w:pPr>
        <w:spacing w:after="0" w:line="5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financed our operations primarily through our initial public offering of common stock in January 2017, our follow-on public offerings of common stock in October 2017 and September 2018, private placements of our preferred stock, the issuance of debt, and our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5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 product candidates, is approved for commercial sale, we anticipate incurring significant costs associated with the commercial launch of any product candidate.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7" w:name="page48"/>
    <w:bookmarkEnd w:id="47"/>
    <w:p>
      <w:pPr>
        <w:spacing w:after="0" w:line="1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2"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77"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660" w:right="2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6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JEMPERLI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 including a search for a permanent replacement President and Chief Executive Officer, if applicable;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6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right="504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ind w:right="60" w:firstLine="486"/>
        <w:spacing w:after="0" w:line="296"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Interim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In March 2022, Daniel Faga, a Class I director of our Board, was appointed as our Interim President and Chief Executive Officer. We may in the future conduct a search to identify a permanent replacement to serve as our President and Chief Executive Officer. The competition for qualified personnel in the biotechnology field is intense and, as a result, we may be unable to continue to attract and retain qualified personnel necessary for the development of our business or to recruit suitable replacement personnel, permanent replacement to serve as our President and Chief Executive Officer.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88"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9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5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70"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5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have entered into collaborations with GSK and BMS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Our operational obligations under each of our collaborations has ended.</w:t>
      </w:r>
    </w:p>
    <w:p>
      <w:pPr>
        <w:spacing w:after="0" w:line="79" w:lineRule="exact"/>
        <w:rPr>
          <w:sz w:val="20"/>
          <w:szCs w:val="20"/>
          <w:color w:val="auto"/>
        </w:rPr>
      </w:pPr>
    </w:p>
    <w:p>
      <w:pPr>
        <w:ind w:right="20" w:firstLine="486"/>
        <w:spacing w:after="0" w:line="283"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5"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0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7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outsource the manufacture of our product candidates. We do not currently have the infrastructure or internal capability to manufacture supplies of our product candidates for use in development and commercialization. If we were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5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4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restrictions resulting from the COVID-19 pandemic, it could limit our ability to manufacture our product candidates for our preclinical or clinical studies.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8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12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8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7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80"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53"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We may not be able to maintain, for imsidolimab in GPP, or obtain, for other indications with imsidolimab or for certain of our other product candidates, Orphan Drug Designation or obtain the benefits associated with Orphan Drug status, including market exclusivity.</w:t>
      </w:r>
    </w:p>
    <w:p>
      <w:pPr>
        <w:spacing w:after="0" w:line="1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 We received Orphan Drug Designation from the FDA for imsidolimab for our GPP indication in 2020 and may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7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8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If another sponsor receives Orphan Drug Designation for the same active moiety, only the first to receive regulatory approval for a particular indication will receive marketing exclusivity. FDA makes active moiety “sameness” determinations for monoclonal antibodies on a case-by-case basis based on the principal molecular structure, and thus, while we are not currently aware of any other product candidate in development that we believe has the same active moiety “sameness” as imsidolimab, we cannot predict with certainty whether another candidate would be eligible for, or whether our product would be blocked by another sponsor’s marketing exclusivity. Even after a biological product with Orphan Drug Designation is approved, the FDA can subsequently approve another biologic containing the same principal molecular structure for the same condition if the FDA concludes that the later biologic is clinically superior in that it is shown to be safer, more effective or makes a major contribution to patient care. In addition, exclusivity, if obtained, may not effectively protect the candidate from competition because different drugs or biologics can be approved for the same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5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58"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7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6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are able to obtain marketing approval and commercialize our product candidates.</w:t>
      </w:r>
    </w:p>
    <w:p>
      <w:pPr>
        <w:spacing w:after="0" w:line="69"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68"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addition, the Biden Administration has indicated an intent to address prescription drug pricing and recent Congressional hearings have brought increased public attention to the costs of prescription drugs. For example,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 legislation or regulations by the Biden administration will have on our business or future product candidates. In addition, former President Trump and President Biden both issued Executive Orders intended to favor government procurement from domestic manufacturers. These actions are likely to continue the downward pressure on pharmaceutical pricing and increase our regulatory burdens and operating costs.</w:t>
      </w:r>
    </w:p>
    <w:p>
      <w:pPr>
        <w:spacing w:after="0" w:line="64"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spacing w:after="0" w:line="6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ability to obtain marketing approval for or successfully commercialize our product candidates.</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jc w:val="both"/>
        <w:ind w:left="660" w:right="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79" w:lineRule="exact"/>
        <w:rPr>
          <w:sz w:val="20"/>
          <w:szCs w:val="20"/>
          <w:color w:val="auto"/>
        </w:rPr>
      </w:pPr>
    </w:p>
    <w:p>
      <w:pPr>
        <w:ind w:right="260" w:firstLine="486"/>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73"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 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69" w:lineRule="exact"/>
        <w:rPr>
          <w:sz w:val="20"/>
          <w:szCs w:val="20"/>
          <w:color w:val="auto"/>
        </w:rPr>
      </w:pPr>
    </w:p>
    <w:p>
      <w:pPr>
        <w:ind w:right="240" w:firstLine="486"/>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5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6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74"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6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6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8"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9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third party as a defendant in a district court action. The AIA and its implementation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7"/>
          <w:szCs w:val="17"/>
          <w:i w:val="1"/>
          <w:iCs w:val="1"/>
          <w:color w:val="auto"/>
        </w:rPr>
        <w:t>Association</w:t>
      </w:r>
      <w:r>
        <w:rPr>
          <w:rFonts w:ascii="Arial" w:cs="Arial" w:eastAsia="Arial" w:hAnsi="Arial"/>
          <w:sz w:val="17"/>
          <w:szCs w:val="17"/>
          <w:color w:val="auto"/>
        </w:rPr>
        <w:t xml:space="preserve"> </w:t>
      </w:r>
      <w:r>
        <w:rPr>
          <w:rFonts w:ascii="Arial" w:cs="Arial" w:eastAsia="Arial" w:hAnsi="Arial"/>
          <w:sz w:val="17"/>
          <w:szCs w:val="17"/>
          <w:i w:val="1"/>
          <w:iCs w:val="1"/>
          <w:color w:val="auto"/>
        </w:rPr>
        <w:t>for Molecular Pathology v. Myriad Genetics, Inc.</w:t>
      </w:r>
      <w:r>
        <w:rPr>
          <w:rFonts w:ascii="Arial" w:cs="Arial" w:eastAsia="Arial" w:hAnsi="Arial"/>
          <w:sz w:val="17"/>
          <w:szCs w:val="17"/>
          <w:color w:val="auto"/>
        </w:rPr>
        <w:t>,</w:t>
      </w:r>
      <w:r>
        <w:rPr>
          <w:rFonts w:ascii="Arial" w:cs="Arial" w:eastAsia="Arial" w:hAnsi="Arial"/>
          <w:sz w:val="17"/>
          <w:szCs w:val="17"/>
          <w:i w:val="1"/>
          <w:iCs w:val="1"/>
          <w:color w:val="auto"/>
        </w:rPr>
        <w:t xml:space="preserve"> BRCA1- &amp; BRCA2-Based Hereditary Cancer Test Patent Litig</w:t>
      </w:r>
      <w:r>
        <w:rPr>
          <w:rFonts w:ascii="Arial" w:cs="Arial" w:eastAsia="Arial" w:hAnsi="Arial"/>
          <w:sz w:val="17"/>
          <w:szCs w:val="17"/>
          <w:color w:val="auto"/>
        </w:rPr>
        <w:t>., Mayo Collaborative Services v.</w:t>
      </w:r>
      <w:r>
        <w:rPr>
          <w:rFonts w:ascii="Arial" w:cs="Arial" w:eastAsia="Arial" w:hAnsi="Arial"/>
          <w:sz w:val="17"/>
          <w:szCs w:val="17"/>
          <w:i w:val="1"/>
          <w:iCs w:val="1"/>
          <w:color w:val="auto"/>
        </w:rPr>
        <w:t xml:space="preserve"> </w:t>
      </w:r>
      <w:r>
        <w:rPr>
          <w:rFonts w:ascii="Arial" w:cs="Arial" w:eastAsia="Arial" w:hAnsi="Arial"/>
          <w:sz w:val="17"/>
          <w:szCs w:val="17"/>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7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7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information by any of our third-party collaborators. A competitor’s discovery of our trade secrets would impair our competitive position and have an adverse impact on our business.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7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7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77" w:lineRule="exact"/>
        <w:rPr>
          <w:sz w:val="20"/>
          <w:szCs w:val="20"/>
          <w:color w:val="auto"/>
        </w:rPr>
      </w:pPr>
    </w:p>
    <w:p>
      <w:pPr>
        <w:jc w:val="both"/>
        <w:ind w:right="200" w:firstLine="486"/>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4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3"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commercial success depends upon our ability, and the ability of our licensors, licensees and collaborators, to develop, manufacture, market and sell our product candidates and use our and our licensors’, licensees’ or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30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7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98"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uncertainty and capital markets disruptions, which have been substantially impacted by geopolitical instability due to the ongoing military conflict in Ukraine and rising interest rates and inflation.</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7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0"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9" w:name="page70"/>
    <w:bookmarkEnd w:id="69"/>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publish reports on us regularly, we could lose visibility in the financial markets, which in turn could cause our stock price or trading volume to decline.</w:t>
      </w:r>
    </w:p>
    <w:p>
      <w:pPr>
        <w:spacing w:after="0" w:line="23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Internal Revenue Code of 1986, as amended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2018 and in future years may be carried forward indefinitely, but the ability to utilize such federal net operating losses to offset taxable income is limited to 80% of our taxable income before the deduction for such net operating loss carryovers. It is uncertain if and to what extent various states will conform to the TCJA.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8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of December 31, 2021, we have federal NOLs of approximately $293.4 million, which expire beginning December 31, 2028 through December 31, 2037, if not used to reduce income taxes payable in the future.</w:t>
      </w:r>
    </w:p>
    <w:p>
      <w:pPr>
        <w:spacing w:after="0" w:line="16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8"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40" w:type="dxa"/>
            <w:vAlign w:val="bottom"/>
            <w:gridSpan w:val="5"/>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10040" w:type="dxa"/>
            <w:vAlign w:val="bottom"/>
            <w:gridSpan w:val="5"/>
          </w:tcPr>
          <w:p>
            <w:pPr>
              <w:ind w:left="43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76"/>
        </w:trPr>
        <w:tc>
          <w:tcPr>
            <w:tcW w:w="11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000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3">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960" w:type="dxa"/>
            <w:vAlign w:val="bottom"/>
            <w:gridSpan w:val="3"/>
            <w:vMerge w:val="restart"/>
          </w:tcPr>
          <w:p>
            <w:pPr>
              <w:spacing w:after="0"/>
              <w:rPr>
                <w:rFonts w:ascii="Arial" w:cs="Arial" w:eastAsia="Arial" w:hAnsi="Arial"/>
                <w:sz w:val="16"/>
                <w:szCs w:val="16"/>
                <w:color w:val="0000FF"/>
                <w:w w:val="92"/>
              </w:rPr>
            </w:pPr>
            <w:hyperlink w:anchor="page74">
              <w:r>
                <w:rPr>
                  <w:rFonts w:ascii="Arial" w:cs="Arial" w:eastAsia="Arial" w:hAnsi="Arial"/>
                  <w:sz w:val="16"/>
                  <w:szCs w:val="16"/>
                  <w:color w:val="0000FF"/>
                  <w:w w:val="92"/>
                </w:rPr>
                <w:t>Certification of Principal Financial Officer, pursuant to Rule 13a-14(a)/15d-14(a), as adopted pursuant to Section 302 of the Sarbanes-Oxley Act of 2002.</w:t>
              </w:r>
            </w:hyperlink>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9960" w:type="dxa"/>
            <w:vAlign w:val="bottom"/>
            <w:tcBorders>
              <w:bottom w:val="single" w:sz="8" w:color="0000FF"/>
            </w:tcBorders>
            <w:gridSpan w:val="3"/>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040" w:type="dxa"/>
            <w:vAlign w:val="bottom"/>
            <w:gridSpan w:val="5"/>
          </w:tcPr>
          <w:p>
            <w:pPr>
              <w:spacing w:after="0"/>
              <w:rPr>
                <w:rFonts w:ascii="Arial" w:cs="Arial" w:eastAsia="Arial" w:hAnsi="Arial"/>
                <w:sz w:val="16"/>
                <w:szCs w:val="16"/>
                <w:color w:val="0000FF"/>
                <w:w w:val="96"/>
              </w:rPr>
            </w:pPr>
            <w:hyperlink w:anchor="page76">
              <w:r>
                <w:rPr>
                  <w:rFonts w:ascii="Arial" w:cs="Arial" w:eastAsia="Arial" w:hAnsi="Arial"/>
                  <w:sz w:val="16"/>
                  <w:szCs w:val="16"/>
                  <w:color w:val="0000FF"/>
                  <w:w w:val="96"/>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5"/>
          </w:tcPr>
          <w:p>
            <w:pPr>
              <w:spacing w:after="0"/>
              <w:rPr>
                <w:sz w:val="20"/>
                <w:szCs w:val="20"/>
                <w:color w:val="auto"/>
              </w:rPr>
            </w:pPr>
            <w:r>
              <w:rPr>
                <w:rFonts w:ascii="Arial" w:cs="Arial" w:eastAsia="Arial" w:hAnsi="Arial"/>
                <w:sz w:val="16"/>
                <w:szCs w:val="16"/>
                <w:color w:val="auto"/>
                <w:w w:val="91"/>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5"/>
          </w:tcPr>
          <w:p>
            <w:pPr>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340"/>
          </w:cols>
          <w:pgMar w:left="320" w:top="1440" w:right="1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Daniel Faga, certify that:</w:t>
      </w:r>
    </w:p>
    <w:p>
      <w:pPr>
        <w:spacing w:after="0" w:line="15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36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30086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Daniel Faga,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600" w:hanging="406"/>
        <w:spacing w:after="0" w:line="342" w:lineRule="auto"/>
        <w:tabs>
          <w:tab w:leader="none" w:pos="8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2022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36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600" w:hanging="406"/>
        <w:spacing w:after="0" w:line="342" w:lineRule="auto"/>
        <w:tabs>
          <w:tab w:leader="none" w:pos="8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2022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6"/>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2022-08-09T03:48:42Z</dcterms:created>
  <dcterms:modified xsi:type="dcterms:W3CDTF">2022-08-09T03:48:42Z</dcterms:modified>
</cp:coreProperties>
</file>