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612,503.00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612,503.00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612,503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612,503.00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612,503.00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0" w:gutter="0" w:footer="0" w:header="0"/>
          <w:type w:val="continuous"/>
        </w:sectPr>
      </w:pPr>
    </w:p>
    <w:bookmarkStart w:id="2" w:name="page3"/>
    <w:bookmarkEnd w:id="2"/>
    <w:p>
      <w:pPr>
        <w:ind w:left="1160" w:right="430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612,503.00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612,503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612,503.00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612,503.00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612,503.00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80"/>
          </w:cols>
          <w:pgMar w:left="320" w:top="111" w:right="339" w:bottom="0" w:gutter="0" w:footer="0" w:header="0"/>
          <w:type w:val="continuous"/>
        </w:sectPr>
      </w:pPr>
    </w:p>
    <w:bookmarkStart w:id="3" w:name="page4"/>
    <w:bookmarkEnd w:id="3"/>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612,503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1" w:right="339" w:bottom="0" w:gutter="0" w:footer="0" w:header="0"/>
          <w:type w:val="continuous"/>
        </w:sectPr>
      </w:pPr>
    </w:p>
    <w:p>
      <w:pPr>
        <w:spacing w:after="0" w:line="7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77,778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40"/>
          </w:cols>
          <w:pgMar w:left="320" w:top="35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351"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08"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00"/>
          </w:cols>
          <w:pgMar w:left="320" w:top="108" w:right="41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77,778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160"/>
          </w:cols>
          <w:pgMar w:left="320" w:top="108" w:right="41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77,778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77,014.00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11" w:right="41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77,014.00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77,014.00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77,014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L.P.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77,014.00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77,014.00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60"/>
          </w:cols>
          <w:pgMar w:left="320" w:top="111" w:right="35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77,014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L.P.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77,014.00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77,014.00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77,014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FHMLSP Overage, L.L.C.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20"/>
          </w:cols>
          <w:pgMar w:left="320" w:top="355" w:right="359" w:bottom="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810"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165,521.00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165,521.00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165,521.00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810" w:right="37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165,521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00"/>
          </w:cols>
          <w:pgMar w:left="320" w:top="810" w:right="379" w:bottom="0" w:gutter="0" w:footer="0" w:header="0"/>
          <w:type w:val="continuous"/>
        </w:sectPr>
      </w:pPr>
    </w:p>
    <w:bookmarkStart w:id="9" w:name="page10"/>
    <w:bookmarkEnd w:id="9"/>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165,521.00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165,521.00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165,521.00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369" w:right="37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165,521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369" w:right="379" w:bottom="0" w:gutter="0" w:footer="0" w:header="0"/>
          <w:type w:val="continuous"/>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165,521.00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165,521.00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165,521.00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165,521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Healthcare VII,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498,769.00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498,769.00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498,769.00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00"/>
          </w:cols>
          <w:pgMar w:left="320" w:top="102" w:right="379" w:bottom="0" w:gutter="0" w:footer="0" w:header="0"/>
        </w:sectPr>
      </w:pPr>
    </w:p>
    <w:bookmarkStart w:id="11" w:name="page12"/>
    <w:bookmarkEnd w:id="11"/>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498,769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Healthcare VII, L.P. FHM VII, L.P. is the general partner of Frazier Healthcare VII, L.P. and FHM VII, L.L.C. is the general partner of FHM VII, L.P. Patrick J. Heron, James N. Topper, Alan Frazier, Nader Naini, Nathan Every and Brian Morfitt are the members of FHM VII, L.L.C. and therefore share voting and investment power over the shares held by Frazier Healthcare VII,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Healthcare VII-A,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31" w:orient="portrait"/>
          <w:cols w:equalWidth="0" w:num="1">
            <w:col w:w="11200"/>
          </w:cols>
          <w:pgMar w:left="320" w:top="6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142,134.00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142,134.00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142,134.00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1" w:orient="portrait"/>
          <w:cols w:equalWidth="0" w:num="2">
            <w:col w:w="1100" w:space="60"/>
            <w:col w:w="10040"/>
          </w:cols>
          <w:pgMar w:left="320" w:top="612" w:right="379" w:bottom="0" w:gutter="0" w:footer="0" w:header="0"/>
          <w:type w:val="continuous"/>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142,134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Healthcare VII-A, L.P. FHM VII, L.P. is the general partner of Frazier Healthcare VII-A, L.P. and FHM VII, L.L.C. is the general partner of FHM VII, L.P. Patrick J. Heron, James N. Topper, Alan Frazier, Nader Naini, Nathan Every and Brian Morfitt are the members of FHM VII, L.L.C. and therefore share voting and investment power over the shares held by</w:t>
      </w:r>
    </w:p>
    <w:p>
      <w:pPr>
        <w:sectPr>
          <w:pgSz w:w="11900" w:h="16931" w:orient="portrait"/>
          <w:cols w:equalWidth="0" w:num="1">
            <w:col w:w="11200"/>
          </w:cols>
          <w:pgMar w:left="320" w:top="612" w:right="379" w:bottom="0" w:gutter="0" w:footer="0" w:header="0"/>
          <w:type w:val="continuous"/>
        </w:sectPr>
      </w:pPr>
    </w:p>
    <w:bookmarkStart w:id="12" w:name="page13"/>
    <w:bookmarkEnd w:id="12"/>
    <w:p>
      <w:pPr>
        <w:ind w:right="140"/>
        <w:spacing w:after="0" w:line="244" w:lineRule="auto"/>
        <w:rPr>
          <w:sz w:val="20"/>
          <w:szCs w:val="20"/>
          <w:color w:val="auto"/>
        </w:rPr>
      </w:pPr>
      <w:r>
        <w:rPr>
          <w:rFonts w:ascii="Times New Roman" w:cs="Times New Roman" w:eastAsia="Times New Roman" w:hAnsi="Times New Roman"/>
          <w:sz w:val="22"/>
          <w:szCs w:val="22"/>
          <w:color w:val="auto"/>
        </w:rPr>
        <w:t>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 VII,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6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2" w:right="379" w:bottom="63"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498,769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2" w:right="379" w:bottom="63"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ectPr>
          <w:pgSz w:w="11900" w:h="16838" w:orient="portrait"/>
          <w:cols w:equalWidth="0" w:num="1">
            <w:col w:w="11200"/>
          </w:cols>
          <w:pgMar w:left="320" w:top="112" w:right="379" w:bottom="63" w:gutter="0" w:footer="0" w:header="0"/>
          <w:type w:val="continuous"/>
        </w:sectPr>
      </w:pPr>
    </w:p>
    <w:bookmarkStart w:id="13" w:name="page14"/>
    <w:bookmarkEnd w:id="1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 VII,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63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639" w:right="37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498,769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00"/>
          </w:cols>
          <w:pgMar w:left="320" w:top="639" w:right="379" w:bottom="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1,574,483.00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1,574,483.00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1,655,295.00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00"/>
          </w:cols>
          <w:pgMar w:left="320" w:top="112" w:right="419" w:bottom="0" w:gutter="0" w:footer="0" w:header="0"/>
        </w:sectPr>
      </w:pPr>
    </w:p>
    <w:p>
      <w:pPr>
        <w:spacing w:after="0" w:line="7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80,812 shares listed in rows 5 and 7 are held directly by James N. Topper.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1,574,483 shares listed in rows 6 and 8 consist of (i) 612,503 shares of Common Stock held directly by Frazier Life Sciences Public Fund, L.P., (ii) 77,778 shares of Common Stock held directly by Frazier Life Sciences Public Overage Fund, L.P., (iii) 77,014 shares of Common Stock held directly by Frazier Life Sciences X, L.P., (iv) 165,521 shares of Common Stock held directly by Frazier Life Sciences XI, L.P. (v) 498,769 shares of Common Stock held directly by Frazier Healthcare VII, L.P. and</w:t>
      </w:r>
    </w:p>
    <w:p>
      <w:pPr>
        <w:ind w:firstLine="8"/>
        <w:spacing w:after="0" w:line="231" w:lineRule="auto"/>
        <w:tabs>
          <w:tab w:leader="none" w:pos="3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142,134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60"/>
          </w:cols>
          <w:pgMar w:left="320" w:top="112" w:right="419" w:bottom="0"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9,110.00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1,574,483.00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1,574,483.00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1,583,593.00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32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9,110 shares listed in rows 5 and 7 are held directly by The Heron Living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11/30/2004. Patrick J. Heron is the co-trustee of The Heron Living Trust 11/30/2004 and has voting and investment power over the shares held by The Heron Living Trust 11/30/2004. The 1,574,483 shares listed in rows 6 and 8 consist of (i) 612,503 shares of Common Stock held directly by Frazier Life Sciences Public Fund, L.P., (ii) 77,778 shares of Common Stock held directly by Frazier Life Sciences Public Overage Fund, L.P., (iii) 77,014 shares of Common Stock held directly by Frazier Life Sciences X, L.P., (iv) 165,521 shares of Common Stock held directly by Frazier Life Sciences XI, L.P. (v) 498,769 shares of Common Stock held directly by Frazier Healthcare VII, L.P. and (vi) 142,134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126" w:right="339" w:bottom="32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ectPr>
          <w:pgSz w:w="11900" w:h="16838" w:orient="portrait"/>
          <w:cols w:equalWidth="0" w:num="1">
            <w:col w:w="11240"/>
          </w:cols>
          <w:pgMar w:left="320" w:top="126" w:right="339" w:bottom="320" w:gutter="0" w:footer="0" w:header="0"/>
          <w:type w:val="continuous"/>
        </w:sectPr>
      </w:pPr>
    </w:p>
    <w:bookmarkStart w:id="16" w:name="page17"/>
    <w:bookmarkEnd w:id="16"/>
    <w:p>
      <w:pPr>
        <w:ind w:left="1160" w:hanging="1112"/>
        <w:spacing w:after="0"/>
        <w:tabs>
          <w:tab w:leader="none" w:pos="11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Albert Cha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690,281.00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690,281.00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690,281.00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612,503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Life Sciences Public Fund, L.P., and (ii) 77,778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bookmarkStart w:id="17" w:name="page18"/>
    <w:bookmarkEnd w:id="17"/>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690,281.00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690,281.00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690,281.00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30" w:orient="portrait"/>
          <w:cols w:equalWidth="0" w:num="2">
            <w:col w:w="1100" w:space="60"/>
            <w:col w:w="10080"/>
          </w:cols>
          <w:pgMar w:left="320" w:top="112" w:right="33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612,503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Life Sciences Public Fund, L.P., and (ii) 77,778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930" w:orient="portrait"/>
          <w:cols w:equalWidth="0" w:num="1">
            <w:col w:w="11240"/>
          </w:cols>
          <w:pgMar w:left="320" w:top="112" w:right="339" w:bottom="0" w:gutter="0" w:footer="0" w:header="0"/>
          <w:type w:val="continuous"/>
        </w:sectPr>
      </w:pPr>
    </w:p>
    <w:bookmarkStart w:id="18" w:name="page19"/>
    <w:bookmarkEnd w:id="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165,521.00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165,521.00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165,521.00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165,521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Alan Frazier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640,903.00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640,903.00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02" w:right="379" w:bottom="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22"/>
          <w:szCs w:val="22"/>
          <w:color w:val="auto"/>
        </w:rPr>
        <w:t>640,903.00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498,769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Nader Naini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10040"/>
          </w:cols>
          <w:pgMar w:left="320" w:top="111" w:right="379" w:bottom="0" w:gutter="0" w:footer="0" w:header="0"/>
          <w:type w:val="continuous"/>
        </w:sectPr>
      </w:pPr>
    </w:p>
    <w:bookmarkStart w:id="20" w:name="page21"/>
    <w:bookmarkEnd w:id="20"/>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498,769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Nathan Every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151"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645,526.00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351" w:right="339" w:bottom="151"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4,623 shares listed in rows 5 and 7 are held directly by Nathan Every.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640,903 shares listed in rows 6 and 8 consist of (i) 498,769 shares of Common Stock 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40"/>
          </w:cols>
          <w:pgMar w:left="320" w:top="351" w:right="339" w:bottom="151"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Brian Morfitt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640,903.00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646,272.00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0" w:right="339" w:bottom="0"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5,369 shares listed in rows 5 and 7 are held directly by Brian Morfitt.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640,903 shares listed in rows 6 and 8 consist of (i) 498,769 shares of Common Stock held directly by Frazier Healthcare VII, L.P. and (ii) 142,134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1240"/>
          </w:cols>
          <w:pgMar w:left="320" w:top="110" w:right="339" w:bottom="0" w:gutter="0" w:footer="0" w:header="0"/>
          <w:type w:val="continuous"/>
        </w:sectPr>
      </w:pPr>
    </w:p>
    <w:bookmarkStart w:id="22" w:name="page23"/>
    <w:bookmarkEnd w:id="22"/>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jc w:val="both"/>
        <w:ind w:left="920" w:right="4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Name of Person Filing: The entities and persons filing this statement (collectively, the "Reporting Persons") are: Frazier Life Sciences Public Fund, L.P. ("FLSPF") FHMLSP, L.P. FHMLSP, L.L.C. Frazier Life Sciences Public Overage Fund, L.P. ("FLSPOF") FHMLSP Overage, L.P. FHMLSP Overage, L.L.C. Frazier Healthcare VII, L.P.</w:t>
      </w:r>
    </w:p>
    <w:p>
      <w:pPr>
        <w:spacing w:after="0" w:line="1" w:lineRule="exact"/>
        <w:rPr>
          <w:rFonts w:ascii="Times New Roman" w:cs="Times New Roman" w:eastAsia="Times New Roman" w:hAnsi="Times New Roman"/>
          <w:sz w:val="22"/>
          <w:szCs w:val="22"/>
          <w:color w:val="auto"/>
        </w:rPr>
      </w:pPr>
    </w:p>
    <w:p>
      <w:pPr>
        <w:ind w:left="920" w:right="30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("FH VII") Frazier Healthcare VII-A, L.P. ("FH VII-A") FHM VII, L.P. FHM VII, L.L.C. Frazier Life Sciences X, L.P. ("FLS X") FHMLS X, L.P. FHMLS X, L.L.C. Frazier Life Sciences XI, L.P. ("FLS XI") FHMLS XI, L.P. FHMLS XI, L.L.C. James N. Topper ("Topper") Patrick J. Heron ("Heron") Albert Cha ("Cha") James Brush ("Brush") Daniel Estes ("Estes") Alan Frazier ("Frazier") Nader Naini ("Naini") Nathan Every ("Every") Brian Morfitt ("Morfitt" and together with Topper, Heron, Cha, Brush, Estes, Frazier, Naini and Every, the "Members") Address or principal business office or, if none, residence:</w:t>
      </w:r>
    </w:p>
    <w:p>
      <w:pPr>
        <w:spacing w:after="0" w:line="206"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3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and principal business office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spacing w:after="0" w:line="253" w:lineRule="auto"/>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Entities: FLSPF - Delaware, U.S.A. FHMLSP, L.P. - Delaware, U.S.A. FHMLSP, L.L.C. - Delaware, U.S.A. FLSPOF - Delaware, U.S.A. FHMLSP Overage, L.P. - Delaware, U.S.A. FHMLSP Overage, L.L.C. - Delaware, U.S.A. FH</w:t>
      </w:r>
    </w:p>
    <w:p>
      <w:pPr>
        <w:ind w:left="920" w:right="120" w:hanging="912"/>
        <w:spacing w:after="0" w:line="201" w:lineRule="auto"/>
        <w:tabs>
          <w:tab w:leader="none" w:pos="920" w:val="left"/>
        </w:tabs>
        <w:numPr>
          <w:ilvl w:val="0"/>
          <w:numId w:val="3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VII - Delaware, U.S.A. FH VII-A - Delaware, U.S.A. FHM VII, L.P. - Delaware, U.S.A. FHM VII, L.L.C. - Delaware, U.S.A. FLS X - Delaware, U.S.A. FHMLS X, L.P. - Delaware, U.S.A. FHMLS X, L.L.C. - Delaware, U.S.A. FLS XI - Delaware, U.S.A. FHMLS XI, L.P. - Delaware, U.S.A. FHMLS XI, L.L.C. - Delaware, U.S.A. Individuals: Topper - United States Citizen Heron - United States Citizen Cha - United States Citizen Brush - United States Citizen Estes - United States Citizen Frazier - United States Citizen Naini - United States Citizen Every - United States Citizen Morfitt - United States Citizen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40" w:hanging="912"/>
        <w:spacing w:after="0" w:line="185" w:lineRule="auto"/>
        <w:tabs>
          <w:tab w:leader="none" w:pos="920" w:val="left"/>
        </w:tabs>
        <w:numPr>
          <w:ilvl w:val="0"/>
          <w:numId w:val="4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9 of each Reporting Person's cover page to this Schedule 13G (including the footnotes thereto) is incorporated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40" w:hanging="912"/>
        <w:spacing w:after="0" w:line="185" w:lineRule="auto"/>
        <w:tabs>
          <w:tab w:leader="none" w:pos="920" w:val="left"/>
        </w:tabs>
        <w:numPr>
          <w:ilvl w:val="0"/>
          <w:numId w:val="4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1" w:right="419" w:bottom="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CFO of FHMLSP Overage,</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674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355" w:right="399" w:bottom="0" w:gutter="0" w:footer="0" w:header="0"/>
          <w:type w:val="continuous"/>
        </w:sectPr>
      </w:pPr>
    </w:p>
    <w:bookmarkStart w:id="24" w:name="page25"/>
    <w:bookmarkEnd w:id="24"/>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Frazier Healthcare VII,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 VII, L.L.C., GP</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of FHM VII, L.P., GP of Frazier Healthcare VII,</w:t>
      </w: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Frazier Healthcare VII-A,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 VII, L.L.C., GP</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of FHM VII, L.P., GP of Frazier Healthcare VII-</w:t>
      </w:r>
    </w:p>
    <w:p>
      <w:pPr>
        <w:ind w:left="5660"/>
        <w:spacing w:after="0"/>
        <w:rPr>
          <w:sz w:val="20"/>
          <w:szCs w:val="20"/>
          <w:color w:val="auto"/>
        </w:rPr>
      </w:pPr>
      <w:r>
        <w:rPr>
          <w:rFonts w:ascii="Times New Roman" w:cs="Times New Roman" w:eastAsia="Times New Roman" w:hAnsi="Times New Roman"/>
          <w:sz w:val="22"/>
          <w:szCs w:val="22"/>
          <w:color w:val="auto"/>
        </w:rPr>
        <w:t>A, L.P.</w:t>
      </w:r>
    </w:p>
    <w:p>
      <w:pPr>
        <w:sectPr>
          <w:pgSz w:w="11900" w:h="16884" w:orient="portrait"/>
          <w:cols w:equalWidth="0" w:num="1">
            <w:col w:w="10000"/>
          </w:cols>
          <w:pgMar w:left="1440" w:top="153" w:right="459" w:bottom="0" w:gutter="0" w:footer="0" w:header="0"/>
        </w:sectPr>
      </w:pPr>
    </w:p>
    <w:bookmarkStart w:id="25" w:name="page26"/>
    <w:bookmarkEnd w:id="25"/>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FHM VII,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29" w:lineRule="exact"/>
        <w:rPr>
          <w:sz w:val="20"/>
          <w:szCs w:val="20"/>
          <w:color w:val="auto"/>
        </w:rPr>
      </w:pPr>
    </w:p>
    <w:p>
      <w:pPr>
        <w:ind w:left="5660" w:right="4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Steve R. Bailey, CFO of FHM VII, L.L.C., GP of FHM VII, L.P.</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FHM VII,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By Steve R. Bailey, CFO of FHM VII, L.L.C.</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Attorney-in-Fact for James N.</w:t>
      </w:r>
    </w:p>
    <w:p>
      <w:pPr>
        <w:spacing w:after="0" w:line="26" w:lineRule="exact"/>
        <w:rPr>
          <w:sz w:val="20"/>
          <w:szCs w:val="20"/>
          <w:color w:val="auto"/>
        </w:rPr>
      </w:pPr>
    </w:p>
    <w:p>
      <w:pPr>
        <w:ind w:left="5660" w:right="22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Topper, pursuant to a Power of Attorney, a copy of which was filed with the SEC on March 29,</w:t>
      </w:r>
    </w:p>
    <w:p>
      <w:pPr>
        <w:ind w:left="566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jc w:val="right"/>
        <w:ind w:left="4580" w:right="60"/>
        <w:spacing w:after="0" w:line="237" w:lineRule="auto"/>
        <w:rPr>
          <w:sz w:val="20"/>
          <w:szCs w:val="20"/>
          <w:color w:val="auto"/>
        </w:rPr>
      </w:pPr>
      <w:r>
        <w:rPr>
          <w:rFonts w:ascii="Times New Roman" w:cs="Times New Roman" w:eastAsia="Times New Roman" w:hAnsi="Times New Roman"/>
          <w:sz w:val="22"/>
          <w:szCs w:val="22"/>
          <w:color w:val="auto"/>
        </w:rPr>
        <w:t>Name/Title: Heron, pursuant to a Power of Attorney, a copy of which was filed with the SEC on March 29, 2016</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14" w:lineRule="exact"/>
        <w:rPr>
          <w:sz w:val="20"/>
          <w:szCs w:val="20"/>
          <w:color w:val="auto"/>
        </w:rPr>
      </w:pPr>
    </w:p>
    <w:p>
      <w:pPr>
        <w:ind w:left="5660" w:right="40" w:hanging="1093"/>
        <w:spacing w:after="0" w:line="256" w:lineRule="auto"/>
        <w:rPr>
          <w:sz w:val="20"/>
          <w:szCs w:val="20"/>
          <w:color w:val="auto"/>
        </w:rPr>
      </w:pPr>
      <w:r>
        <w:rPr>
          <w:rFonts w:ascii="Times New Roman" w:cs="Times New Roman" w:eastAsia="Times New Roman" w:hAnsi="Times New Roman"/>
          <w:sz w:val="21"/>
          <w:szCs w:val="21"/>
          <w:color w:val="auto"/>
        </w:rPr>
        <w:t>Name/Title: Cha, pursuant to a Power of Attorney, a copy of which was filed with the SEC on August 16, 2021</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14" w:lineRule="exact"/>
        <w:rPr>
          <w:sz w:val="20"/>
          <w:szCs w:val="20"/>
          <w:color w:val="auto"/>
        </w:rPr>
      </w:pPr>
    </w:p>
    <w:p>
      <w:pPr>
        <w:jc w:val="right"/>
        <w:ind w:left="4580" w:right="40"/>
        <w:spacing w:after="0" w:line="237" w:lineRule="auto"/>
        <w:rPr>
          <w:sz w:val="20"/>
          <w:szCs w:val="20"/>
          <w:color w:val="auto"/>
        </w:rPr>
      </w:pPr>
      <w:r>
        <w:rPr>
          <w:rFonts w:ascii="Times New Roman" w:cs="Times New Roman" w:eastAsia="Times New Roman" w:hAnsi="Times New Roman"/>
          <w:sz w:val="22"/>
          <w:szCs w:val="22"/>
          <w:color w:val="auto"/>
        </w:rPr>
        <w:t>Name/Title: Brush, pursuant to a Power of Attorney, a copy of which was filed with the SEC on August 16, 2021</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14" w:lineRule="exact"/>
        <w:rPr>
          <w:sz w:val="20"/>
          <w:szCs w:val="20"/>
          <w:color w:val="auto"/>
        </w:rPr>
      </w:pPr>
    </w:p>
    <w:p>
      <w:pPr>
        <w:ind w:left="5660" w:right="140" w:hanging="1093"/>
        <w:spacing w:after="0" w:line="256" w:lineRule="auto"/>
        <w:rPr>
          <w:sz w:val="20"/>
          <w:szCs w:val="20"/>
          <w:color w:val="auto"/>
        </w:rPr>
      </w:pPr>
      <w:r>
        <w:rPr>
          <w:rFonts w:ascii="Times New Roman" w:cs="Times New Roman" w:eastAsia="Times New Roman" w:hAnsi="Times New Roman"/>
          <w:sz w:val="21"/>
          <w:szCs w:val="21"/>
          <w:color w:val="auto"/>
        </w:rPr>
        <w:t>Name/Title: Estes, pursuant to a Power of Attorney, a copy of which was filed with the SEC on April 18, 2022</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Alan Frazier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Alan</w:t>
      </w:r>
    </w:p>
    <w:p>
      <w:pPr>
        <w:spacing w:after="0" w:line="14" w:lineRule="exact"/>
        <w:rPr>
          <w:sz w:val="20"/>
          <w:szCs w:val="20"/>
          <w:color w:val="auto"/>
        </w:rPr>
      </w:pPr>
    </w:p>
    <w:p>
      <w:pPr>
        <w:ind w:left="5660" w:right="22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Frazier, pursuant to a Power of Attorney, a copy of which was filed with the SEC on March 29,</w:t>
      </w:r>
    </w:p>
    <w:p>
      <w:pPr>
        <w:ind w:left="566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Nader Naini</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By Steve R. Bailey, Attorney-in-Fact for Nader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Naini, pursuant to a Power of Attorney, a copy of</w:t>
      </w:r>
    </w:p>
    <w:p>
      <w:pPr>
        <w:sectPr>
          <w:pgSz w:w="11900" w:h="16838" w:orient="portrait"/>
          <w:cols w:equalWidth="0" w:num="1">
            <w:col w:w="10040"/>
          </w:cols>
          <w:pgMar w:left="1440" w:top="126" w:right="419" w:bottom="0" w:gutter="0" w:footer="0" w:header="0"/>
        </w:sectPr>
      </w:pPr>
    </w:p>
    <w:bookmarkStart w:id="26" w:name="page27"/>
    <w:bookmarkEnd w:id="26"/>
    <w:p>
      <w:pPr>
        <w:ind w:left="6740"/>
        <w:spacing w:after="0"/>
        <w:rPr>
          <w:sz w:val="20"/>
          <w:szCs w:val="20"/>
          <w:color w:val="auto"/>
        </w:rPr>
      </w:pPr>
      <w:r>
        <w:rPr>
          <w:rFonts w:ascii="Times New Roman" w:cs="Times New Roman" w:eastAsia="Times New Roman" w:hAnsi="Times New Roman"/>
          <w:sz w:val="21"/>
          <w:szCs w:val="21"/>
          <w:color w:val="auto"/>
        </w:rPr>
        <w:t>which was filed with the SEC on March 29, 2016</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Nathan Every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Nathan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Every, pursuant to a Power of Attorney, a copy of</w:t>
      </w:r>
    </w:p>
    <w:p>
      <w:pPr>
        <w:jc w:val="right"/>
        <w:spacing w:after="0"/>
        <w:rPr>
          <w:sz w:val="20"/>
          <w:szCs w:val="20"/>
          <w:color w:val="auto"/>
        </w:rPr>
      </w:pPr>
      <w:r>
        <w:rPr>
          <w:rFonts w:ascii="Times New Roman" w:cs="Times New Roman" w:eastAsia="Times New Roman" w:hAnsi="Times New Roman"/>
          <w:sz w:val="22"/>
          <w:szCs w:val="22"/>
          <w:color w:val="auto"/>
        </w:rPr>
        <w:t>which was filed with the SEC on March 29, 2016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Brian Morfitt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Brian</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Morfitt, pursuant to a Power of Attorney, a copy</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which was filed with the SEC on March 29,</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020"/>
          </w:cols>
          <w:pgMar w:left="360" w:top="111" w:right="5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AnaptysBio,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584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340" w:type="dxa"/>
            <w:vAlign w:val="bottom"/>
          </w:tcPr>
          <w:p>
            <w:pPr>
              <w:spacing w:after="0"/>
              <w:rPr>
                <w:sz w:val="21"/>
                <w:szCs w:val="21"/>
                <w:color w:val="auto"/>
              </w:rPr>
            </w:pPr>
          </w:p>
        </w:tc>
        <w:tc>
          <w:tcPr>
            <w:tcW w:w="584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340" w:type="dxa"/>
            <w:vAlign w:val="bottom"/>
          </w:tcPr>
          <w:p>
            <w:pPr>
              <w:spacing w:after="0"/>
              <w:rPr>
                <w:sz w:val="24"/>
                <w:szCs w:val="24"/>
                <w:color w:val="auto"/>
              </w:rPr>
            </w:pPr>
          </w:p>
        </w:tc>
        <w:tc>
          <w:tcPr>
            <w:tcW w:w="584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340" w:type="dxa"/>
            <w:vAlign w:val="bottom"/>
          </w:tcPr>
          <w:p>
            <w:pPr>
              <w:spacing w:after="0"/>
              <w:rPr>
                <w:sz w:val="24"/>
                <w:szCs w:val="24"/>
                <w:color w:val="auto"/>
              </w:rPr>
            </w:pPr>
          </w:p>
        </w:tc>
        <w:tc>
          <w:tcPr>
            <w:tcW w:w="584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3"/>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PUBLIC OVERAGE FUND, L.P.</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FHMLSP Overage, L.P., its General Partner</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OVERAGE, L.P.</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OVERAGE, L.L.C.</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1068"/>
        </w:trPr>
        <w:tc>
          <w:tcPr>
            <w:tcW w:w="3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48"/>
        </w:trPr>
        <w:tc>
          <w:tcPr>
            <w:tcW w:w="3340" w:type="dxa"/>
            <w:vAlign w:val="bottom"/>
            <w:shd w:val="clear" w:color="auto" w:fill="808080"/>
          </w:tcPr>
          <w:p>
            <w:pPr>
              <w:spacing w:after="0"/>
              <w:rPr>
                <w:sz w:val="12"/>
                <w:szCs w:val="12"/>
                <w:color w:val="auto"/>
              </w:rPr>
            </w:pPr>
          </w:p>
        </w:tc>
        <w:tc>
          <w:tcPr>
            <w:tcW w:w="1520" w:type="dxa"/>
            <w:vAlign w:val="bottom"/>
            <w:shd w:val="clear" w:color="auto" w:fill="808080"/>
          </w:tcPr>
          <w:p>
            <w:pPr>
              <w:spacing w:after="0"/>
              <w:rPr>
                <w:sz w:val="12"/>
                <w:szCs w:val="12"/>
                <w:color w:val="auto"/>
              </w:rPr>
            </w:pPr>
          </w:p>
        </w:tc>
        <w:tc>
          <w:tcPr>
            <w:tcW w:w="1660" w:type="dxa"/>
            <w:vAlign w:val="bottom"/>
            <w:shd w:val="clear" w:color="auto" w:fill="808080"/>
          </w:tcPr>
          <w:p>
            <w:pPr>
              <w:spacing w:after="0"/>
              <w:rPr>
                <w:sz w:val="12"/>
                <w:szCs w:val="12"/>
                <w:color w:val="auto"/>
              </w:rPr>
            </w:pPr>
          </w:p>
        </w:tc>
        <w:tc>
          <w:tcPr>
            <w:tcW w:w="472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HEALTHCARE VII,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 VII,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HEALTHCARE VII-A,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 VII,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 VII,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 VII, L.L.C.</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XI, L.L.C.</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0139"/>
          </w:cols>
          <w:pgMar w:left="320" w:top="102" w:right="1440"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5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James N. Topper</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Patrick J. Heron</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Alan Frazier</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Nader Naini</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Nathan Every</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Brian Morfitt</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Albert Cha</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James Brush</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Daniel Estes</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/s/ Steve R. Bailey</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22"/>
                <w:szCs w:val="22"/>
                <w:color w:val="auto"/>
                <w:w w:val="97"/>
              </w:rPr>
              <w:t>Steve R. Bailey, as</w:t>
            </w:r>
          </w:p>
        </w:tc>
        <w:tc>
          <w:tcPr>
            <w:tcW w:w="1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Attorney-in-Fact</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March 29, 2016.</w:t>
      </w:r>
    </w:p>
    <w:p>
      <w:pPr>
        <w:spacing w:after="0" w:line="185" w:lineRule="exact"/>
        <w:rPr>
          <w:sz w:val="20"/>
          <w:szCs w:val="20"/>
          <w:color w:val="auto"/>
        </w:rPr>
      </w:pPr>
    </w:p>
    <w:p>
      <w:pPr>
        <w:ind w:firstLine="8"/>
        <w:spacing w:after="0" w:line="258" w:lineRule="auto"/>
        <w:tabs>
          <w:tab w:leader="none" w:pos="27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August 16, 2021.</w:t>
      </w:r>
    </w:p>
    <w:p>
      <w:pPr>
        <w:spacing w:after="0" w:line="185" w:lineRule="exact"/>
        <w:rPr>
          <w:rFonts w:ascii="Times New Roman" w:cs="Times New Roman" w:eastAsia="Times New Roman" w:hAnsi="Times New Roman"/>
          <w:sz w:val="22"/>
          <w:szCs w:val="22"/>
          <w:color w:val="auto"/>
        </w:rPr>
      </w:pPr>
    </w:p>
    <w:p>
      <w:pPr>
        <w:ind w:firstLine="8"/>
        <w:spacing w:after="0" w:line="258" w:lineRule="auto"/>
        <w:tabs>
          <w:tab w:leader="none" w:pos="3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April 18, 2022.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2"/>
      <w:numFmt w:val="bullet"/>
      <w:start w:val="1"/>
    </w:lvl>
  </w:abstractNum>
  <w:abstractNum w:abstractNumId="1">
    <w:nsid w:val="2D1D5AE9"/>
    <w:multiLevelType w:val="hybridMultilevel"/>
    <w:lvl w:ilvl="0">
      <w:lvlJc w:val="left"/>
      <w:lvlText w:val="3"/>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9"/>
      <w:numFmt w:val="bullet"/>
      <w:start w:val="1"/>
    </w:lvl>
  </w:abstractNum>
  <w:abstractNum w:abstractNumId="5">
    <w:nsid w:val="79838CB2"/>
    <w:multiLevelType w:val="hybridMultilevel"/>
    <w:lvl w:ilvl="0">
      <w:lvlJc w:val="left"/>
      <w:lvlText w:val="2"/>
      <w:numFmt w:val="bullet"/>
      <w:start w:val="1"/>
    </w:lvl>
  </w:abstractNum>
  <w:abstractNum w:abstractNumId="6">
    <w:nsid w:val="4353D0CD"/>
    <w:multiLevelType w:val="hybridMultilevel"/>
    <w:lvl w:ilvl="0">
      <w:lvlJc w:val="left"/>
      <w:lvlText w:val="2"/>
      <w:numFmt w:val="bullet"/>
      <w:start w:val="1"/>
    </w:lvl>
  </w:abstractNum>
  <w:abstractNum w:abstractNumId="7">
    <w:nsid w:val="B03E0C6"/>
    <w:multiLevelType w:val="hybridMultilevel"/>
    <w:lvl w:ilvl="0">
      <w:lvlJc w:val="left"/>
      <w:lvlText w:val="2"/>
      <w:numFmt w:val="bullet"/>
      <w:start w:val="1"/>
    </w:lvl>
  </w:abstractNum>
  <w:abstractNum w:abstractNumId="8">
    <w:nsid w:val="189A769B"/>
    <w:multiLevelType w:val="hybridMultilevel"/>
    <w:lvl w:ilvl="0">
      <w:lvlJc w:val="left"/>
      <w:lvlText w:val="2"/>
      <w:numFmt w:val="bullet"/>
      <w:start w:val="1"/>
    </w:lvl>
  </w:abstractNum>
  <w:abstractNum w:abstractNumId="9">
    <w:nsid w:val="54E49EB4"/>
    <w:multiLevelType w:val="hybridMultilevel"/>
    <w:lvl w:ilvl="0">
      <w:lvlJc w:val="left"/>
      <w:lvlText w:val="3"/>
      <w:numFmt w:val="bullet"/>
      <w:start w:val="1"/>
    </w:lvl>
  </w:abstractNum>
  <w:abstractNum w:abstractNumId="10">
    <w:nsid w:val="71F32454"/>
    <w:multiLevelType w:val="hybridMultilevel"/>
    <w:lvl w:ilvl="0">
      <w:lvlJc w:val="left"/>
      <w:lvlText w:val="2"/>
      <w:numFmt w:val="bullet"/>
      <w:start w:val="1"/>
    </w:lvl>
  </w:abstractNum>
  <w:abstractNum w:abstractNumId="11">
    <w:nsid w:val="2CA88611"/>
    <w:multiLevelType w:val="hybridMultilevel"/>
    <w:lvl w:ilvl="0">
      <w:lvlJc w:val="left"/>
      <w:lvlText w:val="3"/>
      <w:numFmt w:val="bullet"/>
      <w:start w:val="1"/>
    </w:lvl>
  </w:abstractNum>
  <w:abstractNum w:abstractNumId="12">
    <w:nsid w:val="836C40E"/>
    <w:multiLevelType w:val="hybridMultilevel"/>
    <w:lvl w:ilvl="0">
      <w:lvlJc w:val="left"/>
      <w:lvlText w:val="2"/>
      <w:numFmt w:val="bullet"/>
      <w:start w:val="1"/>
    </w:lvl>
  </w:abstractNum>
  <w:abstractNum w:abstractNumId="13">
    <w:nsid w:val="2901D82"/>
    <w:multiLevelType w:val="hybridMultilevel"/>
    <w:lvl w:ilvl="0">
      <w:lvlJc w:val="left"/>
      <w:lvlText w:val="2"/>
      <w:numFmt w:val="bullet"/>
      <w:start w:val="1"/>
    </w:lvl>
  </w:abstractNum>
  <w:abstractNum w:abstractNumId="14">
    <w:nsid w:val="3A95F874"/>
    <w:multiLevelType w:val="hybridMultilevel"/>
    <w:lvl w:ilvl="0">
      <w:lvlJc w:val="left"/>
      <w:lvlText w:val="2"/>
      <w:numFmt w:val="bullet"/>
      <w:start w:val="1"/>
    </w:lvl>
  </w:abstractNum>
  <w:abstractNum w:abstractNumId="15">
    <w:nsid w:val="8138641"/>
    <w:multiLevelType w:val="hybridMultilevel"/>
    <w:lvl w:ilvl="0">
      <w:lvlJc w:val="left"/>
      <w:lvlText w:val="2"/>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2"/>
      <w:numFmt w:val="bullet"/>
      <w:start w:val="1"/>
    </w:lvl>
  </w:abstractNum>
  <w:abstractNum w:abstractNumId="19">
    <w:nsid w:val="6CEAF087"/>
    <w:multiLevelType w:val="hybridMultilevel"/>
    <w:lvl w:ilvl="0">
      <w:lvlJc w:val="left"/>
      <w:lvlText w:val="3"/>
      <w:numFmt w:val="bullet"/>
      <w:start w:val="1"/>
    </w:lvl>
  </w:abstractNum>
  <w:abstractNum w:abstractNumId="20">
    <w:nsid w:val="22221A70"/>
    <w:multiLevelType w:val="hybridMultilevel"/>
    <w:lvl w:ilvl="0">
      <w:lvlJc w:val="left"/>
      <w:lvlText w:val="2"/>
      <w:numFmt w:val="bullet"/>
      <w:start w:val="1"/>
    </w:lvl>
  </w:abstractNum>
  <w:abstractNum w:abstractNumId="21">
    <w:nsid w:val="4516DDE9"/>
    <w:multiLevelType w:val="hybridMultilevel"/>
    <w:lvl w:ilvl="0">
      <w:lvlJc w:val="left"/>
      <w:lvlText w:val="2"/>
      <w:numFmt w:val="bullet"/>
      <w:start w:val="1"/>
    </w:lvl>
  </w:abstractNum>
  <w:abstractNum w:abstractNumId="22">
    <w:nsid w:val="3006C83E"/>
    <w:multiLevelType w:val="hybridMultilevel"/>
    <w:lvl w:ilvl="0">
      <w:lvlJc w:val="left"/>
      <w:lvlText w:val="2"/>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3"/>
      <w:numFmt w:val="bullet"/>
      <w:start w:val="1"/>
    </w:lvl>
  </w:abstractNum>
  <w:abstractNum w:abstractNumId="25">
    <w:nsid w:val="5577F8E1"/>
    <w:multiLevelType w:val="hybridMultilevel"/>
    <w:lvl w:ilvl="0">
      <w:lvlJc w:val="left"/>
      <w:lvlText w:val="(%1)"/>
      <w:numFmt w:val="lowerRoman"/>
      <w:start w:val="6"/>
    </w:lvl>
  </w:abstractNum>
  <w:abstractNum w:abstractNumId="26">
    <w:nsid w:val="440BADFC"/>
    <w:multiLevelType w:val="hybridMultilevel"/>
    <w:lvl w:ilvl="0">
      <w:lvlJc w:val="left"/>
      <w:lvlText w:val="2"/>
      <w:numFmt w:val="bullet"/>
      <w:start w:val="1"/>
    </w:lvl>
  </w:abstractNum>
  <w:abstractNum w:abstractNumId="27">
    <w:nsid w:val="5072367"/>
    <w:multiLevelType w:val="hybridMultilevel"/>
    <w:lvl w:ilvl="0">
      <w:lvlJc w:val="left"/>
      <w:lvlText w:val="1"/>
      <w:numFmt w:val="bullet"/>
      <w:start w:val="1"/>
    </w:lvl>
  </w:abstractNum>
  <w:abstractNum w:abstractNumId="28">
    <w:nsid w:val="3804823E"/>
    <w:multiLevelType w:val="hybridMultilevel"/>
    <w:lvl w:ilvl="0">
      <w:lvlJc w:val="left"/>
      <w:lvlText w:val="2"/>
      <w:numFmt w:val="bullet"/>
      <w:start w:val="1"/>
    </w:lvl>
  </w:abstractNum>
  <w:abstractNum w:abstractNumId="29">
    <w:nsid w:val="77465F01"/>
    <w:multiLevelType w:val="hybridMultilevel"/>
    <w:lvl w:ilvl="0">
      <w:lvlJc w:val="left"/>
      <w:lvlText w:val="2"/>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2"/>
      <w:numFmt w:val="bullet"/>
      <w:start w:val="1"/>
    </w:lvl>
  </w:abstractNum>
  <w:abstractNum w:abstractNumId="33">
    <w:nsid w:val="5E884ADC"/>
    <w:multiLevelType w:val="hybridMultilevel"/>
    <w:lvl w:ilvl="0">
      <w:lvlJc w:val="left"/>
      <w:lvlText w:val="3"/>
      <w:numFmt w:val="bullet"/>
      <w:start w:val="1"/>
    </w:lvl>
  </w:abstractNum>
  <w:abstractNum w:abstractNumId="34">
    <w:nsid w:val="51EAD36B"/>
    <w:multiLevelType w:val="hybridMultilevel"/>
    <w:lvl w:ilvl="0">
      <w:lvlJc w:val="left"/>
      <w:lvlText w:val="9"/>
      <w:numFmt w:val="bullet"/>
      <w:start w:val="1"/>
    </w:lvl>
  </w:abstractNum>
  <w:abstractNum w:abstractNumId="35">
    <w:nsid w:val="2D517796"/>
    <w:multiLevelType w:val="hybridMultilevel"/>
    <w:lvl w:ilvl="0">
      <w:lvlJc w:val="left"/>
      <w:lvlText w:val="2"/>
      <w:numFmt w:val="bullet"/>
      <w:start w:val="1"/>
    </w:lvl>
  </w:abstractNum>
  <w:abstractNum w:abstractNumId="36">
    <w:nsid w:val="580BD78F"/>
    <w:multiLevelType w:val="hybridMultilevel"/>
    <w:lvl w:ilvl="0">
      <w:lvlJc w:val="left"/>
      <w:lvlText w:val="2"/>
      <w:numFmt w:val="bullet"/>
      <w:start w:val="1"/>
    </w:lvl>
  </w:abstractNum>
  <w:abstractNum w:abstractNumId="37">
    <w:nsid w:val="153EA438"/>
    <w:multiLevelType w:val="hybridMultilevel"/>
    <w:lvl w:ilvl="0">
      <w:lvlJc w:val="left"/>
      <w:lvlText w:val="2"/>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2025-02-14T10:30:41Z</dcterms:created>
  <dcterms:modified xsi:type="dcterms:W3CDTF">2025-02-14T10:30:41Z</dcterms:modified>
</cp:coreProperties>
</file>