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6" w:lineRule="exact"/>
        <w:rPr>
          <w:sz w:val="24"/>
          <w:szCs w:val="24"/>
          <w:color w:val="auto"/>
        </w:rPr>
      </w:pPr>
    </w:p>
    <w:p>
      <w:pPr>
        <w:jc w:val="center"/>
        <w:ind w:right="-19"/>
        <w:spacing w:after="0" w:line="230" w:lineRule="exact"/>
        <w:rPr>
          <w:sz w:val="20"/>
          <w:szCs w:val="20"/>
          <w:color w:val="auto"/>
        </w:rPr>
      </w:pPr>
      <w:r>
        <w:rPr>
          <w:rFonts w:ascii="Times New Roman" w:cs="Times New Roman" w:eastAsia="Times New Roman" w:hAnsi="Times New Roman"/>
          <w:sz w:val="20"/>
          <w:szCs w:val="20"/>
          <w:b w:val="1"/>
          <w:bCs w:val="1"/>
          <w:color w:val="auto"/>
        </w:rPr>
        <w:t>FORM 8</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K</w:t>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1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Date of Report: August 8, 2019</w:t>
      </w:r>
    </w:p>
    <w:p>
      <w:pPr>
        <w:spacing w:after="0" w:line="2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420"/>
          </w:cols>
          <w:pgMar w:left="240" w:top="221" w:right="239" w:bottom="1440" w:gutter="0" w:footer="0" w:header="0"/>
        </w:sectPr>
      </w:pPr>
    </w:p>
    <w:p>
      <w:pPr>
        <w:spacing w:after="0" w:line="36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69" w:lineRule="exact"/>
        <w:rPr>
          <w:sz w:val="24"/>
          <w:szCs w:val="24"/>
          <w:color w:val="auto"/>
        </w:rPr>
      </w:pPr>
    </w:p>
    <w:p>
      <w:pPr>
        <w:sectPr>
          <w:pgSz w:w="11900" w:h="16838" w:orient="portrait"/>
          <w:cols w:equalWidth="0" w:num="3">
            <w:col w:w="4620" w:space="720"/>
            <w:col w:w="2940" w:space="720"/>
            <w:col w:w="2420"/>
          </w:cols>
          <w:pgMar w:left="240" w:top="221" w:right="2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1" w:right="239" w:bottom="1440" w:gutter="0" w:footer="0" w:header="0"/>
          <w:type w:val="continuous"/>
        </w:sectPr>
      </w:pPr>
    </w:p>
    <w:p>
      <w:pPr>
        <w:spacing w:after="0" w:line="226" w:lineRule="exact"/>
        <w:rPr>
          <w:sz w:val="24"/>
          <w:szCs w:val="24"/>
          <w:color w:val="auto"/>
        </w:rPr>
      </w:pPr>
    </w:p>
    <w:p>
      <w:pPr>
        <w:jc w:val="center"/>
        <w:ind w:right="4560"/>
        <w:spacing w:after="0"/>
        <w:rPr>
          <w:sz w:val="20"/>
          <w:szCs w:val="20"/>
          <w:color w:val="auto"/>
        </w:rPr>
      </w:pPr>
      <w:r>
        <w:rPr>
          <w:rFonts w:ascii="Times New Roman" w:cs="Times New Roman" w:eastAsia="Times New Roman" w:hAnsi="Times New Roman"/>
          <w:sz w:val="19"/>
          <w:szCs w:val="19"/>
          <w:b w:val="1"/>
          <w:bCs w:val="1"/>
          <w:color w:val="auto"/>
        </w:rPr>
        <w:t>10421 Pacific Center Court, Suite 200</w:t>
      </w:r>
    </w:p>
    <w:p>
      <w:pPr>
        <w:spacing w:after="0" w:line="37" w:lineRule="exact"/>
        <w:rPr>
          <w:sz w:val="24"/>
          <w:szCs w:val="24"/>
          <w:color w:val="auto"/>
        </w:rPr>
      </w:pPr>
    </w:p>
    <w:p>
      <w:pPr>
        <w:jc w:val="center"/>
        <w:ind w:right="4560"/>
        <w:spacing w:after="0"/>
        <w:rPr>
          <w:sz w:val="20"/>
          <w:szCs w:val="20"/>
          <w:color w:val="auto"/>
        </w:rPr>
      </w:pPr>
      <w:r>
        <w:rPr>
          <w:rFonts w:ascii="Times New Roman" w:cs="Times New Roman" w:eastAsia="Times New Roman" w:hAnsi="Times New Roman"/>
          <w:sz w:val="20"/>
          <w:szCs w:val="20"/>
          <w:b w:val="1"/>
          <w:bCs w:val="1"/>
          <w:color w:val="auto"/>
        </w:rPr>
        <w:t>San Diego,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92121</w:t>
      </w:r>
    </w:p>
    <w:p>
      <w:pPr>
        <w:spacing w:after="0" w:line="69" w:lineRule="exact"/>
        <w:rPr>
          <w:sz w:val="24"/>
          <w:szCs w:val="24"/>
          <w:color w:val="auto"/>
        </w:rPr>
      </w:pPr>
    </w:p>
    <w:p>
      <w:pPr>
        <w:sectPr>
          <w:pgSz w:w="11900" w:h="16838" w:orient="portrait"/>
          <w:cols w:equalWidth="0" w:num="2">
            <w:col w:w="8700" w:space="720"/>
            <w:col w:w="2000"/>
          </w:cols>
          <w:pgMar w:left="240" w:top="221"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(Zip Code)</w:t>
      </w:r>
    </w:p>
    <w:p>
      <w:pPr>
        <w:spacing w:after="0" w:line="200" w:lineRule="exact"/>
        <w:rPr>
          <w:sz w:val="24"/>
          <w:szCs w:val="24"/>
          <w:color w:val="auto"/>
        </w:rPr>
      </w:pPr>
    </w:p>
    <w:p>
      <w:pPr>
        <w:sectPr>
          <w:pgSz w:w="11900" w:h="16838" w:orient="portrait"/>
          <w:cols w:equalWidth="0" w:num="2">
            <w:col w:w="8500" w:space="720"/>
            <w:col w:w="2200"/>
          </w:cols>
          <w:pgMar w:left="240" w:top="221" w:right="239" w:bottom="144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1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9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21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1"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175"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On August 8, 2019, AnaptysBio, Inc. (“</w:t>
      </w:r>
      <w:r>
        <w:rPr>
          <w:rFonts w:ascii="Times New Roman" w:cs="Times New Roman" w:eastAsia="Times New Roman" w:hAnsi="Times New Roman"/>
          <w:sz w:val="20"/>
          <w:szCs w:val="20"/>
          <w:b w:val="1"/>
          <w:bCs w:val="1"/>
          <w:i w:val="1"/>
          <w:iCs w:val="1"/>
          <w:color w:val="auto"/>
        </w:rPr>
        <w:t>AnaptysBio</w:t>
      </w:r>
      <w:r>
        <w:rPr>
          <w:rFonts w:ascii="Times New Roman" w:cs="Times New Roman" w:eastAsia="Times New Roman" w:hAnsi="Times New Roman"/>
          <w:sz w:val="20"/>
          <w:szCs w:val="20"/>
          <w:color w:val="auto"/>
        </w:rPr>
        <w:t>”) issued a press release announcing its financial results for the six months ended June 30, 2019. A copy of the press release is attached as Exhibit 99.01 to this Current Report on Form 8-K.</w:t>
      </w:r>
    </w:p>
    <w:p>
      <w:pPr>
        <w:spacing w:after="0" w:line="1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2" w:lineRule="exact"/>
        <w:rPr>
          <w:sz w:val="20"/>
          <w:szCs w:val="20"/>
          <w:color w:val="auto"/>
        </w:rPr>
      </w:pPr>
    </w:p>
    <w:p>
      <w:pPr>
        <w:ind w:right="100" w:firstLine="8"/>
        <w:spacing w:after="0" w:line="274" w:lineRule="auto"/>
        <w:tabs>
          <w:tab w:leader="none" w:pos="2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w w:val="93"/>
              </w:rPr>
              <w:t>99.01</w:t>
            </w:r>
          </w:p>
        </w:tc>
        <w:tc>
          <w:tcPr>
            <w:tcW w:w="9540" w:type="dxa"/>
            <w:vAlign w:val="bottom"/>
            <w:tcBorders>
              <w:bottom w:val="single" w:sz="8" w:color="0000FF"/>
            </w:tcBorders>
            <w:gridSpan w:val="2"/>
          </w:tcPr>
          <w:p>
            <w:pPr>
              <w:spacing w:after="0"/>
              <w:rPr>
                <w:rFonts w:ascii="Times New Roman" w:cs="Times New Roman" w:eastAsia="Times New Roman" w:hAnsi="Times New Roman"/>
                <w:sz w:val="20"/>
                <w:szCs w:val="20"/>
                <w:color w:val="0000FF"/>
                <w:w w:val="98"/>
              </w:rPr>
            </w:pPr>
            <w:hyperlink w:anchor="page4">
              <w:r>
                <w:rPr>
                  <w:rFonts w:ascii="Times New Roman" w:cs="Times New Roman" w:eastAsia="Times New Roman" w:hAnsi="Times New Roman"/>
                  <w:sz w:val="20"/>
                  <w:szCs w:val="20"/>
                  <w:color w:val="0000FF"/>
                  <w:w w:val="98"/>
                </w:rPr>
                <w:t>Press release issued by AnaptysBio, Inc. regarding its financial results for the three and six months ended June 30, 2019,</w:t>
              </w:r>
            </w:hyperlink>
          </w:p>
        </w:tc>
      </w:tr>
      <w:tr>
        <w:trPr>
          <w:trHeight w:val="210"/>
        </w:trPr>
        <w:tc>
          <w:tcPr>
            <w:tcW w:w="1380" w:type="dxa"/>
            <w:vAlign w:val="bottom"/>
          </w:tcPr>
          <w:p>
            <w:pPr>
              <w:spacing w:after="0"/>
              <w:rPr>
                <w:sz w:val="18"/>
                <w:szCs w:val="18"/>
                <w:color w:val="auto"/>
              </w:rPr>
            </w:pPr>
          </w:p>
        </w:tc>
        <w:tc>
          <w:tcPr>
            <w:tcW w:w="174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7"/>
              </w:rPr>
            </w:pPr>
            <w:hyperlink w:anchor="page4">
              <w:r>
                <w:rPr>
                  <w:rFonts w:ascii="Times New Roman" w:cs="Times New Roman" w:eastAsia="Times New Roman" w:hAnsi="Times New Roman"/>
                  <w:sz w:val="20"/>
                  <w:szCs w:val="20"/>
                  <w:color w:val="0000FF"/>
                  <w:w w:val="97"/>
                </w:rPr>
                <w:t>dated August 8, 2019.</w:t>
              </w:r>
            </w:hyperlink>
          </w:p>
        </w:tc>
        <w:tc>
          <w:tcPr>
            <w:tcW w:w="7800" w:type="dxa"/>
            <w:vAlign w:val="bottom"/>
          </w:tcPr>
          <w:p>
            <w:pPr>
              <w:spacing w:after="0"/>
              <w:rPr>
                <w:sz w:val="18"/>
                <w:szCs w:val="18"/>
                <w:color w:val="auto"/>
              </w:rPr>
            </w:pPr>
          </w:p>
        </w:tc>
      </w:tr>
    </w:tbl>
    <w:p>
      <w:pPr>
        <w:sectPr>
          <w:pgSz w:w="11900" w:h="16838" w:orient="portrait"/>
          <w:cols w:equalWidth="0" w:num="1">
            <w:col w:w="11380"/>
          </w:cols>
          <w:pgMar w:left="240" w:top="437" w:right="27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480" w:val="left"/>
          <w:tab w:leader="none" w:pos="2960" w:val="left"/>
        </w:tabs>
        <w:rPr>
          <w:sz w:val="20"/>
          <w:szCs w:val="20"/>
          <w:color w:val="auto"/>
        </w:rPr>
      </w:pPr>
      <w:r>
        <w:rPr>
          <w:rFonts w:ascii="Times New Roman" w:cs="Times New Roman" w:eastAsia="Times New Roman" w:hAnsi="Times New Roman"/>
          <w:sz w:val="20"/>
          <w:szCs w:val="20"/>
          <w:color w:val="auto"/>
        </w:rPr>
        <w:t>Date: August 8, 2019</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-10795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300"/>
          </w:cols>
          <w:pgMar w:left="240" w:top="43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AnaptysBio Announces Second Quarter 2019 Financial Results and</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Provides Pipeline Updates</w:t>
      </w: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Multiple Top-line Phase 2 Clinical Efficacy Readouts from Wholly-owned Pipeline Anticipated in 2019</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Etokimab Phase 2b Eosinophilic Asthma Trial Initiation Anticipated in 4Q19</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 Filing for Company’s Third Wholly-Owned Program, ANB030, an anti-PD-1 Agonist, Expected in 4Q19</w:t>
      </w:r>
    </w:p>
    <w:p>
      <w:pPr>
        <w:spacing w:after="0" w:line="107" w:lineRule="exact"/>
        <w:rPr>
          <w:rFonts w:ascii="Times New Roman" w:cs="Times New Roman" w:eastAsia="Times New Roman" w:hAnsi="Times New Roman"/>
          <w:sz w:val="18"/>
          <w:szCs w:val="18"/>
          <w:color w:val="auto"/>
        </w:rPr>
      </w:pPr>
    </w:p>
    <w:p>
      <w:pPr>
        <w:ind w:left="340" w:hanging="332"/>
        <w:spacing w:after="0" w:line="26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Recognized $5.0 million milestone for advancement of dostarlimab, an anti-PD-1 antagonist antibody partnered with GSK, into Phase 3 for a second indication</w:t>
      </w:r>
    </w:p>
    <w:p>
      <w:pPr>
        <w:spacing w:after="0" w:line="156"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SAN DIEGO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Aug. 8, 2019 </w:t>
      </w:r>
      <w:r>
        <w:rPr>
          <w:rFonts w:ascii="Times New Roman" w:cs="Times New Roman" w:eastAsia="Times New Roman" w:hAnsi="Times New Roman"/>
          <w:sz w:val="20"/>
          <w:szCs w:val="20"/>
          <w:color w:val="auto"/>
        </w:rPr>
        <w:t>- AnaptysBio, Inc. (Nasdaq: ANAB), a clinical-stage biotechnology company developing first-in-class antibody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candidates focused on unmet medical needs in inflammation, today reported operating results for the second quarter ended June 30, 2019 and provided pipeline updates.</w:t>
      </w:r>
    </w:p>
    <w:p>
      <w:pPr>
        <w:spacing w:after="0" w:line="17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the first half of 2019, we’ve made significant progress across our entire clinical and preclinical pipeline toward achieving our mission of bringing novel treatments to patients with severe inflammatory diseases,” said Hamza Suria, president and chief executive officer of AnapytsBio. “With multiple data readouts from our etokimab and ANB019 clinical trials, and an IND planned for ANB030, the remainder of 2019 is set to be an important period for AnaptysBio.”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Etokimab (ANB020 Anti-IL-33) Program</w:t>
      </w:r>
    </w:p>
    <w:p>
      <w:pPr>
        <w:spacing w:after="0" w:line="112" w:lineRule="exact"/>
        <w:rPr>
          <w:sz w:val="20"/>
          <w:szCs w:val="20"/>
          <w:color w:val="auto"/>
        </w:rPr>
      </w:pPr>
    </w:p>
    <w:p>
      <w:pPr>
        <w:ind w:left="660" w:right="60" w:hanging="328"/>
        <w:spacing w:after="0" w:line="2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June 2019, AnaptysBio presented full data from its Phase 2a proof-of-concept clinical trial of etokimab in adult patients with severe eosinophilic asthma at the 2019 European Academy of Allergy and Clinical Immunology (EAACI) Congress. Data showed that a single dose of etokimab resulted in rapid and sustained lung function improvement as measured using Forced Expiratory Volume in One Second, or FEV1, patient reported outcomes associated with asthma symptoms, as measured using the Asthma Control Questionnaire 5, and biomarker levels as measured using blood eosinophils. The Company believes these data support continued development of etokimab in eosinophilic asthma and plans to initiate a multi-dose Phase 2b randomized, double-blinded, placebo-controlled trial in 300-400 eosinophilic asthma patients in the fourth quarter of 2019.</w:t>
      </w:r>
    </w:p>
    <w:p>
      <w:pPr>
        <w:spacing w:after="0" w:line="7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conducting its ATLAS trial, a Phase 2b randomized, double-blinded, placebo-controlled, multi-dose study</w:t>
      </w:r>
    </w:p>
    <w:p>
      <w:pPr>
        <w:spacing w:after="0" w:line="21" w:lineRule="exact"/>
        <w:rPr>
          <w:rFonts w:ascii="Times New Roman" w:cs="Times New Roman" w:eastAsia="Times New Roman" w:hAnsi="Times New Roman"/>
          <w:sz w:val="20"/>
          <w:szCs w:val="20"/>
          <w:color w:val="auto"/>
        </w:rPr>
      </w:pPr>
    </w:p>
    <w:p>
      <w:pPr>
        <w:ind w:left="660"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approximately 300 adult patients with moderate-to-severe atopic dermatitis. The study is designed to assess different dose levels and dosing frequencies of subcutaneously-administered etokimab, with top-line data expected in the fourth quarter of 2019.</w:t>
      </w:r>
    </w:p>
    <w:p>
      <w:pPr>
        <w:spacing w:after="0" w:line="73" w:lineRule="exact"/>
        <w:rPr>
          <w:rFonts w:ascii="Times New Roman" w:cs="Times New Roman" w:eastAsia="Times New Roman" w:hAnsi="Times New Roman"/>
          <w:sz w:val="20"/>
          <w:szCs w:val="20"/>
          <w:color w:val="auto"/>
        </w:rPr>
      </w:pPr>
    </w:p>
    <w:p>
      <w:pPr>
        <w:ind w:left="660" w:right="140" w:hanging="328"/>
        <w:spacing w:after="0" w:line="24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AnaptysBio is conducting a randomized, placebo-controlled Phase 2 trial in approximately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The Company anticipates interim top-line data from the ECLIPSE trial in the fourth quarter of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ANB019 (Anti-IL-36 Receptor) Program</w:t>
      </w:r>
    </w:p>
    <w:p>
      <w:pPr>
        <w:spacing w:after="0" w:line="112" w:lineRule="exact"/>
        <w:rPr>
          <w:sz w:val="20"/>
          <w:szCs w:val="20"/>
          <w:color w:val="auto"/>
        </w:rPr>
      </w:pPr>
    </w:p>
    <w:p>
      <w:pPr>
        <w:ind w:left="660" w:right="120" w:hanging="328"/>
        <w:spacing w:after="0" w:line="26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conducting a single arm, open-label Phase 2 trial of ANB019 in up to 10 patients with generalized pustular psoriasis, or GPP, also known as the GALLOP trial, with interim top-line data expected in mid-2019.</w:t>
      </w:r>
    </w:p>
    <w:p>
      <w:pPr>
        <w:spacing w:after="0" w:line="51" w:lineRule="exact"/>
        <w:rPr>
          <w:rFonts w:ascii="Times New Roman" w:cs="Times New Roman" w:eastAsia="Times New Roman" w:hAnsi="Times New Roman"/>
          <w:sz w:val="18"/>
          <w:szCs w:val="18"/>
          <w:color w:val="auto"/>
        </w:rPr>
      </w:pPr>
    </w:p>
    <w:p>
      <w:pPr>
        <w:ind w:left="660" w:right="100" w:hanging="328"/>
        <w:spacing w:after="0" w:line="269"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conducting a randomized, placebo-controlled, multi-dose Phase 2 trial in 50 patients with palmoplantar pustulosis, or PPP, also known as the POPLAR trial, with top-line data anticipated in the first half of 2020.</w:t>
      </w:r>
    </w:p>
    <w:p>
      <w:pPr>
        <w:sectPr>
          <w:pgSz w:w="11900" w:h="16838" w:orient="portrait"/>
          <w:cols w:equalWidth="0" w:num="1">
            <w:col w:w="11380"/>
          </w:cols>
          <w:pgMar w:left="240" w:top="637"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i w:val="1"/>
          <w:iCs w:val="1"/>
          <w:u w:val="single" w:color="auto"/>
          <w:color w:val="auto"/>
        </w:rPr>
        <w:t>ANB030 (Anti-PD-1 Agonist) Program</w:t>
      </w:r>
    </w:p>
    <w:p>
      <w:pPr>
        <w:spacing w:after="0" w:line="112" w:lineRule="exact"/>
        <w:rPr>
          <w:sz w:val="20"/>
          <w:szCs w:val="20"/>
          <w:color w:val="auto"/>
        </w:rPr>
      </w:pPr>
    </w:p>
    <w:p>
      <w:pPr>
        <w:ind w:left="660" w:hanging="328"/>
        <w:spacing w:after="0" w:line="24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ANB030 is a wholly-owned antibody that binds PD-1 in an agonistic manner, leading to reduced T cell activity and anti-inflammatory effects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Genetic mutations in the PD-1 pathway are associated with increased susceptibility to various inflammatory conditions and we believe ANB030 has the potential to suppress inflammatory diseases by restoring insufficient PD-1-mediated negative signaling on activated T cells. The Company plans to focus future clinical development of ANB030 on certain autoimmune diseases where PD-1 checkpoint receptor function may be under-represented and anticipates filing an Investigational New Drug Application (IND) in the fourth quarter of 2019. Preclinical data from the ANB030 was presented in June at the 2019 FOCIS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Second Quarter Financial Results</w:t>
      </w:r>
    </w:p>
    <w:p>
      <w:pPr>
        <w:spacing w:after="0" w:line="112" w:lineRule="exact"/>
        <w:rPr>
          <w:sz w:val="20"/>
          <w:szCs w:val="20"/>
          <w:color w:val="auto"/>
        </w:rPr>
      </w:pPr>
    </w:p>
    <w:p>
      <w:pPr>
        <w:ind w:left="660" w:right="420" w:hanging="328"/>
        <w:spacing w:after="0" w:line="269"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and investments totaled $467.9 million as of June 30, 2019 compared to $500.2 million as of December 31, 2018, for a decrease of $32.3 million. The decrease relates primarily to cash used for operating activities.</w:t>
      </w:r>
    </w:p>
    <w:p>
      <w:pPr>
        <w:spacing w:after="0" w:line="51" w:lineRule="exact"/>
        <w:rPr>
          <w:rFonts w:ascii="Times New Roman" w:cs="Times New Roman" w:eastAsia="Times New Roman" w:hAnsi="Times New Roman"/>
          <w:sz w:val="20"/>
          <w:szCs w:val="20"/>
          <w:color w:val="auto"/>
        </w:rPr>
      </w:pPr>
    </w:p>
    <w:p>
      <w:pPr>
        <w:ind w:left="660" w:right="100" w:hanging="328"/>
        <w:spacing w:after="0" w:line="254"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 revenue was $5.0 million for the three and six months ended June 30, 2019, which related to a milestone for initiation of a Phase 3 trial in a second indication for dostarlimab, the anti-PD-1 antagonist antibody partnered with TESARO, a GlaxoSmithKline (GSK) company, compared to no revenue for the three and six months ended June 30, 2018.</w:t>
      </w:r>
    </w:p>
    <w:p>
      <w:pPr>
        <w:spacing w:after="0" w:line="66" w:lineRule="exact"/>
        <w:rPr>
          <w:rFonts w:ascii="Times New Roman" w:cs="Times New Roman" w:eastAsia="Times New Roman" w:hAnsi="Times New Roman"/>
          <w:sz w:val="20"/>
          <w:szCs w:val="20"/>
          <w:color w:val="auto"/>
        </w:rPr>
      </w:pPr>
    </w:p>
    <w:p>
      <w:pPr>
        <w:ind w:left="660" w:right="40" w:hanging="328"/>
        <w:spacing w:after="0" w:line="249"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$27.4 million and $48.0 million for the three and six months ended June 30, 2019, compared to $10.6 million and $22.4 million for the three and six months ended June 30, 2018. The increase was due primarily to continued advancement of the Company’s etokimab and ANB019 clinical programs and additional personnel-related expenses, including share-based compensation.</w:t>
      </w:r>
    </w:p>
    <w:p>
      <w:pPr>
        <w:spacing w:after="0" w:line="71"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 and administrative expenses were $4.3 million and $8.4 million for the three and six months ended June 30, 2019, compared to $3.8 million and $7.8 million for the three and six months ended June 30, 2018. The increase was due primarily to additional personnel-related expenses, including share-based compensation.</w:t>
      </w:r>
    </w:p>
    <w:p>
      <w:pPr>
        <w:spacing w:after="0" w:line="66" w:lineRule="exact"/>
        <w:rPr>
          <w:rFonts w:ascii="Times New Roman" w:cs="Times New Roman" w:eastAsia="Times New Roman" w:hAnsi="Times New Roman"/>
          <w:sz w:val="20"/>
          <w:szCs w:val="20"/>
          <w:b w:val="1"/>
          <w:bCs w:val="1"/>
          <w:color w:val="auto"/>
        </w:rPr>
      </w:pPr>
    </w:p>
    <w:p>
      <w:pPr>
        <w:jc w:val="both"/>
        <w:ind w:left="660" w:right="380" w:hanging="328"/>
        <w:spacing w:after="0" w:line="254"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$24.0 million and $46.0 million for the three and six months ended June 30, 2019, or a net loss per share of $0.89 and $1.70, compared to a net loss of $13.6 million and $28.7 million for the three and six months ended June 30, 2018, or a net loss per share of $0.57 and $1.20.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Financial Guidance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expects that its cash, cash equivalents and investments will fund its current operating plan at least through the end of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Etokimab</w:t>
      </w:r>
    </w:p>
    <w:p>
      <w:pPr>
        <w:spacing w:after="0" w:line="112"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Etokimab, previously referred to as ANB020, is an antibody that potently binds and inhibits the activity of interleukin-33, or IL-33, a pro-inflammatory cytokine that multiple studies have indicated is a central mediator of atopic diseases, which AnaptysBio believes is broadly applicable to the treatment of atopic inflammatory disorders, such as atopic dermatitis, eosinophilic asthma, chronic rhinosinusitis with nasal polyps, or CRSwNP, and potentially other allergic conditions. Following completion of a healthy volunteer Phase 1 trial of</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etokimab, AnaptysBio continued clinical development of etokimab into a Phase 2a trial for moderate-to-severe adult atopic dermatitis and a placebo-controlled Phase 2a trial in severe adult eosinophilic asthma patients. AnaptysBio is conducting its ATLAS trial, a randomized, double-blinded, placebo-controlled multi-dose Phase 2b clinical trial of etokimab in approximately 300 moderate-to-severe adult atopic dermatitis patients where top-line data is anticipated in the fourth quarter of 2019. The Company is conducting its ECLIPSE trial, a randomized, double-blinded, placebo-controlled Phase 2 trial of etokimab in approximately 100 adult patients with CRSwNP with interim top-line data anticipated in the fourth quarter of 2019. AnaptysBio also plans to initiate a randomized, double-blinded, placebo-controlled, multi-dose Phase 2b trial of etokimab in patients with eosinophilic asthma in the fourth quarter of 2019.</w:t>
      </w:r>
    </w:p>
    <w:p>
      <w:pPr>
        <w:sectPr>
          <w:pgSz w:w="11900" w:h="16838" w:orient="portrait"/>
          <w:cols w:equalWidth="0" w:num="1">
            <w:col w:w="11420"/>
          </w:cols>
          <w:pgMar w:left="240" w:top="68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About ANB019</w:t>
      </w:r>
    </w:p>
    <w:p>
      <w:pPr>
        <w:spacing w:after="0" w:line="11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ANB019 is an antibody that inhibits the function of the interleukin-36-receptor, or IL-36R, which AnaptysBio plans to initially develop as a potential first-in-class therapy for patients suffering from generalized pustular psoriasis, or GPP, and palmoplantar pustulosis, or PPP. AnaptysBio has previously presented data from a Phase 1 clinical trial, which demonstrated favorable safety, pharmacokinetics and pharmacodynamic properties that supported advancement of ANB019 into Phase 2 studies. AnaptysBio is conducting its GALLOP trial, a Phase 2 study of ANB019 in GPP where interim top-line data is anticipated in mid-2019, and its POPLAR trial, a Phase 2 study in PPP where top-line data is anticipated in the first half of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AnaptysBio</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and its PD-1 agonist program, ANB030, and other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 GSK company,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2b clinical trial in moderate-to-severe adult atopic dermatitis patients, etokimab’s Phase 2 clinical trial in adult patients with chronic rhinosinusitis with nasal polys and ANB019’s Phase 2 clinical trials in GPP and PPP, the timing of and our ability to launch a Phase 2b clinical trial of etokimab in eosinophilic asthma patients, and the timing of an IND filing for ANB030, a new wholly-owned anti-inflammatory antibody program.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Dominic Piscitelli</w:t>
      </w:r>
    </w:p>
    <w:p>
      <w:pPr>
        <w:spacing w:after="0"/>
        <w:rPr>
          <w:sz w:val="20"/>
          <w:szCs w:val="20"/>
          <w:color w:val="auto"/>
        </w:rPr>
      </w:pPr>
      <w:r>
        <w:rPr>
          <w:rFonts w:ascii="Times New Roman" w:cs="Times New Roman" w:eastAsia="Times New Roman" w:hAnsi="Times New Roman"/>
          <w:sz w:val="20"/>
          <w:szCs w:val="20"/>
          <w:color w:val="auto"/>
        </w:rPr>
        <w:t>AnaptysBio, Inc.</w:t>
      </w:r>
    </w:p>
    <w:p>
      <w:pPr>
        <w:spacing w:after="0"/>
        <w:rPr>
          <w:sz w:val="20"/>
          <w:szCs w:val="20"/>
          <w:color w:val="auto"/>
        </w:rPr>
      </w:pPr>
      <w:r>
        <w:rPr>
          <w:rFonts w:ascii="Times New Roman" w:cs="Times New Roman" w:eastAsia="Times New Roman" w:hAnsi="Times New Roman"/>
          <w:sz w:val="20"/>
          <w:szCs w:val="20"/>
          <w:color w:val="auto"/>
        </w:rPr>
        <w:t>858.362.6348</w:t>
      </w:r>
    </w:p>
    <w:p>
      <w:pPr>
        <w:spacing w:after="0"/>
        <w:rPr>
          <w:sz w:val="20"/>
          <w:szCs w:val="20"/>
          <w:color w:val="auto"/>
        </w:rPr>
      </w:pPr>
      <w:r>
        <w:rPr>
          <w:rFonts w:ascii="Times New Roman" w:cs="Times New Roman" w:eastAsia="Times New Roman" w:hAnsi="Times New Roman"/>
          <w:sz w:val="20"/>
          <w:szCs w:val="20"/>
          <w:u w:val="single" w:color="auto"/>
          <w:color w:val="0563C1"/>
        </w:rPr>
        <w:t>dpiscitelli@anaptysbio.com</w:t>
      </w:r>
    </w:p>
    <w:p>
      <w:pPr>
        <w:sectPr>
          <w:pgSz w:w="11900" w:h="16838" w:orient="portrait"/>
          <w:cols w:equalWidth="0" w:num="1">
            <w:col w:w="11420"/>
          </w:cols>
          <w:pgMar w:left="240" w:top="68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1"/>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FF0FC"/>
            </w:tcBorders>
            <w:shd w:val="clear" w:color="auto" w:fill="CFF0FC"/>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146,552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113,596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Receivable from collaborative partners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313,486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6,960</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430,988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434,216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45,707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480,149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14,102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8,761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7,574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30,623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21,836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June 30, 2019 and</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$0.001 par value, 500,000 shares authorized, 27,045 shares and 26,922 shares issued and outstanding at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30, 2019 and December 31, 2018, respectively</w:t>
            </w:r>
          </w:p>
        </w:tc>
        <w:tc>
          <w:tcPr>
            <w:tcW w:w="24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640,550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633,251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(192,730)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(146,690)</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448,421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486,365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480,149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380"/>
          </w:cols>
          <w:pgMar w:left="28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6"/>
          <w:szCs w:val="16"/>
          <w:color w:val="auto"/>
        </w:rPr>
        <w:t>Collaboration revenue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-124460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54610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other income (expense), net</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341312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312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100" w:lineRule="exact"/>
        <w:rPr>
          <w:sz w:val="20"/>
          <w:szCs w:val="20"/>
          <w:color w:val="auto"/>
        </w:rPr>
      </w:pPr>
    </w:p>
    <w:p>
      <w:pPr>
        <w:ind w:left="480" w:right="160"/>
        <w:spacing w:after="0" w:line="298" w:lineRule="auto"/>
        <w:rPr>
          <w:sz w:val="20"/>
          <w:szCs w:val="20"/>
          <w:color w:val="auto"/>
        </w:rPr>
      </w:pPr>
      <w:r>
        <w:rPr>
          <w:rFonts w:ascii="Times New Roman" w:cs="Times New Roman" w:eastAsia="Times New Roman" w:hAnsi="Times New Roman"/>
          <w:sz w:val="16"/>
          <w:szCs w:val="16"/>
          <w:color w:val="auto"/>
        </w:rPr>
        <w:t>Unrealized income (loss) on available for sale securities, net of tax of $99, $0, $214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60"/>
        <w:spacing w:after="0"/>
        <w:tabs>
          <w:tab w:leader="none" w:pos="5360" w:val="left"/>
        </w:tabs>
        <w:rPr>
          <w:sz w:val="20"/>
          <w:szCs w:val="20"/>
          <w:color w:val="auto"/>
        </w:rPr>
      </w:pPr>
      <w:r>
        <w:rPr>
          <w:rFonts w:ascii="Times New Roman" w:cs="Times New Roman" w:eastAsia="Times New Roman" w:hAnsi="Times New Roman"/>
          <w:sz w:val="16"/>
          <w:szCs w:val="16"/>
          <w:color w:val="auto"/>
        </w:rPr>
        <w:t>Other comprehensive income (loss), net of tax</w:t>
      </w:r>
      <w:r>
        <w:rPr>
          <w:sz w:val="20"/>
          <w:szCs w:val="20"/>
          <w:color w:val="auto"/>
        </w:rPr>
        <w:tab/>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34131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3125" cy="171450"/>
                    </a:xfrm>
                    <a:prstGeom prst="rect">
                      <a:avLst/>
                    </a:prstGeom>
                    <a:noFill/>
                  </pic:spPr>
                </pic:pic>
              </a:graphicData>
            </a:graphic>
          </wp:anchor>
        </w:drawing>
      </w:r>
    </w:p>
    <w:p>
      <w:pPr>
        <w:spacing w:after="0" w:line="93" w:lineRule="exact"/>
        <w:rPr>
          <w:sz w:val="20"/>
          <w:szCs w:val="20"/>
          <w:color w:val="auto"/>
        </w:rPr>
      </w:pPr>
    </w:p>
    <w:p>
      <w:pPr>
        <w:ind w:left="720"/>
        <w:spacing w:after="0"/>
        <w:tabs>
          <w:tab w:leader="none" w:pos="5360" w:val="left"/>
        </w:tabs>
        <w:rPr>
          <w:sz w:val="20"/>
          <w:szCs w:val="20"/>
          <w:color w:val="auto"/>
        </w:rPr>
      </w:pPr>
      <w:r>
        <w:rPr>
          <w:rFonts w:ascii="Times New Roman" w:cs="Times New Roman" w:eastAsia="Times New Roman" w:hAnsi="Times New Roman"/>
          <w:sz w:val="16"/>
          <w:szCs w:val="16"/>
          <w:color w:val="auto"/>
        </w:rPr>
        <w:t>Basic and diluted</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Weighted-average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341312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3125" cy="171450"/>
                    </a:xfrm>
                    <a:prstGeom prst="rect">
                      <a:avLst/>
                    </a:prstGeom>
                    <a:noFill/>
                  </pic:spPr>
                </pic:pic>
              </a:graphicData>
            </a:graphic>
          </wp:anchor>
        </w:drawing>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Basic and diluted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170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1060" w:type="dxa"/>
            <w:vAlign w:val="bottom"/>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5,000</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27,350</w:t>
            </w:r>
          </w:p>
        </w:tc>
        <w:tc>
          <w:tcPr>
            <w:tcW w:w="64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47,981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22,393</w:t>
            </w:r>
          </w:p>
        </w:tc>
      </w:tr>
      <w:tr>
        <w:trPr>
          <w:trHeight w:val="270"/>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4,307</w:t>
            </w:r>
          </w:p>
        </w:tc>
        <w:tc>
          <w:tcPr>
            <w:tcW w:w="6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7,779</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31,657</w:t>
            </w:r>
          </w:p>
        </w:tc>
        <w:tc>
          <w:tcPr>
            <w:tcW w:w="6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30,172</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(26,657)</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(30,172)</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(281)</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70"/>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2,957</w:t>
            </w:r>
          </w:p>
        </w:tc>
        <w:tc>
          <w:tcPr>
            <w:tcW w:w="6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2,482</w:t>
            </w:r>
          </w:p>
        </w:tc>
      </w:tr>
      <w:tr>
        <w:trPr>
          <w:trHeight w:val="270"/>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2,635</w:t>
            </w:r>
          </w:p>
        </w:tc>
        <w:tc>
          <w:tcPr>
            <w:tcW w:w="6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1,468</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(24,022)</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(28,704)</w:t>
            </w:r>
          </w:p>
        </w:tc>
      </w:tr>
      <w:tr>
        <w:trPr>
          <w:trHeight w:val="270"/>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60</w:t>
            </w:r>
          </w:p>
        </w:tc>
        <w:tc>
          <w:tcPr>
            <w:tcW w:w="64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(23,962)</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(28,704)</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90"/>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370</w:t>
            </w:r>
          </w:p>
        </w:tc>
        <w:tc>
          <w:tcPr>
            <w:tcW w:w="64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370</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74"/>
        </w:trPr>
        <w:tc>
          <w:tcPr>
            <w:tcW w:w="10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(0.89)</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74"/>
        </w:trPr>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27,026</w:t>
            </w:r>
          </w:p>
        </w:tc>
        <w:tc>
          <w:tcPr>
            <w:tcW w:w="64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23,932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27,004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23,867</w:t>
            </w:r>
          </w:p>
        </w:tc>
      </w:tr>
      <w:tr>
        <w:trPr>
          <w:trHeight w:val="33"/>
        </w:trPr>
        <w:tc>
          <w:tcPr>
            <w:tcW w:w="1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-1903095</wp:posOffset>
            </wp:positionV>
            <wp:extent cx="3833495" cy="1903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190373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-2940685</wp:posOffset>
            </wp:positionV>
            <wp:extent cx="1029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-3635375</wp:posOffset>
            </wp:positionV>
            <wp:extent cx="1029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-3987165</wp:posOffset>
            </wp:positionV>
            <wp:extent cx="2118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sectPr>
      <w:pgSz w:w="11900" w:h="16838" w:orient="portrait"/>
      <w:cols w:equalWidth="0" w:num="2">
        <w:col w:w="5460" w:space="560"/>
        <w:col w:w="5360"/>
      </w:cols>
      <w:pgMar w:left="28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2019-12-28T07:51:58Z</dcterms:created>
  <dcterms:modified xsi:type="dcterms:W3CDTF">2019-12-28T07:51:58Z</dcterms:modified>
</cp:coreProperties>
</file>