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ANAPTYSBIO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#032724106</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#032724106</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 ]</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30,000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2,192,030</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2,192,030</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10.775%</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#032724106</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2,192,030</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2,192,030</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10.775%</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ANAPTYSBIO INC</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10421 PACIFIC CENTER COURT</w:t>
            </w:r>
          </w:p>
        </w:tc>
        <w:tc>
          <w:tcPr>
            <w:tcW w:w="2260" w:type="dxa"/>
            <w:vAlign w:val="bottom"/>
          </w:tcPr>
          <w:p>
            <w:pPr>
              <w:spacing w:after="0"/>
              <w:rPr>
                <w:sz w:val="24"/>
                <w:szCs w:val="24"/>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SUITE 200</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SAN DIEGO, CA 92121</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USA</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FMR LLC</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8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Not applicable</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COMMON STOCK</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032724106</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is a parent holding company in accordance with</w:t>
            </w:r>
          </w:p>
        </w:tc>
      </w:tr>
      <w:tr>
        <w:trPr>
          <w:trHeight w:val="203"/>
        </w:trPr>
        <w:tc>
          <w:tcPr>
            <w:tcW w:w="67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Section 240.13d-1(b)(1)(ii)(G).   (Note:  See Exhibit A).</w:t>
            </w: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420" w:type="dxa"/>
            <w:vAlign w:val="bottom"/>
            <w:gridSpan w:val="2"/>
          </w:tcPr>
          <w:p>
            <w:pPr>
              <w:spacing w:after="0"/>
              <w:rPr>
                <w:sz w:val="20"/>
                <w:szCs w:val="20"/>
                <w:color w:val="auto"/>
              </w:rPr>
            </w:pPr>
            <w:r>
              <w:rPr>
                <w:rFonts w:ascii="Courier New" w:cs="Courier New" w:eastAsia="Courier New" w:hAnsi="Courier New"/>
                <w:sz w:val="18"/>
                <w:szCs w:val="18"/>
                <w:color w:val="auto"/>
              </w:rPr>
              <w:t>Amount Beneficially Owned:</w:t>
            </w:r>
          </w:p>
        </w:tc>
        <w:tc>
          <w:tcPr>
            <w:tcW w:w="226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2,192,030</w:t>
            </w: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Percent of Class: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10.775%</w:t>
            </w: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(c)</w:t>
            </w:r>
          </w:p>
        </w:tc>
        <w:tc>
          <w:tcPr>
            <w:tcW w:w="5680" w:type="dxa"/>
            <w:vAlign w:val="bottom"/>
            <w:gridSpan w:val="3"/>
          </w:tcPr>
          <w:p>
            <w:pPr>
              <w:spacing w:after="0"/>
              <w:rPr>
                <w:sz w:val="20"/>
                <w:szCs w:val="20"/>
                <w:color w:val="auto"/>
              </w:rPr>
            </w:pPr>
            <w:r>
              <w:rPr>
                <w:rFonts w:ascii="Courier New" w:cs="Courier New" w:eastAsia="Courier New" w:hAnsi="Courier New"/>
                <w:sz w:val="18"/>
                <w:szCs w:val="18"/>
                <w:color w:val="auto"/>
              </w:rPr>
              <w:t>Number of shares as to which such person has:</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sole power to</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vote or to</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direct the vote:</w:t>
            </w:r>
          </w:p>
        </w:tc>
        <w:tc>
          <w:tcPr>
            <w:tcW w:w="42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30,000</w:t>
            </w: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50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2,192,030</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33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Not applicable.</w:t>
            </w:r>
          </w:p>
        </w:tc>
        <w:tc>
          <w:tcPr>
            <w:tcW w:w="1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3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ANAPTYSBIO INC. No one other person's interest in the COMMON STOCK of ANAPTYSBIO INC is more than five percent of the total outstanding COMMON STOCK.</w:t>
      </w:r>
    </w:p>
    <w:p>
      <w:pPr>
        <w:spacing w:after="0" w:line="209"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October 6, 2017</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tabs>
          <w:tab w:leader="none" w:pos="840" w:val="left"/>
        </w:tabs>
        <w:rPr>
          <w:sz w:val="20"/>
          <w:szCs w:val="20"/>
          <w:color w:val="auto"/>
        </w:rPr>
      </w:pPr>
      <w:r>
        <w:rPr>
          <w:rFonts w:ascii="Courier New" w:cs="Courier New" w:eastAsia="Courier New" w:hAnsi="Courier New"/>
          <w:sz w:val="18"/>
          <w:szCs w:val="18"/>
          <w:color w:val="auto"/>
        </w:rPr>
        <w:t>Entity</w:t>
        <w:tab/>
        <w:t>ITEM 3 Classification</w:t>
      </w:r>
    </w:p>
    <w:p>
      <w:pPr>
        <w:spacing w:after="0"/>
        <w:tabs>
          <w:tab w:leader="none" w:pos="1680" w:val="left"/>
        </w:tabs>
        <w:rPr>
          <w:sz w:val="20"/>
          <w:szCs w:val="20"/>
          <w:color w:val="auto"/>
        </w:rPr>
      </w:pPr>
      <w:r>
        <w:rPr>
          <w:rFonts w:ascii="Courier New" w:cs="Courier New" w:eastAsia="Courier New" w:hAnsi="Courier New"/>
          <w:sz w:val="18"/>
          <w:szCs w:val="18"/>
          <w:color w:val="auto"/>
        </w:rPr>
        <w:t>FIAM LLC</w:t>
      </w:r>
      <w:r>
        <w:rPr>
          <w:sz w:val="20"/>
          <w:szCs w:val="20"/>
          <w:color w:val="auto"/>
        </w:rPr>
        <w:tab/>
      </w:r>
      <w:r>
        <w:rPr>
          <w:rFonts w:ascii="Courier New" w:cs="Courier New" w:eastAsia="Courier New" w:hAnsi="Courier New"/>
          <w:sz w:val="16"/>
          <w:szCs w:val="16"/>
          <w:color w:val="auto"/>
        </w:rPr>
        <w:t>IA</w:t>
      </w:r>
    </w:p>
    <w:p>
      <w:pPr>
        <w:spacing w:after="0"/>
        <w:tabs>
          <w:tab w:leader="none" w:pos="1680" w:val="left"/>
        </w:tabs>
        <w:rPr>
          <w:sz w:val="20"/>
          <w:szCs w:val="20"/>
          <w:color w:val="auto"/>
        </w:rPr>
      </w:pPr>
      <w:r>
        <w:rPr>
          <w:rFonts w:ascii="Courier New" w:cs="Courier New" w:eastAsia="Courier New" w:hAnsi="Courier New"/>
          <w:sz w:val="18"/>
          <w:szCs w:val="18"/>
          <w:color w:val="auto"/>
        </w:rPr>
        <w:t>FMR CO., INC *</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09" w:lineRule="exact"/>
        <w:rPr>
          <w:sz w:val="20"/>
          <w:szCs w:val="20"/>
          <w:color w:val="auto"/>
        </w:rPr>
      </w:pPr>
    </w:p>
    <w:p>
      <w:pPr>
        <w:ind w:right="251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3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839" w:firstLine="1685"/>
        <w:spacing w:after="0" w:line="237" w:lineRule="auto"/>
        <w:rPr>
          <w:sz w:val="20"/>
          <w:szCs w:val="20"/>
          <w:color w:val="auto"/>
        </w:rPr>
      </w:pPr>
      <w:r>
        <w:rPr>
          <w:rFonts w:ascii="Courier New" w:cs="Courier New" w:eastAsia="Courier New" w:hAnsi="Courier New"/>
          <w:sz w:val="18"/>
          <w:szCs w:val="18"/>
          <w:color w:val="auto"/>
        </w:rPr>
        <w:t>The undersigned persons, on October 6, 2017, agree and consent to the joint filing on their behalf of this Schedule 13G in connection with their beneficial ownership of the COMMON STOCK of ANAPTYSBIO INC at September 29, 2017.</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December 16, 2015,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419" w:firstLine="8"/>
        <w:spacing w:after="0" w:line="290" w:lineRule="auto"/>
        <w:tabs>
          <w:tab w:leader="none" w:pos="21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power of attorney is incorporated herein by reference to Exhibit 24 to the Schedule 13G filed by FMR LLC on June 10, 2016, accession number:</w:t>
      </w:r>
    </w:p>
    <w:p>
      <w:pPr>
        <w:sectPr>
          <w:pgSz w:w="11900" w:h="16838" w:orient="portrait"/>
          <w:cols w:equalWidth="0" w:num="1">
            <w:col w:w="10219"/>
          </w:cols>
          <w:pgMar w:left="240" w:top="339"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0000315066-16-005935</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2019-12-07T03:55:51Z</dcterms:created>
  <dcterms:modified xsi:type="dcterms:W3CDTF">2019-12-07T03:55:51Z</dcterms:modified>
</cp:coreProperties>
</file>