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Date of Report: June 23, 2022</w:t>
      </w:r>
    </w:p>
    <w:p>
      <w:pPr>
        <w:spacing w:after="0" w:line="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2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auto"/>
        </w:rPr>
        <w:t>On June 23, 2022,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held its 2022 Annual Meeting of Stockholders and the following proposals were adopted:</w:t>
      </w:r>
    </w:p>
    <w:p>
      <w:pPr>
        <w:spacing w:after="0" w:line="183" w:lineRule="exact"/>
        <w:rPr>
          <w:sz w:val="20"/>
          <w:szCs w:val="20"/>
          <w:color w:val="auto"/>
        </w:rPr>
      </w:pPr>
    </w:p>
    <w:p>
      <w:pPr>
        <w:jc w:val="both"/>
        <w:ind w:left="660" w:hanging="328"/>
        <w:spacing w:after="0" w:line="260" w:lineRule="auto"/>
        <w:tabs>
          <w:tab w:leader="none" w:pos="649"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color w:val="auto"/>
        </w:rPr>
        <w:t>Election of three Class II directors, Laura J. Hamill, James Topper, M.D., Ph.D., and J. Anthony Ware, M.D., each to serve a three-year term, which will expire at the 2025 Annual Meeting of Stockholders or until such time as his or her respective successor have been duly elected and qualified or until such director’s earlier resignation or removal:</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Withheld /</w:t>
            </w:r>
          </w:p>
        </w:tc>
        <w:tc>
          <w:tcPr>
            <w:tcW w:w="2140" w:type="dxa"/>
            <w:vAlign w:val="bottom"/>
          </w:tcPr>
          <w:p>
            <w:pPr>
              <w:spacing w:after="0"/>
              <w:rPr>
                <w:sz w:val="17"/>
                <w:szCs w:val="17"/>
                <w:color w:val="auto"/>
              </w:rPr>
            </w:pPr>
          </w:p>
        </w:tc>
      </w:tr>
      <w:tr>
        <w:trPr>
          <w:trHeight w:val="238"/>
        </w:trPr>
        <w:tc>
          <w:tcPr>
            <w:tcW w:w="3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Nominees</w:t>
            </w:r>
          </w:p>
        </w:tc>
        <w:tc>
          <w:tcPr>
            <w:tcW w:w="22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64"/>
        </w:trPr>
        <w:tc>
          <w:tcPr>
            <w:tcW w:w="3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20"/>
                <w:szCs w:val="20"/>
                <w:color w:val="auto"/>
                <w:w w:val="97"/>
              </w:rPr>
              <w:t>Laura J. Hamill</w:t>
            </w:r>
          </w:p>
        </w:tc>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18,530,964</w:t>
            </w: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3,884,104</w:t>
            </w: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2,986,393</w:t>
            </w:r>
          </w:p>
        </w:tc>
      </w:tr>
      <w:tr>
        <w:trPr>
          <w:trHeight w:val="266"/>
        </w:trPr>
        <w:tc>
          <w:tcPr>
            <w:tcW w:w="33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7"/>
              </w:rPr>
              <w:t>James Topper, M.D., Ph.D.</w:t>
            </w:r>
          </w:p>
        </w:tc>
        <w:tc>
          <w:tcPr>
            <w:tcW w:w="2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18,338,960</w:t>
            </w:r>
          </w:p>
        </w:tc>
        <w:tc>
          <w:tcPr>
            <w:tcW w:w="12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4,076,108</w:t>
            </w:r>
          </w:p>
        </w:tc>
        <w:tc>
          <w:tcPr>
            <w:tcW w:w="12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2,986,393</w:t>
            </w:r>
          </w:p>
        </w:tc>
      </w:tr>
      <w:tr>
        <w:trPr>
          <w:trHeight w:val="274"/>
        </w:trPr>
        <w:tc>
          <w:tcPr>
            <w:tcW w:w="3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20"/>
                <w:szCs w:val="20"/>
                <w:color w:val="auto"/>
                <w:w w:val="98"/>
              </w:rPr>
              <w:t>J. Anthony Ware, M.D.</w:t>
            </w:r>
          </w:p>
        </w:tc>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18,397,904</w:t>
            </w: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4,017,164</w:t>
            </w:r>
          </w:p>
        </w:tc>
        <w:tc>
          <w:tcPr>
            <w:tcW w:w="12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2,986,393</w:t>
            </w:r>
          </w:p>
        </w:tc>
      </w:tr>
    </w:tbl>
    <w:p>
      <w:pPr>
        <w:spacing w:after="0" w:line="315" w:lineRule="exact"/>
        <w:rPr>
          <w:sz w:val="20"/>
          <w:szCs w:val="20"/>
          <w:color w:val="auto"/>
        </w:rPr>
      </w:pPr>
    </w:p>
    <w:p>
      <w:pPr>
        <w:ind w:left="660" w:hanging="328"/>
        <w:spacing w:after="0" w:line="283" w:lineRule="auto"/>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Ratification of the appointment of KPMG LLP as the Company’s independent registered public accounting firm for the fiscal year ending December 31, 2022:</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9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48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38"/>
        </w:trPr>
        <w:tc>
          <w:tcPr>
            <w:tcW w:w="290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Withheld/Abstaining</w:t>
            </w: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25,369,483</w:t>
            </w:r>
          </w:p>
        </w:tc>
        <w:tc>
          <w:tcPr>
            <w:tcW w:w="24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30,540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1,438</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29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Non-binding, advisory approval of compensation paid to the Company’s named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28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7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Withheld/Abstaining</w:t>
            </w:r>
          </w:p>
        </w:tc>
        <w:tc>
          <w:tcPr>
            <w:tcW w:w="2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21,241,128</w:t>
            </w: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1,166,695</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7,245</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2,986,393</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0"/>
        </w:trPr>
        <w:tc>
          <w:tcPr>
            <w:tcW w:w="6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June 24,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Operating Officer and General Counsel</w:t>
      </w:r>
    </w:p>
    <w:sectPr>
      <w:pgSz w:w="11900" w:h="16838" w:orient="portrait"/>
      <w:cols w:equalWidth="0" w:num="1">
        <w:col w:w="11220"/>
      </w:cols>
      <w:pgMar w:left="320" w:top="14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2022-06-24T15:10:04Z</dcterms:created>
  <dcterms:modified xsi:type="dcterms:W3CDTF">2022-06-24T15:10:04Z</dcterms:modified>
</cp:coreProperties>
</file>