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6"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ind w:left="840" w:hanging="805"/>
        <w:spacing w:after="0" w:line="215" w:lineRule="auto"/>
        <w:tabs>
          <w:tab w:leader="none" w:pos="8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ANNUAL REPORT PURSUANT TO SECTION 13 OR 15(d) OF THE SECURITIES EXCHANGE ACT OF 1934</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6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ind w:left="840" w:hanging="805"/>
        <w:spacing w:after="0" w:line="224" w:lineRule="auto"/>
        <w:tabs>
          <w:tab w:leader="none" w:pos="8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10" w:lineRule="exact"/>
        <w:rPr>
          <w:sz w:val="24"/>
          <w:szCs w:val="24"/>
          <w:color w:val="auto"/>
        </w:rPr>
      </w:pPr>
    </w:p>
    <w:tbl>
      <w:tblPr>
        <w:tblLayout w:type="fixed"/>
        <w:tblInd w:w="3900" w:type="dxa"/>
        <w:tblCellMar>
          <w:top w:w="0" w:type="dxa"/>
          <w:left w:w="0" w:type="dxa"/>
          <w:bottom w:w="0" w:type="dxa"/>
          <w:right w:w="0" w:type="dxa"/>
        </w:tblCellMar>
      </w:tblPr>
      <w:tr>
        <w:trPr>
          <w:trHeight w:val="161"/>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r>
      <w:tr>
        <w:trPr>
          <w:trHeight w:val="20"/>
        </w:trPr>
        <w:tc>
          <w:tcPr>
            <w:tcW w:w="2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18"/>
        </w:trPr>
        <w:tc>
          <w:tcPr>
            <w:tcW w:w="3020" w:type="dxa"/>
            <w:vAlign w:val="bottom"/>
            <w:gridSpan w:val="2"/>
          </w:tcPr>
          <w:p>
            <w:pPr>
              <w:jc w:val="center"/>
              <w:ind w:left="542"/>
              <w:spacing w:after="0"/>
              <w:rPr>
                <w:sz w:val="20"/>
                <w:szCs w:val="20"/>
                <w:color w:val="auto"/>
              </w:rPr>
            </w:pPr>
            <w:r>
              <w:rPr>
                <w:rFonts w:ascii="Arial" w:cs="Arial" w:eastAsia="Arial" w:hAnsi="Arial"/>
                <w:sz w:val="14"/>
                <w:szCs w:val="14"/>
                <w:b w:val="1"/>
                <w:bCs w:val="1"/>
                <w:color w:val="auto"/>
                <w:w w:val="93"/>
              </w:rPr>
              <w:t>Commission File Number: 001-37985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36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2"/>
              </w:rPr>
              <w:t>______________________________________</w:t>
            </w:r>
          </w:p>
        </w:tc>
      </w:tr>
    </w:tbl>
    <w:p>
      <w:pPr>
        <w:spacing w:after="0" w:line="1" w:lineRule="exact"/>
        <w:rPr>
          <w:sz w:val="24"/>
          <w:szCs w:val="24"/>
          <w:color w:val="auto"/>
        </w:rPr>
      </w:pPr>
    </w:p>
    <w:tbl>
      <w:tblPr>
        <w:tblLayout w:type="fixed"/>
        <w:tblInd w:w="1920" w:type="dxa"/>
        <w:tblCellMar>
          <w:top w:w="0" w:type="dxa"/>
          <w:left w:w="0" w:type="dxa"/>
          <w:bottom w:w="0" w:type="dxa"/>
          <w:right w:w="0" w:type="dxa"/>
        </w:tblCellMar>
      </w:tblPr>
      <w:tr>
        <w:trPr>
          <w:trHeight w:val="409"/>
        </w:trPr>
        <w:tc>
          <w:tcPr>
            <w:tcW w:w="1860" w:type="dxa"/>
            <w:vAlign w:val="bottom"/>
          </w:tcPr>
          <w:p>
            <w:pPr>
              <w:spacing w:after="0"/>
              <w:rPr>
                <w:sz w:val="24"/>
                <w:szCs w:val="24"/>
                <w:color w:val="auto"/>
              </w:rPr>
            </w:pPr>
          </w:p>
        </w:tc>
        <w:tc>
          <w:tcPr>
            <w:tcW w:w="5520" w:type="dxa"/>
            <w:vAlign w:val="bottom"/>
          </w:tcPr>
          <w:p>
            <w:pPr>
              <w:jc w:val="center"/>
              <w:ind w:right="1579"/>
              <w:spacing w:after="0" w:line="409" w:lineRule="exact"/>
              <w:rPr>
                <w:sz w:val="20"/>
                <w:szCs w:val="20"/>
                <w:color w:val="auto"/>
              </w:rPr>
            </w:pPr>
            <w:r>
              <w:rPr>
                <w:rFonts w:ascii="Arial" w:cs="Arial" w:eastAsia="Arial" w:hAnsi="Arial"/>
                <w:sz w:val="36"/>
                <w:szCs w:val="36"/>
                <w:b w:val="1"/>
                <w:bCs w:val="1"/>
                <w:color w:val="auto"/>
              </w:rPr>
              <w:t>ANAPTYSBIO, INC.</w:t>
            </w:r>
          </w:p>
        </w:tc>
      </w:tr>
      <w:tr>
        <w:trPr>
          <w:trHeight w:val="166"/>
        </w:trPr>
        <w:tc>
          <w:tcPr>
            <w:tcW w:w="1860" w:type="dxa"/>
            <w:vAlign w:val="bottom"/>
          </w:tcPr>
          <w:p>
            <w:pPr>
              <w:spacing w:after="0"/>
              <w:rPr>
                <w:sz w:val="14"/>
                <w:szCs w:val="14"/>
                <w:color w:val="auto"/>
              </w:rPr>
            </w:pPr>
          </w:p>
        </w:tc>
        <w:tc>
          <w:tcPr>
            <w:tcW w:w="5520" w:type="dxa"/>
            <w:vAlign w:val="bottom"/>
          </w:tcPr>
          <w:p>
            <w:pPr>
              <w:jc w:val="center"/>
              <w:ind w:right="1579"/>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34"/>
        </w:trPr>
        <w:tc>
          <w:tcPr>
            <w:tcW w:w="1860" w:type="dxa"/>
            <w:vAlign w:val="bottom"/>
          </w:tcPr>
          <w:p>
            <w:pPr>
              <w:spacing w:after="0"/>
              <w:rPr>
                <w:sz w:val="20"/>
                <w:szCs w:val="20"/>
                <w:color w:val="auto"/>
              </w:rPr>
            </w:pPr>
          </w:p>
        </w:tc>
        <w:tc>
          <w:tcPr>
            <w:tcW w:w="5520" w:type="dxa"/>
            <w:vAlign w:val="bottom"/>
          </w:tcPr>
          <w:p>
            <w:pPr>
              <w:jc w:val="center"/>
              <w:ind w:right="1579"/>
              <w:spacing w:after="0"/>
              <w:rPr>
                <w:sz w:val="20"/>
                <w:szCs w:val="20"/>
                <w:color w:val="auto"/>
              </w:rPr>
            </w:pPr>
            <w:r>
              <w:rPr>
                <w:rFonts w:ascii="Arial" w:cs="Arial" w:eastAsia="Arial" w:hAnsi="Arial"/>
                <w:sz w:val="18"/>
                <w:szCs w:val="18"/>
                <w:b w:val="1"/>
                <w:bCs w:val="1"/>
                <w:color w:val="auto"/>
                <w:w w:val="89"/>
              </w:rPr>
              <w:t>______________________________________</w:t>
            </w:r>
          </w:p>
        </w:tc>
      </w:tr>
      <w:tr>
        <w:trPr>
          <w:trHeight w:val="326"/>
        </w:trPr>
        <w:tc>
          <w:tcPr>
            <w:tcW w:w="186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Delaware</w:t>
            </w:r>
          </w:p>
        </w:tc>
        <w:tc>
          <w:tcPr>
            <w:tcW w:w="5520" w:type="dxa"/>
            <w:vAlign w:val="bottom"/>
          </w:tcPr>
          <w:p>
            <w:pPr>
              <w:jc w:val="center"/>
              <w:ind w:left="4219"/>
              <w:spacing w:after="0"/>
              <w:rPr>
                <w:sz w:val="20"/>
                <w:szCs w:val="20"/>
                <w:color w:val="auto"/>
              </w:rPr>
            </w:pPr>
            <w:r>
              <w:rPr>
                <w:rFonts w:ascii="Arial" w:cs="Arial" w:eastAsia="Arial" w:hAnsi="Arial"/>
                <w:sz w:val="14"/>
                <w:szCs w:val="14"/>
                <w:b w:val="1"/>
                <w:bCs w:val="1"/>
                <w:color w:val="auto"/>
                <w:w w:val="93"/>
              </w:rPr>
              <w:t>20-3828755</w:t>
            </w:r>
          </w:p>
        </w:tc>
      </w:tr>
      <w:tr>
        <w:trPr>
          <w:trHeight w:val="156"/>
        </w:trPr>
        <w:tc>
          <w:tcPr>
            <w:tcW w:w="1860" w:type="dxa"/>
            <w:vAlign w:val="bottom"/>
          </w:tcPr>
          <w:p>
            <w:pPr>
              <w:jc w:val="center"/>
              <w:ind w:right="134"/>
              <w:spacing w:after="0"/>
              <w:rPr>
                <w:sz w:val="20"/>
                <w:szCs w:val="20"/>
                <w:color w:val="auto"/>
              </w:rPr>
            </w:pPr>
            <w:r>
              <w:rPr>
                <w:rFonts w:ascii="Arial" w:cs="Arial" w:eastAsia="Arial" w:hAnsi="Arial"/>
                <w:sz w:val="13"/>
                <w:szCs w:val="13"/>
                <w:b w:val="1"/>
                <w:bCs w:val="1"/>
                <w:color w:val="auto"/>
                <w:w w:val="88"/>
              </w:rPr>
              <w:t>(State or other jurisdiction of</w:t>
            </w:r>
          </w:p>
        </w:tc>
        <w:tc>
          <w:tcPr>
            <w:tcW w:w="5520" w:type="dxa"/>
            <w:vAlign w:val="bottom"/>
          </w:tcPr>
          <w:p>
            <w:pPr>
              <w:jc w:val="center"/>
              <w:ind w:left="4219"/>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1860" w:type="dxa"/>
            <w:vAlign w:val="bottom"/>
          </w:tcPr>
          <w:p>
            <w:pPr>
              <w:jc w:val="center"/>
              <w:ind w:right="134"/>
              <w:spacing w:after="0"/>
              <w:rPr>
                <w:sz w:val="20"/>
                <w:szCs w:val="20"/>
                <w:color w:val="auto"/>
              </w:rPr>
            </w:pPr>
            <w:r>
              <w:rPr>
                <w:rFonts w:ascii="Arial" w:cs="Arial" w:eastAsia="Arial" w:hAnsi="Arial"/>
                <w:sz w:val="13"/>
                <w:szCs w:val="13"/>
                <w:b w:val="1"/>
                <w:bCs w:val="1"/>
                <w:color w:val="auto"/>
                <w:w w:val="89"/>
              </w:rPr>
              <w:t>incorporation or organization)</w:t>
            </w:r>
          </w:p>
        </w:tc>
        <w:tc>
          <w:tcPr>
            <w:tcW w:w="5520" w:type="dxa"/>
            <w:vAlign w:val="bottom"/>
          </w:tcPr>
          <w:p>
            <w:pPr>
              <w:jc w:val="center"/>
              <w:ind w:left="4199"/>
              <w:spacing w:after="0"/>
              <w:rPr>
                <w:sz w:val="20"/>
                <w:szCs w:val="20"/>
                <w:color w:val="auto"/>
              </w:rPr>
            </w:pPr>
            <w:r>
              <w:rPr>
                <w:rFonts w:ascii="Arial" w:cs="Arial" w:eastAsia="Arial" w:hAnsi="Arial"/>
                <w:sz w:val="13"/>
                <w:szCs w:val="13"/>
                <w:b w:val="1"/>
                <w:bCs w:val="1"/>
                <w:color w:val="auto"/>
                <w:w w:val="89"/>
              </w:rPr>
              <w:t>Identification Number)</w:t>
            </w:r>
          </w:p>
        </w:tc>
      </w:tr>
      <w:tr>
        <w:trPr>
          <w:trHeight w:val="371"/>
        </w:trPr>
        <w:tc>
          <w:tcPr>
            <w:tcW w:w="1860" w:type="dxa"/>
            <w:vAlign w:val="bottom"/>
          </w:tcPr>
          <w:p>
            <w:pPr>
              <w:spacing w:after="0"/>
              <w:rPr>
                <w:sz w:val="24"/>
                <w:szCs w:val="24"/>
                <w:color w:val="auto"/>
              </w:rPr>
            </w:pPr>
          </w:p>
        </w:tc>
        <w:tc>
          <w:tcPr>
            <w:tcW w:w="5520" w:type="dxa"/>
            <w:vAlign w:val="bottom"/>
          </w:tcPr>
          <w:p>
            <w:pPr>
              <w:jc w:val="center"/>
              <w:ind w:right="1579"/>
              <w:spacing w:after="0"/>
              <w:rPr>
                <w:sz w:val="20"/>
                <w:szCs w:val="20"/>
                <w:color w:val="auto"/>
              </w:rPr>
            </w:pPr>
            <w:r>
              <w:rPr>
                <w:rFonts w:ascii="Arial" w:cs="Arial" w:eastAsia="Arial" w:hAnsi="Arial"/>
                <w:sz w:val="14"/>
                <w:szCs w:val="14"/>
                <w:b w:val="1"/>
                <w:bCs w:val="1"/>
                <w:color w:val="auto"/>
                <w:w w:val="93"/>
              </w:rPr>
              <w:t>10421 Pacific Center Court, Suite 200</w:t>
            </w:r>
          </w:p>
        </w:tc>
      </w:tr>
      <w:tr>
        <w:trPr>
          <w:trHeight w:val="167"/>
        </w:trPr>
        <w:tc>
          <w:tcPr>
            <w:tcW w:w="1860" w:type="dxa"/>
            <w:vAlign w:val="bottom"/>
          </w:tcPr>
          <w:p>
            <w:pPr>
              <w:spacing w:after="0"/>
              <w:rPr>
                <w:sz w:val="14"/>
                <w:szCs w:val="14"/>
                <w:color w:val="auto"/>
              </w:rPr>
            </w:pPr>
          </w:p>
        </w:tc>
        <w:tc>
          <w:tcPr>
            <w:tcW w:w="5520" w:type="dxa"/>
            <w:vAlign w:val="bottom"/>
          </w:tcPr>
          <w:p>
            <w:pPr>
              <w:jc w:val="center"/>
              <w:ind w:right="1579"/>
              <w:spacing w:after="0"/>
              <w:rPr>
                <w:sz w:val="20"/>
                <w:szCs w:val="20"/>
                <w:color w:val="auto"/>
              </w:rPr>
            </w:pPr>
            <w:r>
              <w:rPr>
                <w:rFonts w:ascii="Arial" w:cs="Arial" w:eastAsia="Arial" w:hAnsi="Arial"/>
                <w:sz w:val="14"/>
                <w:szCs w:val="14"/>
                <w:b w:val="1"/>
                <w:bCs w:val="1"/>
                <w:color w:val="auto"/>
                <w:w w:val="93"/>
              </w:rPr>
              <w:t>San Diego, CA 92121</w:t>
            </w:r>
          </w:p>
        </w:tc>
      </w:tr>
      <w:tr>
        <w:trPr>
          <w:trHeight w:val="164"/>
        </w:trPr>
        <w:tc>
          <w:tcPr>
            <w:tcW w:w="1860" w:type="dxa"/>
            <w:vAlign w:val="bottom"/>
          </w:tcPr>
          <w:p>
            <w:pPr>
              <w:spacing w:after="0"/>
              <w:rPr>
                <w:sz w:val="14"/>
                <w:szCs w:val="14"/>
                <w:color w:val="auto"/>
              </w:rPr>
            </w:pPr>
          </w:p>
        </w:tc>
        <w:tc>
          <w:tcPr>
            <w:tcW w:w="5520" w:type="dxa"/>
            <w:vAlign w:val="bottom"/>
          </w:tcPr>
          <w:p>
            <w:pPr>
              <w:jc w:val="center"/>
              <w:ind w:right="1579"/>
              <w:spacing w:after="0"/>
              <w:rPr>
                <w:sz w:val="20"/>
                <w:szCs w:val="20"/>
                <w:color w:val="auto"/>
              </w:rPr>
            </w:pPr>
            <w:r>
              <w:rPr>
                <w:rFonts w:ascii="Arial" w:cs="Arial" w:eastAsia="Arial" w:hAnsi="Arial"/>
                <w:sz w:val="13"/>
                <w:szCs w:val="13"/>
                <w:b w:val="1"/>
                <w:bCs w:val="1"/>
                <w:color w:val="auto"/>
                <w:w w:val="85"/>
              </w:rPr>
              <w:t>(Address of principal executive offices and zip code)</w:t>
            </w:r>
          </w:p>
        </w:tc>
      </w:tr>
      <w:tr>
        <w:trPr>
          <w:trHeight w:val="254"/>
        </w:trPr>
        <w:tc>
          <w:tcPr>
            <w:tcW w:w="1860" w:type="dxa"/>
            <w:vAlign w:val="bottom"/>
          </w:tcPr>
          <w:p>
            <w:pPr>
              <w:spacing w:after="0"/>
              <w:rPr>
                <w:sz w:val="22"/>
                <w:szCs w:val="22"/>
                <w:color w:val="auto"/>
              </w:rPr>
            </w:pPr>
          </w:p>
        </w:tc>
        <w:tc>
          <w:tcPr>
            <w:tcW w:w="5520" w:type="dxa"/>
            <w:vAlign w:val="bottom"/>
          </w:tcPr>
          <w:p>
            <w:pPr>
              <w:jc w:val="center"/>
              <w:ind w:right="1579"/>
              <w:spacing w:after="0"/>
              <w:rPr>
                <w:sz w:val="20"/>
                <w:szCs w:val="20"/>
                <w:color w:val="auto"/>
              </w:rPr>
            </w:pPr>
            <w:r>
              <w:rPr>
                <w:rFonts w:ascii="Arial" w:cs="Arial" w:eastAsia="Arial" w:hAnsi="Arial"/>
                <w:sz w:val="14"/>
                <w:szCs w:val="14"/>
                <w:b w:val="1"/>
                <w:bCs w:val="1"/>
                <w:color w:val="auto"/>
                <w:w w:val="93"/>
              </w:rPr>
              <w:t>(858) 362-6295</w:t>
            </w:r>
          </w:p>
        </w:tc>
      </w:tr>
      <w:tr>
        <w:trPr>
          <w:trHeight w:val="148"/>
        </w:trPr>
        <w:tc>
          <w:tcPr>
            <w:tcW w:w="1860" w:type="dxa"/>
            <w:vAlign w:val="bottom"/>
          </w:tcPr>
          <w:p>
            <w:pPr>
              <w:spacing w:after="0"/>
              <w:rPr>
                <w:sz w:val="12"/>
                <w:szCs w:val="12"/>
                <w:color w:val="auto"/>
              </w:rPr>
            </w:pPr>
          </w:p>
        </w:tc>
        <w:tc>
          <w:tcPr>
            <w:tcW w:w="5520" w:type="dxa"/>
            <w:vAlign w:val="bottom"/>
          </w:tcPr>
          <w:p>
            <w:pPr>
              <w:jc w:val="center"/>
              <w:ind w:right="1559"/>
              <w:spacing w:after="0" w:line="149" w:lineRule="exact"/>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234"/>
        </w:trPr>
        <w:tc>
          <w:tcPr>
            <w:tcW w:w="1860" w:type="dxa"/>
            <w:vAlign w:val="bottom"/>
          </w:tcPr>
          <w:p>
            <w:pPr>
              <w:spacing w:after="0"/>
              <w:rPr>
                <w:sz w:val="20"/>
                <w:szCs w:val="20"/>
                <w:color w:val="auto"/>
              </w:rPr>
            </w:pPr>
          </w:p>
        </w:tc>
        <w:tc>
          <w:tcPr>
            <w:tcW w:w="5520" w:type="dxa"/>
            <w:vAlign w:val="bottom"/>
          </w:tcPr>
          <w:p>
            <w:pPr>
              <w:jc w:val="center"/>
              <w:ind w:right="1579"/>
              <w:spacing w:after="0"/>
              <w:rPr>
                <w:sz w:val="20"/>
                <w:szCs w:val="20"/>
                <w:color w:val="auto"/>
              </w:rPr>
            </w:pPr>
            <w:r>
              <w:rPr>
                <w:rFonts w:ascii="Arial" w:cs="Arial" w:eastAsia="Arial" w:hAnsi="Arial"/>
                <w:sz w:val="18"/>
                <w:szCs w:val="18"/>
                <w:b w:val="1"/>
                <w:bCs w:val="1"/>
                <w:color w:val="auto"/>
                <w:w w:val="89"/>
              </w:rPr>
              <w:t>______________________________________</w:t>
            </w:r>
          </w:p>
        </w:tc>
      </w:tr>
    </w:tbl>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Borders>
              <w:right w:val="single" w:sz="8" w:color="auto"/>
            </w:tcBorders>
          </w:tcPr>
          <w:p>
            <w:pPr>
              <w:spacing w:after="0"/>
              <w:rPr>
                <w:sz w:val="18"/>
                <w:szCs w:val="18"/>
                <w:color w:val="auto"/>
              </w:rPr>
            </w:pP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720" w:type="dxa"/>
            <w:vAlign w:val="bottom"/>
            <w:tcBorders>
              <w:top w:val="single" w:sz="8" w:color="auto"/>
              <w:bottom w:val="single" w:sz="8" w:color="auto"/>
            </w:tcBorders>
          </w:tcPr>
          <w:p>
            <w:pPr>
              <w:jc w:val="center"/>
              <w:ind w:left="208"/>
              <w:spacing w:after="0"/>
              <w:rPr>
                <w:sz w:val="20"/>
                <w:szCs w:val="20"/>
                <w:color w:val="auto"/>
              </w:rPr>
            </w:pPr>
            <w:r>
              <w:rPr>
                <w:rFonts w:ascii="Arial" w:cs="Arial" w:eastAsia="Arial" w:hAnsi="Arial"/>
                <w:sz w:val="14"/>
                <w:szCs w:val="14"/>
                <w:color w:val="auto"/>
                <w:w w:val="94"/>
              </w:rPr>
              <w:t>Trading Symbol(s)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96"/>
        </w:trPr>
        <w:tc>
          <w:tcPr>
            <w:tcW w:w="120" w:type="dxa"/>
            <w:vAlign w:val="bottom"/>
            <w:tcBorders>
              <w:right w:val="single" w:sz="8" w:color="auto"/>
            </w:tcBorders>
          </w:tcPr>
          <w:p>
            <w:pPr>
              <w:spacing w:after="0"/>
              <w:rPr>
                <w:sz w:val="17"/>
                <w:szCs w:val="17"/>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Common Stock, $0.001 par value</w:t>
            </w:r>
          </w:p>
        </w:tc>
        <w:tc>
          <w:tcPr>
            <w:tcW w:w="27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ANAB</w:t>
            </w:r>
          </w:p>
        </w:tc>
        <w:tc>
          <w:tcPr>
            <w:tcW w:w="300" w:type="dxa"/>
            <w:vAlign w:val="bottom"/>
            <w:tcBorders>
              <w:bottom w:val="single" w:sz="8" w:color="auto"/>
              <w:right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231"/>
        </w:trPr>
        <w:tc>
          <w:tcPr>
            <w:tcW w:w="418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02"/>
        </w:trPr>
        <w:tc>
          <w:tcPr>
            <w:tcW w:w="6900" w:type="dxa"/>
            <w:vAlign w:val="bottom"/>
            <w:gridSpan w:val="3"/>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444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tc>
      </w:tr>
      <w:tr>
        <w:trPr>
          <w:trHeight w:val="297"/>
        </w:trPr>
        <w:tc>
          <w:tcPr>
            <w:tcW w:w="6900" w:type="dxa"/>
            <w:vAlign w:val="bottom"/>
            <w:gridSpan w:val="3"/>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4440" w:type="dxa"/>
            <w:vAlign w:val="bottom"/>
            <w:gridSpan w:val="2"/>
          </w:tcPr>
          <w:p>
            <w:pPr>
              <w:ind w:left="140"/>
              <w:spacing w:after="0" w:line="207"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tc>
      </w:tr>
    </w:tbl>
    <w:p>
      <w:pPr>
        <w:spacing w:after="0" w:line="69" w:lineRule="exact"/>
        <w:rPr>
          <w:sz w:val="24"/>
          <w:szCs w:val="24"/>
          <w:color w:val="auto"/>
        </w:rPr>
      </w:pPr>
    </w:p>
    <w:p>
      <w:pPr>
        <w:spacing w:after="0" w:line="22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120" w:type="dxa"/>
            <w:vAlign w:val="bottom"/>
            <w:gridSpan w:val="2"/>
          </w:tcPr>
          <w:p>
            <w:pPr>
              <w:spacing w:after="0" w:line="207" w:lineRule="exact"/>
              <w:rPr>
                <w:sz w:val="20"/>
                <w:szCs w:val="20"/>
                <w:color w:val="auto"/>
              </w:rPr>
            </w:pPr>
            <w:r>
              <w:rPr>
                <w:rFonts w:ascii="Arial" w:cs="Arial" w:eastAsia="Arial" w:hAnsi="Arial"/>
                <w:sz w:val="14"/>
                <w:szCs w:val="14"/>
                <w:color w:val="auto"/>
                <w:w w:val="95"/>
              </w:rPr>
              <w:t xml:space="preserve">during the preceding 12 months (or for such shorter period that the registrant was required to submit such files).  Yes </w:t>
            </w:r>
            <w:r>
              <w:rPr>
                <w:rFonts w:ascii="MS PGothic" w:cs="MS PGothic" w:eastAsia="MS PGothic" w:hAnsi="MS PGothic"/>
                <w:sz w:val="18"/>
                <w:szCs w:val="18"/>
                <w:color w:val="auto"/>
                <w:w w:val="95"/>
              </w:rPr>
              <w:t>☒</w:t>
            </w:r>
          </w:p>
        </w:tc>
        <w:tc>
          <w:tcPr>
            <w:tcW w:w="3760" w:type="dxa"/>
            <w:vAlign w:val="bottom"/>
          </w:tcPr>
          <w:p>
            <w:pPr>
              <w:ind w:left="100"/>
              <w:spacing w:after="0" w:line="207"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r>
      <w:tr>
        <w:trPr>
          <w:trHeight w:val="230"/>
        </w:trPr>
        <w:tc>
          <w:tcPr>
            <w:tcW w:w="10880" w:type="dxa"/>
            <w:vAlign w:val="bottom"/>
            <w:gridSpan w:val="3"/>
          </w:tcPr>
          <w:p>
            <w:pPr>
              <w:spacing w:after="0"/>
              <w:rPr>
                <w:sz w:val="20"/>
                <w:szCs w:val="20"/>
                <w:color w:val="auto"/>
              </w:rPr>
            </w:pPr>
            <w:r>
              <w:rPr>
                <w:rFonts w:ascii="Arial" w:cs="Arial" w:eastAsia="Arial" w:hAnsi="Arial"/>
                <w:sz w:val="14"/>
                <w:szCs w:val="14"/>
                <w:color w:val="auto"/>
                <w:w w:val="93"/>
              </w:rPr>
              <w:t>Indicate by check mark whether the registrant is a large accelerated filer, an accelerated filer, a non-accelerated filer, a smaller reporting company, or an emerging growth company. See the</w:t>
            </w:r>
          </w:p>
        </w:tc>
        <w:tc>
          <w:tcPr>
            <w:tcW w:w="220" w:type="dxa"/>
            <w:vAlign w:val="bottom"/>
          </w:tcPr>
          <w:p>
            <w:pPr>
              <w:spacing w:after="0"/>
              <w:rPr>
                <w:sz w:val="20"/>
                <w:szCs w:val="20"/>
                <w:color w:val="auto"/>
              </w:rPr>
            </w:pPr>
          </w:p>
        </w:tc>
      </w:tr>
      <w:tr>
        <w:trPr>
          <w:trHeight w:val="216"/>
        </w:trPr>
        <w:tc>
          <w:tcPr>
            <w:tcW w:w="1088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220" w:type="dxa"/>
            <w:vAlign w:val="bottom"/>
          </w:tcPr>
          <w:p>
            <w:pPr>
              <w:spacing w:after="0"/>
              <w:rPr>
                <w:sz w:val="18"/>
                <w:szCs w:val="18"/>
                <w:color w:val="auto"/>
              </w:rPr>
            </w:pPr>
          </w:p>
        </w:tc>
      </w:tr>
      <w:tr>
        <w:trPr>
          <w:trHeight w:val="491"/>
        </w:trPr>
        <w:tc>
          <w:tcPr>
            <w:tcW w:w="208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0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020"/>
              <w:spacing w:after="0"/>
              <w:rPr>
                <w:sz w:val="20"/>
                <w:szCs w:val="20"/>
                <w:color w:val="auto"/>
              </w:rPr>
            </w:pPr>
            <w:r>
              <w:rPr>
                <w:rFonts w:ascii="Arial" w:cs="Arial" w:eastAsia="Arial" w:hAnsi="Arial"/>
                <w:sz w:val="14"/>
                <w:szCs w:val="14"/>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08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0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020"/>
              <w:spacing w:after="0"/>
              <w:rPr>
                <w:sz w:val="20"/>
                <w:szCs w:val="20"/>
                <w:color w:val="auto"/>
              </w:rPr>
            </w:pPr>
            <w:r>
              <w:rPr>
                <w:rFonts w:ascii="Arial" w:cs="Arial" w:eastAsia="Arial" w:hAnsi="Arial"/>
                <w:sz w:val="14"/>
                <w:szCs w:val="14"/>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0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760" w:type="dxa"/>
            <w:vAlign w:val="bottom"/>
          </w:tcPr>
          <w:p>
            <w:pPr>
              <w:ind w:left="1020"/>
              <w:spacing w:after="0"/>
              <w:rPr>
                <w:sz w:val="20"/>
                <w:szCs w:val="20"/>
                <w:color w:val="auto"/>
              </w:rPr>
            </w:pPr>
            <w:r>
              <w:rPr>
                <w:rFonts w:ascii="Arial" w:cs="Arial" w:eastAsia="Arial" w:hAnsi="Arial"/>
                <w:sz w:val="14"/>
                <w:szCs w:val="14"/>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0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207"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MS PGothic" w:cs="MS PGothic" w:eastAsia="MS PGothic" w:hAnsi="MS PGothic"/>
          <w:sz w:val="18"/>
          <w:szCs w:val="18"/>
          <w:color w:val="auto"/>
        </w:rPr>
        <w:t>☒</w:t>
      </w:r>
    </w:p>
    <w:p>
      <w:pPr>
        <w:spacing w:after="0" w:line="118"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voting common equity held by non-affiliates of the registrant was $1,391,103,537 as of June 30, 2019.</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was 27,265,262 as of February 27, 2020.</w:t>
      </w:r>
    </w:p>
    <w:p>
      <w:pPr>
        <w:sectPr>
          <w:pgSz w:w="11900" w:h="16838" w:orient="portrait"/>
          <w:cols w:equalWidth="0" w:num="1">
            <w:col w:w="11360"/>
          </w:cols>
          <w:pgMar w:left="240" w:top="715" w:right="29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Portions of the registrant’s Definitive Proxy Statement relating to the 2020 Annual Meeting of Shareholders, scheduled to be held on June 19, 2020, are incorporated by reference into Part III of this Annual Report on Form 10-K to the extent stated herein. The Definitive Proxy Statement will be filed within 120 days of the Registrant’s fiscal year ended December 31, 2019. Except with respect to information specifically incorporated by reference in this Form 10-K, the Proxy Statement is not deemed to be filed as part of this Form 10-K.</w:t>
      </w:r>
    </w:p>
    <w:p>
      <w:pPr>
        <w:sectPr>
          <w:pgSz w:w="11900" w:h="16838" w:orient="portrait"/>
          <w:cols w:equalWidth="0" w:num="1">
            <w:col w:w="11360"/>
          </w:cols>
          <w:pgMar w:left="240" w:top="616"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10"/>
          </w:tcPr>
          <w:p>
            <w:pPr>
              <w:ind w:left="54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r>
      <w:tr>
        <w:trPr>
          <w:trHeight w:val="575"/>
        </w:trPr>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Page</w:t>
            </w:r>
          </w:p>
        </w:tc>
      </w:tr>
      <w:tr>
        <w:trPr>
          <w:trHeight w:val="33"/>
        </w:trPr>
        <w:tc>
          <w:tcPr>
            <w:tcW w:w="1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PART I</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2"/>
        </w:trPr>
        <w:tc>
          <w:tcPr>
            <w:tcW w:w="1640" w:type="dxa"/>
            <w:vAlign w:val="bottom"/>
          </w:tcPr>
          <w:p>
            <w:pPr>
              <w:ind w:left="180"/>
              <w:spacing w:after="0"/>
              <w:rPr>
                <w:sz w:val="20"/>
                <w:szCs w:val="20"/>
                <w:color w:val="auto"/>
              </w:rPr>
            </w:pPr>
            <w:r>
              <w:rPr>
                <w:rFonts w:ascii="Arial" w:cs="Arial" w:eastAsia="Arial" w:hAnsi="Arial"/>
                <w:sz w:val="16"/>
                <w:szCs w:val="16"/>
                <w:color w:val="auto"/>
              </w:rPr>
              <w:t>Item 1.</w:t>
            </w:r>
          </w:p>
        </w:tc>
        <w:tc>
          <w:tcPr>
            <w:tcW w:w="580" w:type="dxa"/>
            <w:vAlign w:val="bottom"/>
            <w:tcBorders>
              <w:bottom w:val="single" w:sz="8" w:color="0000EE"/>
            </w:tcBorders>
          </w:tcPr>
          <w:p>
            <w:pPr>
              <w:spacing w:after="0"/>
              <w:rPr>
                <w:rFonts w:ascii="Arial" w:cs="Arial" w:eastAsia="Arial" w:hAnsi="Arial"/>
                <w:sz w:val="16"/>
                <w:szCs w:val="16"/>
                <w:color w:val="0000EE"/>
                <w:w w:val="86"/>
              </w:rPr>
            </w:pPr>
            <w:hyperlink w:anchor="page5">
              <w:r>
                <w:rPr>
                  <w:rFonts w:ascii="Arial" w:cs="Arial" w:eastAsia="Arial" w:hAnsi="Arial"/>
                  <w:sz w:val="16"/>
                  <w:szCs w:val="16"/>
                  <w:color w:val="0000EE"/>
                  <w:w w:val="86"/>
                </w:rPr>
                <w:t>Business</w:t>
              </w:r>
            </w:hyperlink>
          </w:p>
        </w:tc>
        <w:tc>
          <w:tcPr>
            <w:tcW w:w="7700" w:type="dxa"/>
            <w:vAlign w:val="bottom"/>
            <w:gridSpan w:val="19"/>
          </w:tcPr>
          <w:p>
            <w:pPr>
              <w:spacing w:after="0"/>
              <w:rPr>
                <w:sz w:val="19"/>
                <w:szCs w:val="19"/>
                <w:color w:val="auto"/>
              </w:rPr>
            </w:pPr>
          </w:p>
        </w:tc>
        <w:tc>
          <w:tcPr>
            <w:tcW w:w="1500" w:type="dxa"/>
            <w:vAlign w:val="bottom"/>
          </w:tcPr>
          <w:p>
            <w:pPr>
              <w:jc w:val="right"/>
              <w:spacing w:after="0"/>
              <w:rPr>
                <w:rFonts w:ascii="Arial" w:cs="Arial" w:eastAsia="Arial" w:hAnsi="Arial"/>
                <w:sz w:val="16"/>
                <w:szCs w:val="16"/>
                <w:color w:val="auto"/>
              </w:rPr>
            </w:pPr>
            <w:hyperlink w:anchor="page5">
              <w:r>
                <w:rPr>
                  <w:rFonts w:ascii="Arial" w:cs="Arial" w:eastAsia="Arial" w:hAnsi="Arial"/>
                  <w:sz w:val="16"/>
                  <w:szCs w:val="16"/>
                  <w:color w:val="auto"/>
                </w:rPr>
                <w:t>2</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1A.</w:t>
            </w:r>
          </w:p>
        </w:tc>
        <w:tc>
          <w:tcPr>
            <w:tcW w:w="82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Risk Factors</w:t>
              </w:r>
            </w:hyperlink>
          </w:p>
        </w:tc>
        <w:tc>
          <w:tcPr>
            <w:tcW w:w="7460" w:type="dxa"/>
            <w:vAlign w:val="bottom"/>
            <w:gridSpan w:val="17"/>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27</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1B.</w:t>
            </w:r>
          </w:p>
        </w:tc>
        <w:tc>
          <w:tcPr>
            <w:tcW w:w="8280" w:type="dxa"/>
            <w:vAlign w:val="bottom"/>
            <w:gridSpan w:val="20"/>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Unresolved Staff Comments</w:t>
              </w:r>
            </w:hyperlink>
          </w:p>
        </w:tc>
        <w:tc>
          <w:tcPr>
            <w:tcW w:w="15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59</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2.</w:t>
            </w:r>
          </w:p>
        </w:tc>
        <w:tc>
          <w:tcPr>
            <w:tcW w:w="6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87"/>
              </w:rPr>
            </w:pPr>
            <w:hyperlink w:anchor="page62">
              <w:r>
                <w:rPr>
                  <w:rFonts w:ascii="Arial" w:cs="Arial" w:eastAsia="Arial" w:hAnsi="Arial"/>
                  <w:sz w:val="16"/>
                  <w:szCs w:val="16"/>
                  <w:color w:val="0000EE"/>
                  <w:w w:val="87"/>
                </w:rPr>
                <w:t>Properties</w:t>
              </w:r>
            </w:hyperlink>
          </w:p>
        </w:tc>
        <w:tc>
          <w:tcPr>
            <w:tcW w:w="1160" w:type="dxa"/>
            <w:vAlign w:val="bottom"/>
            <w:tcBorders>
              <w:top w:val="single" w:sz="8" w:color="0000EE"/>
            </w:tcBorders>
            <w:gridSpan w:val="6"/>
          </w:tcPr>
          <w:p>
            <w:pPr>
              <w:spacing w:after="0"/>
              <w:rPr>
                <w:sz w:val="20"/>
                <w:szCs w:val="20"/>
                <w:color w:val="auto"/>
              </w:rPr>
            </w:pPr>
          </w:p>
        </w:tc>
        <w:tc>
          <w:tcPr>
            <w:tcW w:w="6440" w:type="dxa"/>
            <w:vAlign w:val="bottom"/>
            <w:gridSpan w:val="12"/>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59</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3.</w:t>
            </w:r>
          </w:p>
        </w:tc>
        <w:tc>
          <w:tcPr>
            <w:tcW w:w="8280" w:type="dxa"/>
            <w:vAlign w:val="bottom"/>
            <w:gridSpan w:val="20"/>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Legal Proceedings</w:t>
              </w:r>
            </w:hyperlink>
          </w:p>
        </w:tc>
        <w:tc>
          <w:tcPr>
            <w:tcW w:w="15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59</w:t>
              </w:r>
            </w:hyperlink>
          </w:p>
        </w:tc>
      </w:tr>
      <w:tr>
        <w:trPr>
          <w:trHeight w:val="20"/>
        </w:trPr>
        <w:tc>
          <w:tcPr>
            <w:tcW w:w="164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4.</w:t>
            </w:r>
          </w:p>
        </w:tc>
        <w:tc>
          <w:tcPr>
            <w:tcW w:w="8280" w:type="dxa"/>
            <w:vAlign w:val="bottom"/>
            <w:gridSpan w:val="20"/>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Mine Safety Disclosures</w:t>
              </w:r>
            </w:hyperlink>
          </w:p>
        </w:tc>
        <w:tc>
          <w:tcPr>
            <w:tcW w:w="15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59</w:t>
              </w:r>
            </w:hyperlink>
          </w:p>
        </w:tc>
      </w:tr>
      <w:tr>
        <w:trPr>
          <w:trHeight w:val="528"/>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PART II</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2"/>
        </w:trPr>
        <w:tc>
          <w:tcPr>
            <w:tcW w:w="1640" w:type="dxa"/>
            <w:vAlign w:val="bottom"/>
          </w:tcPr>
          <w:p>
            <w:pPr>
              <w:ind w:left="180"/>
              <w:spacing w:after="0"/>
              <w:rPr>
                <w:sz w:val="20"/>
                <w:szCs w:val="20"/>
                <w:color w:val="auto"/>
              </w:rPr>
            </w:pPr>
            <w:r>
              <w:rPr>
                <w:rFonts w:ascii="Arial" w:cs="Arial" w:eastAsia="Arial" w:hAnsi="Arial"/>
                <w:sz w:val="16"/>
                <w:szCs w:val="16"/>
                <w:color w:val="auto"/>
              </w:rPr>
              <w:t>Item 5.</w:t>
            </w:r>
          </w:p>
        </w:tc>
        <w:tc>
          <w:tcPr>
            <w:tcW w:w="7280" w:type="dxa"/>
            <w:vAlign w:val="bottom"/>
            <w:tcBorders>
              <w:bottom w:val="single" w:sz="8" w:color="0000EE"/>
            </w:tcBorders>
            <w:gridSpan w:val="19"/>
          </w:tcPr>
          <w:p>
            <w:pPr>
              <w:spacing w:after="0"/>
              <w:rPr>
                <w:rFonts w:ascii="Arial" w:cs="Arial" w:eastAsia="Arial" w:hAnsi="Arial"/>
                <w:sz w:val="16"/>
                <w:szCs w:val="16"/>
                <w:color w:val="0000EE"/>
                <w:w w:val="91"/>
              </w:rPr>
            </w:pPr>
            <w:hyperlink w:anchor="page63">
              <w:r>
                <w:rPr>
                  <w:rFonts w:ascii="Arial" w:cs="Arial" w:eastAsia="Arial" w:hAnsi="Arial"/>
                  <w:sz w:val="16"/>
                  <w:szCs w:val="16"/>
                  <w:color w:val="0000EE"/>
                  <w:w w:val="91"/>
                </w:rPr>
                <w:t>Market for Registrant’s Common Equity, Related Stockholder Matters and Issuer Purchases of Equity Securities</w:t>
              </w:r>
            </w:hyperlink>
          </w:p>
        </w:tc>
        <w:tc>
          <w:tcPr>
            <w:tcW w:w="1000" w:type="dxa"/>
            <w:vAlign w:val="bottom"/>
          </w:tcPr>
          <w:p>
            <w:pPr>
              <w:spacing w:after="0"/>
              <w:rPr>
                <w:sz w:val="19"/>
                <w:szCs w:val="19"/>
                <w:color w:val="auto"/>
              </w:rPr>
            </w:pPr>
          </w:p>
        </w:tc>
        <w:tc>
          <w:tcPr>
            <w:tcW w:w="1500" w:type="dxa"/>
            <w:vAlign w:val="bottom"/>
          </w:tcPr>
          <w:p>
            <w:pPr>
              <w:jc w:val="right"/>
              <w:spacing w:after="0"/>
              <w:rPr>
                <w:rFonts w:ascii="Arial" w:cs="Arial" w:eastAsia="Arial" w:hAnsi="Arial"/>
                <w:sz w:val="16"/>
                <w:szCs w:val="16"/>
                <w:color w:val="auto"/>
              </w:rPr>
            </w:pPr>
            <w:hyperlink w:anchor="page63">
              <w:r>
                <w:rPr>
                  <w:rFonts w:ascii="Arial" w:cs="Arial" w:eastAsia="Arial" w:hAnsi="Arial"/>
                  <w:sz w:val="16"/>
                  <w:szCs w:val="16"/>
                  <w:color w:val="auto"/>
                </w:rPr>
                <w:t>60</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6.</w:t>
            </w:r>
          </w:p>
        </w:tc>
        <w:tc>
          <w:tcPr>
            <w:tcW w:w="2440" w:type="dxa"/>
            <w:vAlign w:val="bottom"/>
            <w:tcBorders>
              <w:bottom w:val="single" w:sz="8" w:color="0000EE"/>
            </w:tcBorders>
            <w:gridSpan w:val="9"/>
          </w:tcPr>
          <w:p>
            <w:pPr>
              <w:spacing w:after="0"/>
              <w:rPr>
                <w:rFonts w:ascii="Arial" w:cs="Arial" w:eastAsia="Arial" w:hAnsi="Arial"/>
                <w:sz w:val="16"/>
                <w:szCs w:val="16"/>
                <w:color w:val="0000EE"/>
                <w:w w:val="90"/>
              </w:rPr>
            </w:pPr>
            <w:hyperlink w:anchor="page64">
              <w:r>
                <w:rPr>
                  <w:rFonts w:ascii="Arial" w:cs="Arial" w:eastAsia="Arial" w:hAnsi="Arial"/>
                  <w:sz w:val="16"/>
                  <w:szCs w:val="16"/>
                  <w:color w:val="0000EE"/>
                  <w:w w:val="90"/>
                </w:rPr>
                <w:t>Selected Consolidated Financial Data</w:t>
              </w:r>
            </w:hyperlink>
          </w:p>
        </w:tc>
        <w:tc>
          <w:tcPr>
            <w:tcW w:w="5840" w:type="dxa"/>
            <w:vAlign w:val="bottom"/>
            <w:gridSpan w:val="11"/>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64">
              <w:r>
                <w:rPr>
                  <w:rFonts w:ascii="Arial" w:cs="Arial" w:eastAsia="Arial" w:hAnsi="Arial"/>
                  <w:sz w:val="16"/>
                  <w:szCs w:val="16"/>
                  <w:color w:val="auto"/>
                </w:rPr>
                <w:t>61</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7.</w:t>
            </w:r>
          </w:p>
        </w:tc>
        <w:tc>
          <w:tcPr>
            <w:tcW w:w="5820" w:type="dxa"/>
            <w:vAlign w:val="bottom"/>
            <w:tcBorders>
              <w:bottom w:val="single" w:sz="8" w:color="0000EE"/>
            </w:tcBorders>
            <w:gridSpan w:val="16"/>
          </w:tcPr>
          <w:p>
            <w:pPr>
              <w:spacing w:after="0"/>
              <w:rPr>
                <w:rFonts w:ascii="Arial" w:cs="Arial" w:eastAsia="Arial" w:hAnsi="Arial"/>
                <w:sz w:val="16"/>
                <w:szCs w:val="16"/>
                <w:color w:val="0000EE"/>
                <w:w w:val="92"/>
              </w:rPr>
            </w:pPr>
            <w:hyperlink w:anchor="page66">
              <w:r>
                <w:rPr>
                  <w:rFonts w:ascii="Arial" w:cs="Arial" w:eastAsia="Arial" w:hAnsi="Arial"/>
                  <w:sz w:val="16"/>
                  <w:szCs w:val="16"/>
                  <w:color w:val="0000EE"/>
                  <w:w w:val="92"/>
                </w:rPr>
                <w:t>Management’s Discussion and Analysis of Financial Condition and Results of Operations</w:t>
              </w:r>
            </w:hyperlink>
          </w:p>
        </w:tc>
        <w:tc>
          <w:tcPr>
            <w:tcW w:w="2460" w:type="dxa"/>
            <w:vAlign w:val="bottom"/>
            <w:gridSpan w:val="4"/>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63</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7A.</w:t>
            </w:r>
          </w:p>
        </w:tc>
        <w:tc>
          <w:tcPr>
            <w:tcW w:w="8280" w:type="dxa"/>
            <w:vAlign w:val="bottom"/>
            <w:gridSpan w:val="20"/>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Quantitative and Qualitative Disclosures About Market Risk</w:t>
              </w:r>
            </w:hyperlink>
          </w:p>
        </w:tc>
        <w:tc>
          <w:tcPr>
            <w:tcW w:w="1500" w:type="dxa"/>
            <w:vAlign w:val="bottom"/>
          </w:tcPr>
          <w:p>
            <w:pPr>
              <w:jc w:val="right"/>
              <w:spacing w:after="0"/>
              <w:rPr>
                <w:rFonts w:ascii="Arial" w:cs="Arial" w:eastAsia="Arial" w:hAnsi="Arial"/>
                <w:sz w:val="16"/>
                <w:szCs w:val="16"/>
                <w:color w:val="auto"/>
              </w:rPr>
            </w:pPr>
            <w:hyperlink w:anchor="page75">
              <w:r>
                <w:rPr>
                  <w:rFonts w:ascii="Arial" w:cs="Arial" w:eastAsia="Arial" w:hAnsi="Arial"/>
                  <w:sz w:val="16"/>
                  <w:szCs w:val="16"/>
                  <w:color w:val="auto"/>
                </w:rPr>
                <w:t>72</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8.</w:t>
            </w:r>
          </w:p>
        </w:tc>
        <w:tc>
          <w:tcPr>
            <w:tcW w:w="3900" w:type="dxa"/>
            <w:vAlign w:val="bottom"/>
            <w:tcBorders>
              <w:top w:val="single" w:sz="8" w:color="0000EE"/>
              <w:bottom w:val="single" w:sz="8" w:color="0000EE"/>
            </w:tcBorders>
            <w:gridSpan w:val="13"/>
          </w:tcPr>
          <w:p>
            <w:pPr>
              <w:spacing w:after="0"/>
              <w:rPr>
                <w:rFonts w:ascii="Arial" w:cs="Arial" w:eastAsia="Arial" w:hAnsi="Arial"/>
                <w:sz w:val="16"/>
                <w:szCs w:val="16"/>
                <w:color w:val="0000EE"/>
                <w:w w:val="90"/>
              </w:rPr>
            </w:pPr>
            <w:hyperlink w:anchor="page77">
              <w:r>
                <w:rPr>
                  <w:rFonts w:ascii="Arial" w:cs="Arial" w:eastAsia="Arial" w:hAnsi="Arial"/>
                  <w:sz w:val="16"/>
                  <w:szCs w:val="16"/>
                  <w:color w:val="0000EE"/>
                  <w:w w:val="90"/>
                </w:rPr>
                <w:t>Consolidated Financial Statements and Supplementary Data</w:t>
              </w:r>
            </w:hyperlink>
          </w:p>
        </w:tc>
        <w:tc>
          <w:tcPr>
            <w:tcW w:w="20" w:type="dxa"/>
            <w:vAlign w:val="bottom"/>
            <w:tcBorders>
              <w:top w:val="single" w:sz="8" w:color="0000EE"/>
            </w:tcBorders>
          </w:tcPr>
          <w:p>
            <w:pPr>
              <w:spacing w:after="0"/>
              <w:rPr>
                <w:sz w:val="20"/>
                <w:szCs w:val="20"/>
                <w:color w:val="auto"/>
              </w:rPr>
            </w:pPr>
          </w:p>
        </w:tc>
        <w:tc>
          <w:tcPr>
            <w:tcW w:w="4360" w:type="dxa"/>
            <w:vAlign w:val="bottom"/>
            <w:gridSpan w:val="6"/>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77">
              <w:r>
                <w:rPr>
                  <w:rFonts w:ascii="Arial" w:cs="Arial" w:eastAsia="Arial" w:hAnsi="Arial"/>
                  <w:sz w:val="16"/>
                  <w:szCs w:val="16"/>
                  <w:color w:val="auto"/>
                </w:rPr>
                <w:t>74</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9.</w:t>
            </w:r>
          </w:p>
        </w:tc>
        <w:tc>
          <w:tcPr>
            <w:tcW w:w="8280" w:type="dxa"/>
            <w:vAlign w:val="bottom"/>
            <w:gridSpan w:val="20"/>
          </w:tcPr>
          <w:p>
            <w:pPr>
              <w:spacing w:after="0"/>
              <w:rPr>
                <w:rFonts w:ascii="Arial" w:cs="Arial" w:eastAsia="Arial" w:hAnsi="Arial"/>
                <w:sz w:val="16"/>
                <w:szCs w:val="16"/>
                <w:color w:val="0000EE"/>
              </w:rPr>
            </w:pPr>
            <w:hyperlink w:anchor="page104">
              <w:r>
                <w:rPr>
                  <w:rFonts w:ascii="Arial" w:cs="Arial" w:eastAsia="Arial" w:hAnsi="Arial"/>
                  <w:sz w:val="16"/>
                  <w:szCs w:val="16"/>
                  <w:color w:val="0000EE"/>
                </w:rPr>
                <w:t>Changes in and Disagreements With Accountants on Accounting and Financial Disclosure</w:t>
              </w:r>
            </w:hyperlink>
          </w:p>
        </w:tc>
        <w:tc>
          <w:tcPr>
            <w:tcW w:w="1500" w:type="dxa"/>
            <w:vAlign w:val="bottom"/>
          </w:tcPr>
          <w:p>
            <w:pPr>
              <w:jc w:val="right"/>
              <w:spacing w:after="0"/>
              <w:rPr>
                <w:rFonts w:ascii="Arial" w:cs="Arial" w:eastAsia="Arial" w:hAnsi="Arial"/>
                <w:sz w:val="16"/>
                <w:szCs w:val="16"/>
                <w:color w:val="auto"/>
              </w:rPr>
            </w:pPr>
            <w:hyperlink w:anchor="page104">
              <w:r>
                <w:rPr>
                  <w:rFonts w:ascii="Arial" w:cs="Arial" w:eastAsia="Arial" w:hAnsi="Arial"/>
                  <w:sz w:val="16"/>
                  <w:szCs w:val="16"/>
                  <w:color w:val="auto"/>
                </w:rPr>
                <w:t>101</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9A.</w:t>
            </w:r>
          </w:p>
        </w:tc>
        <w:tc>
          <w:tcPr>
            <w:tcW w:w="160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89"/>
              </w:rPr>
            </w:pPr>
            <w:hyperlink w:anchor="page104">
              <w:r>
                <w:rPr>
                  <w:rFonts w:ascii="Arial" w:cs="Arial" w:eastAsia="Arial" w:hAnsi="Arial"/>
                  <w:sz w:val="16"/>
                  <w:szCs w:val="16"/>
                  <w:color w:val="0000EE"/>
                  <w:w w:val="89"/>
                </w:rPr>
                <w:t>Controls and Procedures</w:t>
              </w:r>
            </w:hyperlink>
          </w:p>
        </w:tc>
        <w:tc>
          <w:tcPr>
            <w:tcW w:w="4260" w:type="dxa"/>
            <w:vAlign w:val="bottom"/>
            <w:tcBorders>
              <w:top w:val="single" w:sz="8" w:color="0000EE"/>
            </w:tcBorders>
            <w:gridSpan w:val="11"/>
          </w:tcPr>
          <w:p>
            <w:pPr>
              <w:spacing w:after="0"/>
              <w:rPr>
                <w:sz w:val="20"/>
                <w:szCs w:val="20"/>
                <w:color w:val="auto"/>
              </w:rPr>
            </w:pPr>
          </w:p>
        </w:tc>
        <w:tc>
          <w:tcPr>
            <w:tcW w:w="2420" w:type="dxa"/>
            <w:vAlign w:val="bottom"/>
            <w:gridSpan w:val="3"/>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104">
              <w:r>
                <w:rPr>
                  <w:rFonts w:ascii="Arial" w:cs="Arial" w:eastAsia="Arial" w:hAnsi="Arial"/>
                  <w:sz w:val="16"/>
                  <w:szCs w:val="16"/>
                  <w:color w:val="auto"/>
                </w:rPr>
                <w:t>101</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9B.</w:t>
            </w:r>
          </w:p>
        </w:tc>
        <w:tc>
          <w:tcPr>
            <w:tcW w:w="8280" w:type="dxa"/>
            <w:vAlign w:val="bottom"/>
            <w:gridSpan w:val="20"/>
          </w:tcPr>
          <w:p>
            <w:pPr>
              <w:spacing w:after="0"/>
              <w:rPr>
                <w:rFonts w:ascii="Arial" w:cs="Arial" w:eastAsia="Arial" w:hAnsi="Arial"/>
                <w:sz w:val="16"/>
                <w:szCs w:val="16"/>
                <w:color w:val="0000EE"/>
              </w:rPr>
            </w:pPr>
            <w:hyperlink w:anchor="page106">
              <w:r>
                <w:rPr>
                  <w:rFonts w:ascii="Arial" w:cs="Arial" w:eastAsia="Arial" w:hAnsi="Arial"/>
                  <w:sz w:val="16"/>
                  <w:szCs w:val="16"/>
                  <w:color w:val="0000EE"/>
                </w:rPr>
                <w:t>Other Information</w:t>
              </w:r>
            </w:hyperlink>
          </w:p>
        </w:tc>
        <w:tc>
          <w:tcPr>
            <w:tcW w:w="1500" w:type="dxa"/>
            <w:vAlign w:val="bottom"/>
          </w:tcPr>
          <w:p>
            <w:pPr>
              <w:jc w:val="right"/>
              <w:spacing w:after="0"/>
              <w:rPr>
                <w:rFonts w:ascii="Arial" w:cs="Arial" w:eastAsia="Arial" w:hAnsi="Arial"/>
                <w:sz w:val="16"/>
                <w:szCs w:val="16"/>
                <w:color w:val="auto"/>
              </w:rPr>
            </w:pPr>
            <w:hyperlink w:anchor="page106">
              <w:r>
                <w:rPr>
                  <w:rFonts w:ascii="Arial" w:cs="Arial" w:eastAsia="Arial" w:hAnsi="Arial"/>
                  <w:sz w:val="16"/>
                  <w:szCs w:val="16"/>
                  <w:color w:val="auto"/>
                </w:rPr>
                <w:t>103</w:t>
              </w:r>
            </w:hyperlink>
          </w:p>
        </w:tc>
      </w:tr>
      <w:tr>
        <w:trPr>
          <w:trHeight w:val="528"/>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PART III</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2"/>
        </w:trPr>
        <w:tc>
          <w:tcPr>
            <w:tcW w:w="1640" w:type="dxa"/>
            <w:vAlign w:val="bottom"/>
          </w:tcPr>
          <w:p>
            <w:pPr>
              <w:ind w:left="180"/>
              <w:spacing w:after="0"/>
              <w:rPr>
                <w:sz w:val="20"/>
                <w:szCs w:val="20"/>
                <w:color w:val="auto"/>
              </w:rPr>
            </w:pPr>
            <w:r>
              <w:rPr>
                <w:rFonts w:ascii="Arial" w:cs="Arial" w:eastAsia="Arial" w:hAnsi="Arial"/>
                <w:sz w:val="16"/>
                <w:szCs w:val="16"/>
                <w:color w:val="auto"/>
              </w:rPr>
              <w:t>Item 10.</w:t>
            </w:r>
          </w:p>
        </w:tc>
        <w:tc>
          <w:tcPr>
            <w:tcW w:w="8280" w:type="dxa"/>
            <w:vAlign w:val="bottom"/>
            <w:gridSpan w:val="20"/>
          </w:tcPr>
          <w:p>
            <w:pPr>
              <w:spacing w:after="0"/>
              <w:rPr>
                <w:rFonts w:ascii="Arial" w:cs="Arial" w:eastAsia="Arial" w:hAnsi="Arial"/>
                <w:sz w:val="16"/>
                <w:szCs w:val="16"/>
                <w:color w:val="0000EE"/>
              </w:rPr>
            </w:pPr>
            <w:hyperlink w:anchor="page106">
              <w:r>
                <w:rPr>
                  <w:rFonts w:ascii="Arial" w:cs="Arial" w:eastAsia="Arial" w:hAnsi="Arial"/>
                  <w:sz w:val="16"/>
                  <w:szCs w:val="16"/>
                  <w:color w:val="0000EE"/>
                </w:rPr>
                <w:t>Directors, Executive Officers and Corporate Governance</w:t>
              </w:r>
            </w:hyperlink>
          </w:p>
        </w:tc>
        <w:tc>
          <w:tcPr>
            <w:tcW w:w="1500" w:type="dxa"/>
            <w:vAlign w:val="bottom"/>
          </w:tcPr>
          <w:p>
            <w:pPr>
              <w:jc w:val="right"/>
              <w:spacing w:after="0"/>
              <w:rPr>
                <w:rFonts w:ascii="Arial" w:cs="Arial" w:eastAsia="Arial" w:hAnsi="Arial"/>
                <w:sz w:val="16"/>
                <w:szCs w:val="16"/>
                <w:color w:val="auto"/>
              </w:rPr>
            </w:pPr>
            <w:hyperlink w:anchor="page106">
              <w:r>
                <w:rPr>
                  <w:rFonts w:ascii="Arial" w:cs="Arial" w:eastAsia="Arial" w:hAnsi="Arial"/>
                  <w:sz w:val="16"/>
                  <w:szCs w:val="16"/>
                  <w:color w:val="auto"/>
                </w:rPr>
                <w:t>103</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11.</w:t>
            </w:r>
          </w:p>
        </w:tc>
        <w:tc>
          <w:tcPr>
            <w:tcW w:w="3680" w:type="dxa"/>
            <w:vAlign w:val="bottom"/>
            <w:tcBorders>
              <w:top w:val="single" w:sz="8" w:color="0000EE"/>
            </w:tcBorders>
            <w:gridSpan w:val="12"/>
          </w:tcPr>
          <w:p>
            <w:pPr>
              <w:spacing w:after="0"/>
              <w:rPr>
                <w:rFonts w:ascii="Arial" w:cs="Arial" w:eastAsia="Arial" w:hAnsi="Arial"/>
                <w:sz w:val="16"/>
                <w:szCs w:val="16"/>
                <w:color w:val="0000EE"/>
              </w:rPr>
            </w:pPr>
            <w:hyperlink w:anchor="page106">
              <w:r>
                <w:rPr>
                  <w:rFonts w:ascii="Arial" w:cs="Arial" w:eastAsia="Arial" w:hAnsi="Arial"/>
                  <w:sz w:val="16"/>
                  <w:szCs w:val="16"/>
                  <w:color w:val="0000EE"/>
                </w:rPr>
                <w:t>Executive Compensation</w:t>
              </w:r>
            </w:hyperlink>
          </w:p>
        </w:tc>
        <w:tc>
          <w:tcPr>
            <w:tcW w:w="4600" w:type="dxa"/>
            <w:vAlign w:val="bottom"/>
            <w:gridSpan w:val="8"/>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106">
              <w:r>
                <w:rPr>
                  <w:rFonts w:ascii="Arial" w:cs="Arial" w:eastAsia="Arial" w:hAnsi="Arial"/>
                  <w:sz w:val="16"/>
                  <w:szCs w:val="16"/>
                  <w:color w:val="auto"/>
                </w:rPr>
                <w:t>103</w:t>
              </w:r>
            </w:hyperlink>
          </w:p>
        </w:tc>
      </w:tr>
      <w:tr>
        <w:trPr>
          <w:trHeight w:val="20"/>
        </w:trPr>
        <w:tc>
          <w:tcPr>
            <w:tcW w:w="164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12.</w:t>
            </w:r>
          </w:p>
        </w:tc>
        <w:tc>
          <w:tcPr>
            <w:tcW w:w="8280" w:type="dxa"/>
            <w:vAlign w:val="bottom"/>
            <w:gridSpan w:val="20"/>
          </w:tcPr>
          <w:p>
            <w:pPr>
              <w:spacing w:after="0"/>
              <w:rPr>
                <w:rFonts w:ascii="Arial" w:cs="Arial" w:eastAsia="Arial" w:hAnsi="Arial"/>
                <w:sz w:val="16"/>
                <w:szCs w:val="16"/>
                <w:color w:val="0000EE"/>
              </w:rPr>
            </w:pPr>
            <w:hyperlink w:anchor="page106">
              <w:r>
                <w:rPr>
                  <w:rFonts w:ascii="Arial" w:cs="Arial" w:eastAsia="Arial" w:hAnsi="Arial"/>
                  <w:sz w:val="16"/>
                  <w:szCs w:val="16"/>
                  <w:color w:val="0000EE"/>
                </w:rPr>
                <w:t>Security Ownership of Certain Beneficial Owners and Management and Related Stockholder Matters</w:t>
              </w:r>
            </w:hyperlink>
          </w:p>
        </w:tc>
        <w:tc>
          <w:tcPr>
            <w:tcW w:w="1500" w:type="dxa"/>
            <w:vAlign w:val="bottom"/>
          </w:tcPr>
          <w:p>
            <w:pPr>
              <w:jc w:val="right"/>
              <w:spacing w:after="0"/>
              <w:rPr>
                <w:rFonts w:ascii="Arial" w:cs="Arial" w:eastAsia="Arial" w:hAnsi="Arial"/>
                <w:sz w:val="16"/>
                <w:szCs w:val="16"/>
                <w:color w:val="auto"/>
              </w:rPr>
            </w:pPr>
            <w:hyperlink w:anchor="page106">
              <w:r>
                <w:rPr>
                  <w:rFonts w:ascii="Arial" w:cs="Arial" w:eastAsia="Arial" w:hAnsi="Arial"/>
                  <w:sz w:val="16"/>
                  <w:szCs w:val="16"/>
                  <w:color w:val="auto"/>
                </w:rPr>
                <w:t>103</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13.</w:t>
            </w:r>
          </w:p>
        </w:tc>
        <w:tc>
          <w:tcPr>
            <w:tcW w:w="4920" w:type="dxa"/>
            <w:vAlign w:val="bottom"/>
            <w:tcBorders>
              <w:top w:val="single" w:sz="8" w:color="0000EE"/>
              <w:bottom w:val="single" w:sz="8" w:color="0000EE"/>
            </w:tcBorders>
            <w:gridSpan w:val="15"/>
          </w:tcPr>
          <w:p>
            <w:pPr>
              <w:spacing w:after="0"/>
              <w:rPr>
                <w:rFonts w:ascii="Arial" w:cs="Arial" w:eastAsia="Arial" w:hAnsi="Arial"/>
                <w:sz w:val="16"/>
                <w:szCs w:val="16"/>
                <w:color w:val="0000EE"/>
                <w:w w:val="90"/>
              </w:rPr>
            </w:pPr>
            <w:hyperlink w:anchor="page106">
              <w:r>
                <w:rPr>
                  <w:rFonts w:ascii="Arial" w:cs="Arial" w:eastAsia="Arial" w:hAnsi="Arial"/>
                  <w:sz w:val="16"/>
                  <w:szCs w:val="16"/>
                  <w:color w:val="0000EE"/>
                  <w:w w:val="90"/>
                </w:rPr>
                <w:t>Certain Relationships and Related Transactions, and Director Independence</w:t>
              </w:r>
            </w:hyperlink>
          </w:p>
        </w:tc>
        <w:tc>
          <w:tcPr>
            <w:tcW w:w="1640" w:type="dxa"/>
            <w:vAlign w:val="bottom"/>
            <w:tcBorders>
              <w:top w:val="single" w:sz="8" w:color="0000EE"/>
            </w:tcBorders>
            <w:gridSpan w:val="3"/>
          </w:tcPr>
          <w:p>
            <w:pPr>
              <w:spacing w:after="0"/>
              <w:rPr>
                <w:sz w:val="20"/>
                <w:szCs w:val="20"/>
                <w:color w:val="auto"/>
              </w:rPr>
            </w:pPr>
          </w:p>
        </w:tc>
        <w:tc>
          <w:tcPr>
            <w:tcW w:w="1720" w:type="dxa"/>
            <w:vAlign w:val="bottom"/>
            <w:gridSpan w:val="2"/>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106">
              <w:r>
                <w:rPr>
                  <w:rFonts w:ascii="Arial" w:cs="Arial" w:eastAsia="Arial" w:hAnsi="Arial"/>
                  <w:sz w:val="16"/>
                  <w:szCs w:val="16"/>
                  <w:color w:val="auto"/>
                </w:rPr>
                <w:t>103</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14.</w:t>
            </w:r>
          </w:p>
        </w:tc>
        <w:tc>
          <w:tcPr>
            <w:tcW w:w="8280" w:type="dxa"/>
            <w:vAlign w:val="bottom"/>
            <w:gridSpan w:val="20"/>
          </w:tcPr>
          <w:p>
            <w:pPr>
              <w:spacing w:after="0"/>
              <w:rPr>
                <w:rFonts w:ascii="Arial" w:cs="Arial" w:eastAsia="Arial" w:hAnsi="Arial"/>
                <w:sz w:val="16"/>
                <w:szCs w:val="16"/>
                <w:color w:val="0000EE"/>
              </w:rPr>
            </w:pPr>
            <w:hyperlink w:anchor="page106">
              <w:r>
                <w:rPr>
                  <w:rFonts w:ascii="Arial" w:cs="Arial" w:eastAsia="Arial" w:hAnsi="Arial"/>
                  <w:sz w:val="16"/>
                  <w:szCs w:val="16"/>
                  <w:color w:val="0000EE"/>
                </w:rPr>
                <w:t>Principal Accounting Fees and Services</w:t>
              </w:r>
            </w:hyperlink>
          </w:p>
        </w:tc>
        <w:tc>
          <w:tcPr>
            <w:tcW w:w="1500" w:type="dxa"/>
            <w:vAlign w:val="bottom"/>
          </w:tcPr>
          <w:p>
            <w:pPr>
              <w:jc w:val="right"/>
              <w:spacing w:after="0"/>
              <w:rPr>
                <w:rFonts w:ascii="Arial" w:cs="Arial" w:eastAsia="Arial" w:hAnsi="Arial"/>
                <w:sz w:val="16"/>
                <w:szCs w:val="16"/>
                <w:color w:val="auto"/>
              </w:rPr>
            </w:pPr>
            <w:hyperlink w:anchor="page106">
              <w:r>
                <w:rPr>
                  <w:rFonts w:ascii="Arial" w:cs="Arial" w:eastAsia="Arial" w:hAnsi="Arial"/>
                  <w:sz w:val="16"/>
                  <w:szCs w:val="16"/>
                  <w:color w:val="auto"/>
                </w:rPr>
                <w:t>103</w:t>
              </w:r>
            </w:hyperlink>
          </w:p>
        </w:tc>
      </w:tr>
      <w:tr>
        <w:trPr>
          <w:trHeight w:val="528"/>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PART IV</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2"/>
        </w:trPr>
        <w:tc>
          <w:tcPr>
            <w:tcW w:w="1640" w:type="dxa"/>
            <w:vAlign w:val="bottom"/>
          </w:tcPr>
          <w:p>
            <w:pPr>
              <w:ind w:left="180"/>
              <w:spacing w:after="0"/>
              <w:rPr>
                <w:sz w:val="20"/>
                <w:szCs w:val="20"/>
                <w:color w:val="auto"/>
              </w:rPr>
            </w:pPr>
            <w:r>
              <w:rPr>
                <w:rFonts w:ascii="Arial" w:cs="Arial" w:eastAsia="Arial" w:hAnsi="Arial"/>
                <w:sz w:val="16"/>
                <w:szCs w:val="16"/>
                <w:color w:val="auto"/>
              </w:rPr>
              <w:t>Item 15.</w:t>
            </w:r>
          </w:p>
        </w:tc>
        <w:tc>
          <w:tcPr>
            <w:tcW w:w="8280" w:type="dxa"/>
            <w:vAlign w:val="bottom"/>
            <w:gridSpan w:val="20"/>
          </w:tcPr>
          <w:p>
            <w:pPr>
              <w:spacing w:after="0"/>
              <w:rPr>
                <w:rFonts w:ascii="Arial" w:cs="Arial" w:eastAsia="Arial" w:hAnsi="Arial"/>
                <w:sz w:val="16"/>
                <w:szCs w:val="16"/>
                <w:color w:val="0000EE"/>
              </w:rPr>
            </w:pPr>
            <w:hyperlink w:anchor="page107">
              <w:r>
                <w:rPr>
                  <w:rFonts w:ascii="Arial" w:cs="Arial" w:eastAsia="Arial" w:hAnsi="Arial"/>
                  <w:sz w:val="16"/>
                  <w:szCs w:val="16"/>
                  <w:color w:val="0000EE"/>
                </w:rPr>
                <w:t>Exhibits, Consolidated Financial Statement Schedules</w:t>
              </w:r>
            </w:hyperlink>
          </w:p>
        </w:tc>
        <w:tc>
          <w:tcPr>
            <w:tcW w:w="1500" w:type="dxa"/>
            <w:vAlign w:val="bottom"/>
          </w:tcPr>
          <w:p>
            <w:pPr>
              <w:jc w:val="right"/>
              <w:spacing w:after="0"/>
              <w:rPr>
                <w:rFonts w:ascii="Arial" w:cs="Arial" w:eastAsia="Arial" w:hAnsi="Arial"/>
                <w:sz w:val="16"/>
                <w:szCs w:val="16"/>
                <w:color w:val="auto"/>
              </w:rPr>
            </w:pPr>
            <w:hyperlink w:anchor="page107">
              <w:r>
                <w:rPr>
                  <w:rFonts w:ascii="Arial" w:cs="Arial" w:eastAsia="Arial" w:hAnsi="Arial"/>
                  <w:sz w:val="16"/>
                  <w:szCs w:val="16"/>
                  <w:color w:val="auto"/>
                </w:rPr>
                <w:t>104</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16.</w:t>
            </w:r>
          </w:p>
        </w:tc>
        <w:tc>
          <w:tcPr>
            <w:tcW w:w="140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2"/>
              </w:rPr>
            </w:pPr>
            <w:hyperlink w:anchor="page109">
              <w:r>
                <w:rPr>
                  <w:rFonts w:ascii="Arial" w:cs="Arial" w:eastAsia="Arial" w:hAnsi="Arial"/>
                  <w:sz w:val="16"/>
                  <w:szCs w:val="16"/>
                  <w:color w:val="0000EE"/>
                  <w:w w:val="92"/>
                </w:rPr>
                <w:t>Form 10-K Summary</w:t>
              </w:r>
            </w:hyperlink>
          </w:p>
        </w:tc>
        <w:tc>
          <w:tcPr>
            <w:tcW w:w="2100" w:type="dxa"/>
            <w:vAlign w:val="bottom"/>
            <w:tcBorders>
              <w:top w:val="single" w:sz="8" w:color="0000EE"/>
            </w:tcBorders>
            <w:gridSpan w:val="6"/>
          </w:tcPr>
          <w:p>
            <w:pPr>
              <w:spacing w:after="0"/>
              <w:rPr>
                <w:sz w:val="20"/>
                <w:szCs w:val="20"/>
                <w:color w:val="auto"/>
              </w:rPr>
            </w:pPr>
          </w:p>
        </w:tc>
        <w:tc>
          <w:tcPr>
            <w:tcW w:w="4780" w:type="dxa"/>
            <w:vAlign w:val="bottom"/>
            <w:gridSpan w:val="9"/>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109">
              <w:r>
                <w:rPr>
                  <w:rFonts w:ascii="Arial" w:cs="Arial" w:eastAsia="Arial" w:hAnsi="Arial"/>
                  <w:sz w:val="16"/>
                  <w:szCs w:val="16"/>
                  <w:color w:val="auto"/>
                </w:rPr>
                <w:t>106</w:t>
              </w:r>
            </w:hyperlink>
          </w:p>
        </w:tc>
      </w:tr>
      <w:tr>
        <w:trPr>
          <w:trHeight w:val="237"/>
        </w:trPr>
        <w:tc>
          <w:tcPr>
            <w:tcW w:w="1640" w:type="dxa"/>
            <w:vAlign w:val="bottom"/>
          </w:tcPr>
          <w:p>
            <w:pPr>
              <w:spacing w:after="0"/>
              <w:rPr>
                <w:sz w:val="20"/>
                <w:szCs w:val="20"/>
                <w:color w:val="auto"/>
              </w:rPr>
            </w:pPr>
          </w:p>
        </w:tc>
        <w:tc>
          <w:tcPr>
            <w:tcW w:w="8280" w:type="dxa"/>
            <w:vAlign w:val="bottom"/>
            <w:gridSpan w:val="20"/>
          </w:tcPr>
          <w:p>
            <w:pPr>
              <w:spacing w:after="0"/>
              <w:rPr>
                <w:rFonts w:ascii="Arial" w:cs="Arial" w:eastAsia="Arial" w:hAnsi="Arial"/>
                <w:sz w:val="16"/>
                <w:szCs w:val="16"/>
                <w:color w:val="0000EE"/>
              </w:rPr>
            </w:pPr>
            <w:hyperlink w:anchor="page110">
              <w:r>
                <w:rPr>
                  <w:rFonts w:ascii="Arial" w:cs="Arial" w:eastAsia="Arial" w:hAnsi="Arial"/>
                  <w:sz w:val="16"/>
                  <w:szCs w:val="16"/>
                  <w:color w:val="0000EE"/>
                </w:rPr>
                <w:t>Signatures</w:t>
              </w:r>
            </w:hyperlink>
          </w:p>
        </w:tc>
        <w:tc>
          <w:tcPr>
            <w:tcW w:w="1500" w:type="dxa"/>
            <w:vAlign w:val="bottom"/>
          </w:tcPr>
          <w:p>
            <w:pPr>
              <w:jc w:val="right"/>
              <w:spacing w:after="0"/>
              <w:rPr>
                <w:rFonts w:ascii="Arial" w:cs="Arial" w:eastAsia="Arial" w:hAnsi="Arial"/>
                <w:sz w:val="16"/>
                <w:szCs w:val="16"/>
                <w:color w:val="auto"/>
              </w:rPr>
            </w:pPr>
            <w:hyperlink w:anchor="page110">
              <w:r>
                <w:rPr>
                  <w:rFonts w:ascii="Arial" w:cs="Arial" w:eastAsia="Arial" w:hAnsi="Arial"/>
                  <w:sz w:val="16"/>
                  <w:szCs w:val="16"/>
                  <w:color w:val="auto"/>
                </w:rPr>
                <w:t>107</w:t>
              </w:r>
            </w:hyperlink>
          </w:p>
        </w:tc>
      </w:tr>
      <w:tr>
        <w:trPr>
          <w:trHeight w:val="20"/>
        </w:trPr>
        <w:tc>
          <w:tcPr>
            <w:tcW w:w="1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ectPr>
          <w:pgSz w:w="11900" w:h="16838" w:orient="portrait"/>
          <w:cols w:equalWidth="0" w:num="1">
            <w:col w:w="11420"/>
          </w:cols>
          <w:pgMar w:left="240" w:top="553"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This Annual Report on Form 10-K (Annual Report) contains forward-looking statements within the meaning of Section 21E of the Securities Exchange Act of 1934, as amended (Exchange Act), and section 27A of the Securities Act of 1933, as amended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660" w:right="460" w:hanging="31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etokimab for patients with respiratory disorders and ANB019 for patients with generalized pustular psoriasis, or GPP, and palmoplantar pustulosis, or PPP;</w:t>
      </w:r>
    </w:p>
    <w:p>
      <w:pPr>
        <w:spacing w:after="0" w:line="62" w:lineRule="exact"/>
        <w:rPr>
          <w:rFonts w:ascii="Arial" w:cs="Arial" w:eastAsia="Arial" w:hAnsi="Arial"/>
          <w:sz w:val="18"/>
          <w:szCs w:val="18"/>
          <w:color w:val="auto"/>
        </w:rPr>
      </w:pPr>
    </w:p>
    <w:p>
      <w:pPr>
        <w:ind w:left="660" w:right="100" w:hanging="314"/>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8"/>
          <w:szCs w:val="18"/>
          <w:color w:val="231F20"/>
        </w:rPr>
        <w:t>U.S. Food and Drug Administration, or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3"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right="140" w:hanging="314"/>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38" w:lineRule="exact"/>
        <w:rPr>
          <w:rFonts w:ascii="Arial" w:cs="Arial" w:eastAsia="Arial" w:hAnsi="Arial"/>
          <w:sz w:val="17"/>
          <w:szCs w:val="17"/>
          <w:color w:val="auto"/>
        </w:rPr>
      </w:pPr>
    </w:p>
    <w:p>
      <w:pPr>
        <w:ind w:left="660" w:right="100" w:hanging="31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etokimab and ANB019 and our other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Australia and other foreign countries;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w:t>
      </w:r>
    </w:p>
    <w:p>
      <w:pPr>
        <w:spacing w:after="0" w:line="117" w:lineRule="exact"/>
        <w:rPr>
          <w:rFonts w:ascii="Arial" w:cs="Arial" w:eastAsia="Arial" w:hAnsi="Arial"/>
          <w:sz w:val="18"/>
          <w:szCs w:val="18"/>
          <w:color w:val="auto"/>
        </w:rPr>
      </w:pPr>
    </w:p>
    <w:p>
      <w:pPr>
        <w:ind w:left="660" w:right="560" w:hanging="31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80" w:firstLine="567"/>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7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87" w:lineRule="exact"/>
        <w:rPr>
          <w:sz w:val="20"/>
          <w:szCs w:val="20"/>
          <w:color w:val="auto"/>
        </w:rPr>
      </w:pPr>
    </w:p>
    <w:p>
      <w:pPr>
        <w:ind w:right="1060" w:firstLine="567"/>
        <w:spacing w:after="0" w:line="277" w:lineRule="auto"/>
        <w:rPr>
          <w:sz w:val="20"/>
          <w:szCs w:val="20"/>
          <w:color w:val="auto"/>
        </w:rPr>
      </w:pPr>
      <w:r>
        <w:rPr>
          <w:rFonts w:ascii="Arial" w:cs="Arial" w:eastAsia="Arial" w:hAnsi="Arial"/>
          <w:sz w:val="18"/>
          <w:szCs w:val="18"/>
          <w:color w:val="auto"/>
        </w:rPr>
        <w:t>You should read this Annual Report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Unless the context indicates otherwise, as used in this Annual Report, the terms “AnaptysBio,” “company,” “we,” “us” and “our” refer to AnaptysBio, Inc., a Delaware corporation, and its subsidiaries taken as a whole, unless otherwise noted. AnaptysBio is our common law trademark.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53"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567"/>
        <w:spacing w:after="0" w:line="272" w:lineRule="auto"/>
        <w:rPr>
          <w:sz w:val="20"/>
          <w:szCs w:val="20"/>
          <w:color w:val="auto"/>
        </w:rPr>
      </w:pPr>
      <w:r>
        <w:rPr>
          <w:rFonts w:ascii="Arial" w:cs="Arial" w:eastAsia="Arial" w:hAnsi="Arial"/>
          <w:sz w:val="17"/>
          <w:szCs w:val="17"/>
          <w:color w:val="auto"/>
        </w:rPr>
        <w:t xml:space="preserve">We are a clinical stage biotechnology company developing first-in-class immunology therapeutic product candidates to patients. We are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etokimab, ANB019, ANB030 and ANB032, are designed to modulate therapeutic targets that are genetically associated with human inflammatory disorders.</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Etokimab inhibits the activity of the interleukin-33 cytokine, or IL-33, which we believe is broadly applicable to the treatment of respiratory disorders. We are conducting a randomized, placebo-controlled Phase 2 trial of etokimab in approximately 100 adult patients with CRSwNP, also referred to as the ECLIPSE trial, which is a debilitating atopic disorder associated with elevated IL-33 pathway signaling. We anticipate interim top-line data from this trial to be available in the first half of 2020. We have previously completed a Phase 2a randomized, placebo-controlled, single dose study of etokimab in 25 severe adult eosinophilic asthma patients. We presented full data from this trial at the 2019 European Academy of Allergy and Clinical Immunology (EAACI), which demonstrated that a single dose of etokimab resulted in rapid and sustained lung function improvement as measured using Forced Expiratory Volume in One Second, or FEV1, patient reported outcomes associated with asthma symptoms, as measured using the Asthma Control Questionnaire 5. As a result of our recently completed Phase 2b etokimab ATLAS trial in moderate-to-severe atopic dermatitis, the Company has decided to discontinue further clinical development in atopic dermatitis. We have also postponed initiation of a previously announced Phase 2b etokimab clinical trial in eosinophilic asthma until data is available from the aforementioned ECLIPSE trial.</w:t>
      </w:r>
    </w:p>
    <w:p>
      <w:pPr>
        <w:spacing w:after="0" w:line="178"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Our ANB019 antibody inhibits the interleukin-36 receptor, or IL-36R, and is being developed for the treatment of rare inflammatory diseases including generalized pustular psoriasis, or GPP, and palmoplantar pustulosis, or PPP. We completed a Phase 1 clinical trial in healthy volunteers, which was presented at EAACI 2018, where ANB019 was well-tolerated by all subjects, no dose-limiting toxicities were observed, and no serious adverse events were reported among any subjects in the trial. We are conducting an open-label, multi-dose, single-arm Phase 2 trial of ANB019 in up to 10 GPP patients, also referred to as the GALLOP trial, where an interim analysis, announced in September 2019, was conducted after the first two patients completed 16-weeks (Day 113) with ANB019 monotherapy. Both patients achieved the primary endpoint of disease improvement at Day 29 and Day 113 without requiring rescue therapy. Patients demonstrated rapid and sustained modified Japanese Dermatology Association (mJDA) improvement and complete clearance of skin pustules from Day 8 through Day 113. C-reactive protein, or CRP, levels decreased to nearly normal in both patients and genotypic testing of these two patients indicated that ANB019 may be broadly applicable to pustular disease patients without a requirement for genetic screening. Enrollment is ongoing in GALLOP and we anticipate additional clinical data and a regulatory strategy update for the development of ANB019 in GPP during 2020. We are also conducting a randomized, double-blind, placebo-controlled approximately 50-patient multi-dose trial of ANB019 in PPP, also referred to as the POPLAR trial, where top-line data are anticipated in the second half of 2020.</w:t>
      </w:r>
    </w:p>
    <w:p>
      <w:pPr>
        <w:spacing w:after="0" w:line="180"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Our third wholly-owned program ANB030, an anti-programmed cell death protein 1 (PD-1) agonist antibody program, is designed to augment PD-1 signaling through ANB030 treatment to suppress T-cell driven human inflammatory diseases. Genetic mutations in the PD-1 pathway are known to be associated with increased susceptibility to human inflammatory diseases, and hence we believe ANB030 is applicable to diseases where PD-1 checkpoint receptor function may be under-represented. Preclinical data for ANB030 was presented at the 2019 Federation of Clinical Immunological Societies (FOCIS) Annual Meeting in June 2019. We submitted an Investigational New Drug Application, or IND, for ANB030 in the fourth quarter of 2019 and anticipate initiation of a Phase 1 healthy volunteer clinical trial in the first half of 2020.</w:t>
      </w:r>
    </w:p>
    <w:p>
      <w:pPr>
        <w:spacing w:after="0" w:line="178"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Our fourth wholly-owned program is an anti-B-and T-lymphocyte attenuator, or 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herpes virus entry mediator, or HVEM. We anticipate filing an IND for ANB032 in the second half of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61" w:right="259" w:bottom="1440" w:gutter="0" w:footer="0" w:header="0"/>
        </w:sectPr>
      </w:pPr>
    </w:p>
    <w:bookmarkStart w:id="5" w:name="page6"/>
    <w:bookmarkEnd w:id="5"/>
    <w:p>
      <w:pPr>
        <w:ind w:firstLine="567"/>
        <w:spacing w:after="0" w:line="293" w:lineRule="auto"/>
        <w:rPr>
          <w:sz w:val="20"/>
          <w:szCs w:val="20"/>
          <w:color w:val="auto"/>
        </w:rPr>
      </w:pPr>
      <w:r>
        <w:rPr>
          <w:rFonts w:ascii="Arial" w:cs="Arial" w:eastAsia="Arial" w:hAnsi="Arial"/>
          <w:sz w:val="16"/>
          <w:szCs w:val="16"/>
          <w:color w:val="auto"/>
        </w:rPr>
        <w:t>In addition to our wholly-owned antibody programs, multiple AnaptysBio-developed antibody programs have been advanced to preclinical and clinical milestones under our collaborations. We have received to date approximately $90.0 million in cash receipts from collaborations. Our collaborations include an immuno-oncology-focused collaboration with TESARO, Inc. and TESARO Development, Ltd., or collectively TESARO, now a part of GlaxoSmithKline or “GSK”, and an inflammation-focused collaboration with Celgene Corporation, or Celgene, now part of Bristol-Myers Squibb. A Biologics License Application, or BLA, for our most advanced partnered program, which is an anti-PD-1 antagonist antibody called dostarlimab, was recently submitted by GlaxoSmithKline, and we anticipate FDA approval in the near-term. For more information about these collaborations, see “— Collaborations”.</w:t>
      </w:r>
    </w:p>
    <w:p>
      <w:pPr>
        <w:spacing w:after="0" w:line="219" w:lineRule="exact"/>
        <w:rPr>
          <w:sz w:val="20"/>
          <w:szCs w:val="20"/>
          <w:color w:val="auto"/>
        </w:rPr>
      </w:pPr>
    </w:p>
    <w:p>
      <w:pPr>
        <w:ind w:right="200" w:firstLine="567"/>
        <w:spacing w:after="0" w:line="308" w:lineRule="auto"/>
        <w:rPr>
          <w:sz w:val="20"/>
          <w:szCs w:val="20"/>
          <w:color w:val="auto"/>
        </w:rPr>
      </w:pPr>
      <w:r>
        <w:rPr>
          <w:rFonts w:ascii="Arial" w:cs="Arial" w:eastAsia="Arial" w:hAnsi="Arial"/>
          <w:sz w:val="17"/>
          <w:szCs w:val="17"/>
          <w:color w:val="auto"/>
        </w:rPr>
        <w:t>We endeavor to operate with capital efficiency and anticipate that our current cash and existing collaborations will provide cash runway at least into 2023. We anticipate our net cash usage in 2020 (after receipt of anticipated collaboration revenues) to be approximately $60.0 million.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83185</wp:posOffset>
            </wp:positionV>
            <wp:extent cx="5848985" cy="3902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90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58" w:lineRule="exact"/>
        <w:rPr>
          <w:sz w:val="20"/>
          <w:szCs w:val="20"/>
          <w:color w:val="auto"/>
        </w:rPr>
      </w:pPr>
    </w:p>
    <w:p>
      <w:pPr>
        <w:ind w:left="660" w:right="120" w:hanging="314"/>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Advancing our wholly-owned lead product candidates to clinical milestones. </w:t>
      </w:r>
      <w:r>
        <w:rPr>
          <w:rFonts w:ascii="Arial" w:cs="Arial" w:eastAsia="Arial" w:hAnsi="Arial"/>
          <w:sz w:val="18"/>
          <w:szCs w:val="18"/>
          <w:color w:val="auto"/>
        </w:rPr>
        <w:t>We are working to demonstrate the safety and efficacy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wholly-owned pipeline programs. We are currently developing four wholly-owned programs to key 2020 milestones, including our Phase 2 chronic rhinosinusitis with nasal polyps ECLIPSE trial with etokimab in the first half of 2020, additional data from our Phase 2 ANB019 trials in GPP during 2020 and PPP during the second half of 2020, initiation of a Phase 1 trial of ANB030 in the first half of 2020 and filing of an IND for ANB032 in the second half of 2020.</w:t>
      </w:r>
    </w:p>
    <w:p>
      <w:pPr>
        <w:spacing w:after="0" w:line="75" w:lineRule="exact"/>
        <w:rPr>
          <w:rFonts w:ascii="Arial" w:cs="Arial" w:eastAsia="Arial" w:hAnsi="Arial"/>
          <w:sz w:val="18"/>
          <w:szCs w:val="18"/>
          <w:color w:val="auto"/>
        </w:rPr>
      </w:pPr>
    </w:p>
    <w:p>
      <w:pPr>
        <w:ind w:left="660" w:right="180" w:hanging="314"/>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SHM antibody generation platform, we are able to rapidly develop novel antibodies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73" w:right="239" w:bottom="1440" w:gutter="0" w:footer="0" w:header="0"/>
        </w:sectPr>
      </w:pPr>
    </w:p>
    <w:bookmarkStart w:id="6" w:name="page7"/>
    <w:bookmarkEnd w:id="6"/>
    <w:p>
      <w:pPr>
        <w:ind w:left="660" w:right="80"/>
        <w:spacing w:after="0" w:line="277" w:lineRule="auto"/>
        <w:rPr>
          <w:sz w:val="20"/>
          <w:szCs w:val="20"/>
          <w:color w:val="auto"/>
        </w:rPr>
      </w:pPr>
      <w:r>
        <w:rPr>
          <w:rFonts w:ascii="Arial" w:cs="Arial" w:eastAsia="Arial" w:hAnsi="Arial"/>
          <w:sz w:val="18"/>
          <w:szCs w:val="18"/>
          <w:color w:val="auto"/>
        </w:rPr>
        <w:t>against biological targets. Our goal is to continue expanding our wholly-owned new therapeutic antibody program pipeline by innovating additional wholly-owned novel pipeline antibodies to potentially first-in-class immune-related targets.</w:t>
      </w:r>
    </w:p>
    <w:p>
      <w:pPr>
        <w:spacing w:after="0" w:line="58" w:lineRule="exact"/>
        <w:rPr>
          <w:sz w:val="20"/>
          <w:szCs w:val="20"/>
          <w:color w:val="auto"/>
        </w:rPr>
      </w:pPr>
    </w:p>
    <w:p>
      <w:pPr>
        <w:ind w:left="660" w:right="140" w:hanging="314"/>
        <w:spacing w:after="0" w:line="27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initial efficacy assessment.</w:t>
      </w:r>
    </w:p>
    <w:p>
      <w:pPr>
        <w:spacing w:after="0" w:line="60" w:lineRule="exact"/>
        <w:rPr>
          <w:rFonts w:ascii="Arial" w:cs="Arial" w:eastAsia="Arial" w:hAnsi="Arial"/>
          <w:sz w:val="17"/>
          <w:szCs w:val="17"/>
          <w:color w:val="auto"/>
        </w:rPr>
      </w:pPr>
    </w:p>
    <w:p>
      <w:pPr>
        <w:ind w:left="660" w:right="300" w:hanging="314"/>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 key</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and clinical data inflection points. For certain programs, we plan to seek strategic collaborations that provide us with funding, infrastructure and marketing resources to advance through development and commercialization.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Wholly-Owned Product Pipeline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most advanced, wholly-owned pipeline programs, etokimab, ANB019, ANB030 and ANB032, are described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Etokimab: Anti-IL-33 Antibody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340" w:firstLine="567"/>
        <w:spacing w:after="0" w:line="276" w:lineRule="auto"/>
        <w:rPr>
          <w:sz w:val="20"/>
          <w:szCs w:val="20"/>
          <w:color w:val="auto"/>
        </w:rPr>
      </w:pPr>
      <w:r>
        <w:rPr>
          <w:rFonts w:ascii="Arial" w:cs="Arial" w:eastAsia="Arial" w:hAnsi="Arial"/>
          <w:sz w:val="17"/>
          <w:szCs w:val="17"/>
          <w:color w:val="auto"/>
        </w:rPr>
        <w:t xml:space="preserve">Etokimab is a potentially first-in-class antibody that inhibits the activity of IL-33 and is being developed to treat respiratory disorders. We are conducting </w:t>
      </w:r>
      <w:r>
        <w:rPr>
          <w:rFonts w:ascii="Arial" w:cs="Arial" w:eastAsia="Arial" w:hAnsi="Arial"/>
          <w:sz w:val="17"/>
          <w:szCs w:val="17"/>
          <w:color w:val="231F20"/>
        </w:rPr>
        <w:t>a</w:t>
      </w:r>
      <w:r>
        <w:rPr>
          <w:rFonts w:ascii="Arial" w:cs="Arial" w:eastAsia="Arial" w:hAnsi="Arial"/>
          <w:sz w:val="17"/>
          <w:szCs w:val="17"/>
          <w:color w:val="auto"/>
        </w:rPr>
        <w:t xml:space="preserve"> Phase 2 clinical trial of etokimab in patients with CRSwNP. We have completed a Phase 2a clinical trial of etokimab in severe eosinophilic asthma, and have elected to delay initiation of further clinical development in this indication until data are available from our ongoing CRSwNP trial. We have previously completed a Phase 2a trial in severe peanut allergy patients and a Phase 2a and Phase 2b clinical trial of etokimab in moderate-to-severe atopic dermatitis and have subsequently decided to discontinue further clinical development in those indications.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IL-33 Target Biology</w:t>
      </w:r>
    </w:p>
    <w:p>
      <w:pPr>
        <w:spacing w:after="0" w:line="12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IL-33 is a pro-inflammatory cytokine that signals through the ST2 receptor, which multiple studies suggest serves as a central mediator of various immune responses leading to Th2-type inflammatory disorders, including asthma, CRSwNP and other atopic diseases. In response to pathogens, viruses, toxins or allergens, IL-33 is rapidly released from mucosal epithelial and endothelial cells. For example, a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 helper 2, or Th2, effector cells and Innate Lymphoid Cell Type 2, or ILC2, two types of white blood cells that initiate and orchestrate atopic responses.</w:t>
      </w:r>
    </w:p>
    <w:p>
      <w:pPr>
        <w:spacing w:after="0" w:line="189" w:lineRule="exact"/>
        <w:rPr>
          <w:sz w:val="20"/>
          <w:szCs w:val="20"/>
          <w:color w:val="auto"/>
        </w:rPr>
      </w:pPr>
    </w:p>
    <w:p>
      <w:pPr>
        <w:ind w:right="440" w:firstLine="567"/>
        <w:spacing w:after="0" w:line="342" w:lineRule="auto"/>
        <w:rPr>
          <w:sz w:val="20"/>
          <w:szCs w:val="20"/>
          <w:color w:val="auto"/>
        </w:rPr>
      </w:pPr>
      <w:r>
        <w:rPr>
          <w:rFonts w:ascii="Arial" w:cs="Arial" w:eastAsia="Arial" w:hAnsi="Arial"/>
          <w:sz w:val="16"/>
          <w:szCs w:val="16"/>
          <w:color w:val="auto"/>
        </w:rPr>
        <w:t>Because etokimab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124"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Genetic studies support the importance of the IL-33 pathway in respiratory diseases. These studies have demonstrated that certain ST2 mutations reduce IL-33 mediated signaling and thereby protect individuals with mutated ST2 from asthma. Certain studies also demonstrate that mutation that increases IL-33 mediated signaling increases incidence of asthma. This supports the hypothesis that an anti-IL-33 antibody, such as etokimab, has the potential to benefit respiratory diseases, including asthma and CRSwNP patients.</w:t>
      </w:r>
    </w:p>
    <w:p>
      <w:pPr>
        <w:spacing w:after="0" w:line="187" w:lineRule="exact"/>
        <w:rPr>
          <w:sz w:val="20"/>
          <w:szCs w:val="20"/>
          <w:color w:val="auto"/>
        </w:rPr>
      </w:pPr>
    </w:p>
    <w:p>
      <w:pPr>
        <w:ind w:right="180" w:firstLine="567"/>
        <w:spacing w:after="0" w:line="259" w:lineRule="auto"/>
        <w:rPr>
          <w:sz w:val="20"/>
          <w:szCs w:val="20"/>
          <w:color w:val="auto"/>
        </w:rPr>
      </w:pPr>
      <w:r>
        <w:rPr>
          <w:rFonts w:ascii="Arial" w:cs="Arial" w:eastAsia="Arial" w:hAnsi="Arial"/>
          <w:sz w:val="18"/>
          <w:szCs w:val="18"/>
          <w:color w:val="auto"/>
        </w:rPr>
        <w:t xml:space="preserve">We believe that targeting IL-33 activity is a more promising therapeutic intervention strategy than targeting its receptor, ST2, because (i) ST2 is present in significantly larger quantities, in comparison to IL-33, which will likely require high anti-ST2 antibody dosing levels, (ii) anti-ST2 antibodies are likely to be internalized </w:t>
      </w:r>
      <w:r>
        <w:rPr>
          <w:rFonts w:ascii="Arial" w:cs="Arial" w:eastAsia="Arial" w:hAnsi="Arial"/>
          <w:sz w:val="18"/>
          <w:szCs w:val="18"/>
          <w:i w:val="1"/>
          <w:iCs w:val="1"/>
          <w:color w:val="auto"/>
        </w:rPr>
        <w:t>in vivo</w:t>
      </w:r>
      <w:r>
        <w:rPr>
          <w:rFonts w:ascii="Arial" w:cs="Arial" w:eastAsia="Arial" w:hAnsi="Arial"/>
          <w:sz w:val="18"/>
          <w:szCs w:val="18"/>
          <w:color w:val="auto"/>
        </w:rPr>
        <w:t>, which will likely require frequent dosing and (iii) soluble ST2 inhibits IL-33 function, therefore blocking ST2, and likely leading to the release of additional IL-33, thereby exacerbating atopic disease.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66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Etokimab Description</w:t>
      </w:r>
    </w:p>
    <w:p>
      <w:pPr>
        <w:spacing w:after="0" w:line="121" w:lineRule="exact"/>
        <w:rPr>
          <w:sz w:val="20"/>
          <w:szCs w:val="20"/>
          <w:color w:val="auto"/>
        </w:rPr>
      </w:pPr>
    </w:p>
    <w:p>
      <w:pPr>
        <w:ind w:right="140" w:firstLine="567"/>
        <w:spacing w:after="0" w:line="273" w:lineRule="auto"/>
        <w:rPr>
          <w:sz w:val="20"/>
          <w:szCs w:val="20"/>
          <w:color w:val="auto"/>
        </w:rPr>
      </w:pPr>
      <w:r>
        <w:rPr>
          <w:rFonts w:ascii="Arial" w:cs="Arial" w:eastAsia="Arial" w:hAnsi="Arial"/>
          <w:sz w:val="17"/>
          <w:szCs w:val="17"/>
          <w:color w:val="auto"/>
        </w:rPr>
        <w:t xml:space="preserve">Etokimab, which is a potential first-in-class therapeutic antibody, is our wholly-owned anti-IL-33 antibody product candidate generated using our SHM technology platform. The potency and functional activity of etokimab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KD, and half-maximal inhibitory concentration values, or IC50. Etokimab demonstrated highly potent KD values of approximately 1 pM and 37 pM for human and cynomolgus monkey IL-33, respectively. Etokimab inhibits secretion of IL-5 from primary basophils purified from peripheral blood of healthy human subjects with an IC50 of approximately 1.5 nM, which is approximately 15-fold greater than that of the soluble ST2 antagonist. Lower KD and IC50 values indicate higher potency and functional activity, respectively.</w:t>
      </w:r>
    </w:p>
    <w:p>
      <w:pPr>
        <w:spacing w:after="0" w:line="178" w:lineRule="exact"/>
        <w:rPr>
          <w:sz w:val="20"/>
          <w:szCs w:val="20"/>
          <w:color w:val="auto"/>
        </w:rPr>
      </w:pPr>
    </w:p>
    <w:p>
      <w:pPr>
        <w:jc w:val="both"/>
        <w:ind w:right="120" w:firstLine="567"/>
        <w:spacing w:after="0" w:line="264" w:lineRule="auto"/>
        <w:rPr>
          <w:sz w:val="20"/>
          <w:szCs w:val="20"/>
          <w:color w:val="auto"/>
        </w:rPr>
      </w:pPr>
      <w:r>
        <w:rPr>
          <w:rFonts w:ascii="Arial" w:cs="Arial" w:eastAsia="Arial" w:hAnsi="Arial"/>
          <w:sz w:val="18"/>
          <w:szCs w:val="18"/>
          <w:color w:val="auto"/>
        </w:rPr>
        <w:t>Using peripheral blood mononuclear cells, or PBMC, etokimab inhibited human and cynomolgus monkey interferon-gamma release with an IC50 of approximately 1.1 nM and approximately 20.4 nM, respectively. We have developed a whole blood version of the PBMC assay, which we used in our Phase 1 trial to understand the pharmacodynamic activity of etokimab in clinical trials.</w:t>
      </w:r>
    </w:p>
    <w:p>
      <w:pPr>
        <w:spacing w:after="0" w:line="181"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Our preclinical development has also demonstrated that etokimab has favorable manufacturability, pharmacokinetics and toxicology to support development. Studies have demonstrated desirable manufacturing properties for etokimab, including robust expression from Chinese hamster ovary cells, or CHO cells, efficient purification using standard downstream techniques and stable formulation up to concentrations required for subcutaneous dosing in humans. Etokimab demonstrated a half-life of approximately seven days in cynomolgus monkeys, retained full functional activity when incubated in normal human serum at 37 °C for one week and proved to be fully active in cynomolgus monkey sera two weeks after dosing. We have conducted preclinical toxicology studies under good laboratory practices, or GLPs, for etokimab. In addition, we have conducted manufacturing under good manufacturing practice to produce etokimab in quantities for clinical use.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229" w:lineRule="exact"/>
        <w:rPr>
          <w:sz w:val="20"/>
          <w:szCs w:val="20"/>
          <w:color w:val="auto"/>
        </w:rPr>
      </w:pPr>
    </w:p>
    <w:p>
      <w:pPr>
        <w:ind w:firstLine="567"/>
        <w:spacing w:after="0" w:line="267" w:lineRule="auto"/>
        <w:rPr>
          <w:sz w:val="20"/>
          <w:szCs w:val="20"/>
          <w:color w:val="auto"/>
        </w:rPr>
      </w:pPr>
      <w:r>
        <w:rPr>
          <w:rFonts w:ascii="Arial" w:cs="Arial" w:eastAsia="Arial" w:hAnsi="Arial"/>
          <w:sz w:val="17"/>
          <w:szCs w:val="17"/>
          <w:color w:val="auto"/>
        </w:rPr>
        <w:t xml:space="preserve">We have completed a Phase 1 trial of etokimab in healthy volunteers in Australia under an approved Clinical Trial Notification, or CTN. Our Phase 1 trial assessed, in single ascending doses, or SAD, and multiple ascending doses, or MAD, safety, tolerability and pharmacokinetic characteristics of etokimab. The SAD cohorts of this Phase 1 trial have been completed and, subsequent to review of the clinical data generated under the SAD, the Australian regulatory authority approved the initiation of MAD cohorts, which have also been completed. In the double-blind, placebo-controlled Phase 1 trial, 96 healthy volunteer subjects were dosed with either a single subcutaneous or intravenous dose of etokimab ranging between 10 mg and 750 mg, or four multiple doses of etokimab ranging between 40 mg and 300 mg over a period of four consecutive weeks. In the SAD portion of our Phase 1 clinical trial of etokimab, 51 subjects (80%) experienced at least one treatment-emergent adverse events, or AE, however the occurrence of AEs was similar between etokimab (38 of 48; 79%) versus placebo (13 of 16, 81%) dosed individuals, and the most common AEs were upper respiratory tract infection (etokimab 48% vs. placebo 50%) and headache (etokimab 27% vs. placebo 31%). The only serious adverse event reported in the SAD portion of the trial was severe neutropenia 22 days post single dose of intravenous 750 mg etokimab in a single subject. Neutrophil levels in this subject returned to normal by 29 days post-dose and this event was preceded by prodromal viral symptoms consistent with an on-going viral infection. In the MAD portion of the Phase 1 clinical trial of etokimab, 24 subjects (75%) experienced an AE, however there was no difference in the percentage of AEs observed amongst subjects dosed with etokimab (18 of 24, 75%) versus placebo (6 of 8, 75%), and the most common AEs were upper respiratory tract infections (etokimab 21% versus placebo 38%) and headache (etokimab 33% versus placebo 38%). No severe adverse events were reported in the MAD portion of the clinical trial. None of these adverse events were determined to be drug-related and no dose-limiting toxicities were observed at any dose level. We concurrently evaluated the pharmacodynamics of etokimab in the SAD portion of the Phase 1 study using a whole blood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assay upon stimulation with IL-33/IL-12, where etokimab inhibition of IFN-gamma release was measured. Persistent and nearly complete inhibition was observed at 1032 hours (day 43) post-dosing for all SAD cohorts dosed with 40 mg etokimab or greater, regardless of whether such dose was through a subcutaneous or intravenous route of administration. In the 300 mg and 750 mg IV dosed cohorts of the SAD portion of the study, the pharmacodynamic assay was also performed at 2040 hours (day 85) post-dosing, and nearly complete IFN-gamma inhibition was observed through this time point. Pharmacokinetic testing indicated that the terminal half-life of etokimab among the SAD cohorts was approximately 372 hours (15–16 days) with comparable values across all doses and regardless of intravenous or subcutaneous route of administration. Anti-drug antibodies were detected at only low titer levels, and were observed in 5 of 48 etokimab dosed subjects in the SAD cohorts and 2 of 24 etokimab dosed subjects in the MAD cohorts, and no effect was observed on pharmacokinetic parameters in any of the subjects with anti-drug antibody titers. There were no adverse events that were determined to be drug-related, and no dose-limiting toxicities were observed at any dose level. We have concurrently utilized a whole blood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assay to evaluate pharmacodynamics, and we believe the results of this assay suggest that the pharmacodynamic activity of etokimab</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77" w:right="239" w:bottom="1440" w:gutter="0" w:footer="0" w:header="0"/>
        </w:sectPr>
      </w:pPr>
    </w:p>
    <w:bookmarkStart w:id="8" w:name="page9"/>
    <w:bookmarkEnd w:id="8"/>
    <w:p>
      <w:pPr>
        <w:ind w:right="280"/>
        <w:spacing w:after="0" w:line="277" w:lineRule="auto"/>
        <w:rPr>
          <w:sz w:val="20"/>
          <w:szCs w:val="20"/>
          <w:color w:val="auto"/>
        </w:rPr>
      </w:pPr>
      <w:r>
        <w:rPr>
          <w:rFonts w:ascii="Arial" w:cs="Arial" w:eastAsia="Arial" w:hAnsi="Arial"/>
          <w:sz w:val="18"/>
          <w:szCs w:val="18"/>
          <w:color w:val="auto"/>
        </w:rPr>
        <w:t>can, at certain dose levels, extend to three months subsequent to a single administration. We disclosed detailed data from this Phase 1 trial at the AAD and AAAAI conferences in early March 2017.</w:t>
      </w:r>
    </w:p>
    <w:p>
      <w:pPr>
        <w:spacing w:after="0" w:line="170"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We are conducting, under an IND to the FDA, a randomized, placebo-controlled Phase 2 trial of etokimab in approximately 100 adult patients with CRSwNP which is a debilitating atopic disorder associated with elevated IL-33 pathway signaling. Patients in this trial, also known as the ECLIPSE trial, will be randomized between three subcutaneous dosing cohorts, each in combination with mometasone furoate nasal spray as background therapy, as follows: (i) initial 300mg loading dose followed by 150mg monthly doses of etokimab, (ii) initial 300mg loading dose followed by 150mg doses of etokimab every eight weeks, and (iii) monthly doses of placebo. Efficacy will be assessed at week 8 and week 16 post-dosing, with an eight week monitoring period, using the bilateral endoscope Nasal Polyp Score and Sino-Nasal Outcome Test, and we anticipate interim (week 8) analysis top-line data from this trial to be available in the first half of 2020.</w:t>
      </w:r>
    </w:p>
    <w:p>
      <w:pPr>
        <w:spacing w:after="0" w:line="189" w:lineRule="exact"/>
        <w:rPr>
          <w:sz w:val="20"/>
          <w:szCs w:val="20"/>
          <w:color w:val="auto"/>
        </w:rPr>
      </w:pPr>
    </w:p>
    <w:p>
      <w:pPr>
        <w:ind w:right="20" w:firstLine="567"/>
        <w:spacing w:after="0" w:line="267" w:lineRule="auto"/>
        <w:rPr>
          <w:sz w:val="20"/>
          <w:szCs w:val="20"/>
          <w:color w:val="auto"/>
        </w:rPr>
      </w:pPr>
      <w:r>
        <w:rPr>
          <w:rFonts w:ascii="Arial" w:cs="Arial" w:eastAsia="Arial" w:hAnsi="Arial"/>
          <w:sz w:val="17"/>
          <w:szCs w:val="17"/>
          <w:color w:val="auto"/>
        </w:rPr>
        <w:t>In June 2019, we announced positive proof-of-concept data from our Phase 2a trial of etokimab in severe adult eosinophilic asthma patients. This Phase 2a proof-of-concept trial, conducted under a CTA with the MHRA in the United Kingdom and under an IND, with the U.S. Food and Drug Administration, or FDA, enrolled 25 adult severe eosinophilic asthma patients, who were randomized between a single 300mg intravenous dose of etokimab or placebo upon enrollment (Day 1) at six sites located in the United States and the United Kingdom. Upon screening, which occurred seven to 14 days prior to enrollment, patients were required to have a blood eosinophil count of at least 300 per microliter, confirmed clinical diagnosis of severe asthma according to the Global Initiative for Asthma (GINA) 2016, pre-bronchodilator FEV1 of less than 80 percent of predicted and at least one asthma exacerbation within the past 12 months requiring use of rescue medication. Patients were required to be stably maintained on high-dose inhaled corticosteroids (ICS) and long-acting beta-2-agonists (LABA) for at least three months prior to screening and were required to continue ICS/LABA therapy during the course of this trial. Patients were permitted to utilize rescue therapy when medically necessary, including in the management of asthma exacerbations. Baseline clinical assessments were conducted for each patient on Day 1 prior to etokimab or placebo dose, and patients completed follow-up clinical assessments on Days 2, 8, 22, 36, 64, 85, 106 and 127. Patients in the etokimab arm rapidly improved their Forced Exhaled Volume In One Second (FEV1), which is a measure of lung function, with an eight percent FEV1 improvement over placebo at Day 2, which was sustained through Day 64 with an 11 percent increase over placebo. Asthma Control Questionnaire 5 (ACQ-5) scores, which comprise patient-reported outcomes associated with asthma symptoms, decreased in the etokimab arm by 0.52 over placebo at Day 8 and were sustained to 0.54 over placebo at Day 64, and the etokimab arm achieved the minimal clinically important difference (MCID) of 0.5 below baseline. Blood eosinophil level reduction, which is a biomarker of etokimab’s mechanism, demonstrated 31 percent and 46 percent reductions in the etokimab arm over placebo at Days 2 and 64, respectively. Etokimab was generally well tolerated in all patients and no serious adverse events were reported.</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of the aforementioned clinical trials are subject to regulatory review by the respective regulatory authority applicable to the jurisdiction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trial.</w:t>
      </w:r>
    </w:p>
    <w:p>
      <w:pPr>
        <w:spacing w:after="0" w:line="211" w:lineRule="exact"/>
        <w:rPr>
          <w:sz w:val="20"/>
          <w:szCs w:val="20"/>
          <w:color w:val="auto"/>
        </w:rPr>
      </w:pPr>
    </w:p>
    <w:p>
      <w:pPr>
        <w:jc w:val="both"/>
        <w:ind w:right="260" w:firstLine="567"/>
        <w:spacing w:after="0" w:line="308" w:lineRule="auto"/>
        <w:rPr>
          <w:sz w:val="20"/>
          <w:szCs w:val="20"/>
          <w:color w:val="auto"/>
        </w:rPr>
      </w:pPr>
      <w:r>
        <w:rPr>
          <w:rFonts w:ascii="Arial" w:cs="Arial" w:eastAsia="Arial" w:hAnsi="Arial"/>
          <w:sz w:val="17"/>
          <w:szCs w:val="17"/>
          <w:color w:val="auto"/>
        </w:rPr>
        <w:t>We have also conducted a Phase 2a trial in severe peanut allergy patients and Phase 2a and Phase 2b trials of etokimab in moderate-to-severe adult atopic dermatitis patients, and have subsequently decided to discontinue further clinical development in those indications.</w:t>
      </w:r>
    </w:p>
    <w:p>
      <w:pPr>
        <w:spacing w:after="0" w:line="147"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Etokimab Market Opportunity</w:t>
      </w:r>
    </w:p>
    <w:p>
      <w:pPr>
        <w:spacing w:after="0" w:line="121" w:lineRule="exact"/>
        <w:rPr>
          <w:sz w:val="20"/>
          <w:szCs w:val="20"/>
          <w:color w:val="auto"/>
        </w:rPr>
      </w:pPr>
    </w:p>
    <w:p>
      <w:pPr>
        <w:jc w:val="both"/>
        <w:ind w:right="260" w:firstLine="567"/>
        <w:spacing w:after="0" w:line="259" w:lineRule="auto"/>
        <w:rPr>
          <w:sz w:val="20"/>
          <w:szCs w:val="20"/>
          <w:color w:val="auto"/>
        </w:rPr>
      </w:pPr>
      <w:r>
        <w:rPr>
          <w:rFonts w:ascii="Arial" w:cs="Arial" w:eastAsia="Arial" w:hAnsi="Arial"/>
          <w:sz w:val="18"/>
          <w:szCs w:val="18"/>
          <w:color w:val="auto"/>
        </w:rPr>
        <w:t>A significant portion of individuals in the U.S. population experience at least one atopic disease during their lifetime, and it is well understood that most patients with one type of atopic condition tend to present with other allergic conditions. While we believe etokimab may be effective across multiple atopic diseases, we have prioritized our development efforts based on unmet medical need and potential market opportunity. We have chosen to focus our etokimab program initially on respiratory indications, including asthma and CRSwNP.</w:t>
      </w:r>
    </w:p>
    <w:p>
      <w:pPr>
        <w:spacing w:after="0" w:line="187"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i w:val="1"/>
          <w:iCs w:val="1"/>
          <w:color w:val="auto"/>
        </w:rPr>
        <w:t xml:space="preserve">Asthma. </w:t>
      </w:r>
      <w:r>
        <w:rPr>
          <w:rFonts w:ascii="Arial" w:cs="Arial" w:eastAsia="Arial" w:hAnsi="Arial"/>
          <w:sz w:val="18"/>
          <w:szCs w:val="18"/>
          <w:color w:val="auto"/>
        </w:rPr>
        <w:t>We estimate, based on our analysis of publicly available data sources and interviews with physicians and key opinion leaders in the field, that</w:t>
      </w:r>
      <w:r>
        <w:rPr>
          <w:rFonts w:ascii="Arial" w:cs="Arial" w:eastAsia="Arial" w:hAnsi="Arial"/>
          <w:sz w:val="18"/>
          <w:szCs w:val="18"/>
          <w:i w:val="1"/>
          <w:iCs w:val="1"/>
          <w:color w:val="auto"/>
        </w:rPr>
        <w:t xml:space="preserve"> </w:t>
      </w:r>
      <w:r>
        <w:rPr>
          <w:rFonts w:ascii="Arial" w:cs="Arial" w:eastAsia="Arial" w:hAnsi="Arial"/>
          <w:sz w:val="18"/>
          <w:szCs w:val="18"/>
          <w:color w:val="auto"/>
        </w:rPr>
        <w:t>asthma affects approximately 7.7% of the adult U.S. population, or 19.0 million individuals, of which 1.1 million individuals have severe disease that cannot be controlled by standard-of-care therapy, of which 50% are believed to be eosinophilic patients.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73" w:right="259" w:bottom="1440" w:gutter="0" w:footer="0" w:header="0"/>
        </w:sectPr>
      </w:pPr>
    </w:p>
    <w:bookmarkStart w:id="9" w:name="page10"/>
    <w:bookmarkEnd w:id="9"/>
    <w:p>
      <w:pPr>
        <w:ind w:right="200" w:firstLine="567"/>
        <w:spacing w:after="0" w:line="277" w:lineRule="auto"/>
        <w:rPr>
          <w:sz w:val="20"/>
          <w:szCs w:val="20"/>
          <w:color w:val="auto"/>
        </w:rPr>
      </w:pPr>
      <w:r>
        <w:rPr>
          <w:rFonts w:ascii="Arial" w:cs="Arial" w:eastAsia="Arial" w:hAnsi="Arial"/>
          <w:sz w:val="18"/>
          <w:szCs w:val="18"/>
          <w:color w:val="auto"/>
        </w:rPr>
        <w:t>We believe that etokimab may have therapeutic benefit across a broad range of ICS-refractory severe adult eosinophilic asthma patients, and plan to differentiate etokimab’s therapeutic efficacy, dosing frequency and safety relative to competitors.</w:t>
      </w:r>
    </w:p>
    <w:p>
      <w:pPr>
        <w:spacing w:after="0" w:line="170"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i w:val="1"/>
          <w:iCs w:val="1"/>
          <w:color w:val="auto"/>
        </w:rPr>
        <w:t xml:space="preserve">Chronic Rhinosinusitis with Nasal Polyps. </w:t>
      </w:r>
      <w:r>
        <w:rPr>
          <w:rFonts w:ascii="Arial" w:cs="Arial" w:eastAsia="Arial" w:hAnsi="Arial"/>
          <w:sz w:val="18"/>
          <w:szCs w:val="18"/>
          <w:color w:val="auto"/>
        </w:rPr>
        <w:t>We estimate that CRSwNP, based on our analysis of publicly available data sources and interviews with</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and key opinion leaders in the field, affects approximately 1.3 million adults in the United States and we estimate that 400,000 of these patients are inadequately controlled with standard-of-care. CRSwNP is a debilitating chronic atopic condition associated with elevated IL-33 expression. Patients with CRSwNP that do not respond to standard-of-care are likely to undergo recurring surgeries to remove nasal polyps that block airflow through the nasal passages and often lead to recurring infections and related discomfort.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67"/>
        <w:spacing w:after="0" w:line="271" w:lineRule="auto"/>
        <w:rPr>
          <w:sz w:val="20"/>
          <w:szCs w:val="20"/>
          <w:color w:val="auto"/>
        </w:rPr>
      </w:pPr>
      <w:r>
        <w:rPr>
          <w:rFonts w:ascii="Arial" w:cs="Arial" w:eastAsia="Arial" w:hAnsi="Arial"/>
          <w:sz w:val="17"/>
          <w:szCs w:val="17"/>
          <w:color w:val="auto"/>
        </w:rPr>
        <w:t>ANB019 is an antibody that inhibits the function of IL-36R, which we are initially developing as a potential first-in-class therapy for GPP and PPP patients. GPP is a life-threatening, rare systemic inflammatory disorder reported to affect approximately 3,000 patients in the United States alone, with no currently approved therapies. Studies have shown that GPP can be associated with mutations in the gene encoding the IL-36R antagonist, or IL-36RA, or can be caused by excessive IL-36 cytokine levels, that lead to abnormally high signaling through the IL-36R and thereby cause the systemic inflammatory condition, GPP.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 We are currently conducting two Phase 2 clinical trials with ANB019 in GPP and PPP.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IL-36R Target Biology</w:t>
      </w:r>
    </w:p>
    <w:p>
      <w:pPr>
        <w:spacing w:after="0" w:line="121" w:lineRule="exact"/>
        <w:rPr>
          <w:sz w:val="20"/>
          <w:szCs w:val="20"/>
          <w:color w:val="auto"/>
        </w:rPr>
      </w:pPr>
    </w:p>
    <w:p>
      <w:pPr>
        <w:ind w:firstLine="567"/>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three cytokines, IL-36 alpha, IL-36 beta and IL-36 gamma, each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166" w:lineRule="exact"/>
        <w:rPr>
          <w:sz w:val="20"/>
          <w:szCs w:val="20"/>
          <w:color w:val="auto"/>
        </w:rPr>
      </w:pPr>
    </w:p>
    <w:p>
      <w:pPr>
        <w:jc w:val="both"/>
        <w:ind w:right="220" w:firstLine="567"/>
        <w:spacing w:after="0" w:line="264"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pacing w:after="0" w:line="181"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Recent human studies have demonstrated that mutations in the IL-36RA can lead to the occurrence of GPP by dysregulating the IL-36R signaling pathway</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translational studies that we conducted have also demonstrated that a significant number of GPP patients do not have mutations in the IL-36RA but are likely to have excessive levels of IL-36 cytokines leading to the same disease as patients with mutations. These findings support our hypothesis that IL-36 signaling plays a significant role in GPP.</w:t>
      </w:r>
    </w:p>
    <w:p>
      <w:pPr>
        <w:spacing w:after="0" w:line="187"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In addition, studies have demonstrated that humans with genetic mutations that downregulate IL-36 receptor activity are otherwise normal with no specific clinical phenotype.</w:t>
      </w:r>
    </w:p>
    <w:p>
      <w:pPr>
        <w:spacing w:after="0" w:line="170" w:lineRule="exact"/>
        <w:rPr>
          <w:sz w:val="20"/>
          <w:szCs w:val="20"/>
          <w:color w:val="auto"/>
        </w:rPr>
      </w:pPr>
    </w:p>
    <w:p>
      <w:pPr>
        <w:ind w:right="500" w:firstLine="567"/>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 and PPP.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Description</w:t>
      </w:r>
    </w:p>
    <w:p>
      <w:pPr>
        <w:spacing w:after="0" w:line="121" w:lineRule="exact"/>
        <w:rPr>
          <w:sz w:val="20"/>
          <w:szCs w:val="20"/>
          <w:color w:val="auto"/>
        </w:rPr>
      </w:pPr>
    </w:p>
    <w:p>
      <w:pPr>
        <w:ind w:right="480" w:firstLine="567"/>
        <w:spacing w:after="0" w:line="277" w:lineRule="auto"/>
        <w:rPr>
          <w:sz w:val="20"/>
          <w:szCs w:val="20"/>
          <w:color w:val="auto"/>
        </w:rPr>
      </w:pPr>
      <w:r>
        <w:rPr>
          <w:rFonts w:ascii="Arial" w:cs="Arial" w:eastAsia="Arial" w:hAnsi="Arial"/>
          <w:sz w:val="18"/>
          <w:szCs w:val="18"/>
          <w:color w:val="auto"/>
        </w:rPr>
        <w:t>ANB019 was generated using our SHM technology platform and has demonstrated high functional potency in blocking human and cynomolgus monkey IL-36 signaling in preclinical studies.</w:t>
      </w:r>
    </w:p>
    <w:p>
      <w:pPr>
        <w:spacing w:after="0" w:line="170" w:lineRule="exact"/>
        <w:rPr>
          <w:sz w:val="20"/>
          <w:szCs w:val="20"/>
          <w:color w:val="auto"/>
        </w:rPr>
      </w:pPr>
    </w:p>
    <w:p>
      <w:pPr>
        <w:ind w:right="20" w:firstLine="567"/>
        <w:spacing w:after="0" w:line="302" w:lineRule="auto"/>
        <w:rPr>
          <w:sz w:val="20"/>
          <w:szCs w:val="20"/>
          <w:color w:val="auto"/>
        </w:rPr>
      </w:pPr>
      <w:r>
        <w:rPr>
          <w:rFonts w:ascii="Arial" w:cs="Arial" w:eastAsia="Arial" w:hAnsi="Arial"/>
          <w:sz w:val="16"/>
          <w:szCs w:val="16"/>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to determine KD and IC50 values. ANB019 has demonstrated potent KD values of approximately of 71 pM and 209 pM for human IL-36R and cynomolgus monkey IL-36R, respectively. The antibody exhibits high specificity for IL-36R, displaying no detectable binding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73" w:right="239" w:bottom="1440" w:gutter="0" w:footer="0" w:header="0"/>
        </w:sectPr>
      </w:pPr>
    </w:p>
    <w:bookmarkStart w:id="10" w:name="page11"/>
    <w:bookmarkEnd w:id="10"/>
    <w:p>
      <w:pPr>
        <w:ind w:right="160"/>
        <w:spacing w:after="0" w:line="277" w:lineRule="auto"/>
        <w:rPr>
          <w:sz w:val="20"/>
          <w:szCs w:val="20"/>
          <w:color w:val="auto"/>
        </w:rPr>
      </w:pPr>
      <w:r>
        <w:rPr>
          <w:rFonts w:ascii="Arial" w:cs="Arial" w:eastAsia="Arial" w:hAnsi="Arial"/>
          <w:sz w:val="18"/>
          <w:szCs w:val="18"/>
          <w:color w:val="auto"/>
        </w:rPr>
        <w:t>to related proteins. Functional potency of ANB019 is at least 100-fold greater than IL-36RA in human systems, which is measured as the IC50 of inhibition of interleukin-8, or IL-8, release from human keratinocytes.</w:t>
      </w:r>
    </w:p>
    <w:p>
      <w:pPr>
        <w:spacing w:after="0" w:line="170" w:lineRule="exact"/>
        <w:rPr>
          <w:sz w:val="20"/>
          <w:szCs w:val="20"/>
          <w:color w:val="auto"/>
        </w:rPr>
      </w:pPr>
    </w:p>
    <w:p>
      <w:pPr>
        <w:jc w:val="both"/>
        <w:ind w:right="40" w:firstLine="567"/>
        <w:spacing w:after="0" w:line="286" w:lineRule="auto"/>
        <w:rPr>
          <w:sz w:val="20"/>
          <w:szCs w:val="20"/>
          <w:color w:val="auto"/>
        </w:rPr>
      </w:pPr>
      <w:r>
        <w:rPr>
          <w:rFonts w:ascii="Arial" w:cs="Arial" w:eastAsia="Arial" w:hAnsi="Arial"/>
          <w:sz w:val="17"/>
          <w:szCs w:val="17"/>
          <w:color w:val="auto"/>
        </w:rPr>
        <w:t>ANB019 functional activity has been demonstrated through inhibition of IL-8 secretion from human primary keratinocytes when stimulated by IL-36 gamma of approximately 0.15 nM and 1.2 nM, respectively. Lower KD and IC50 values indicate higher potency and functional activity, respectively. Similar IC50 values were observed in those same preclinical studies when keratinocytes were stimulated with IL-36 alpha or beta.</w:t>
      </w:r>
    </w:p>
    <w:p>
      <w:pPr>
        <w:spacing w:after="0" w:line="166" w:lineRule="exact"/>
        <w:rPr>
          <w:sz w:val="20"/>
          <w:szCs w:val="20"/>
          <w:color w:val="auto"/>
        </w:rPr>
      </w:pPr>
    </w:p>
    <w:p>
      <w:pPr>
        <w:ind w:right="160" w:firstLine="567"/>
        <w:spacing w:after="0" w:line="264" w:lineRule="auto"/>
        <w:rPr>
          <w:sz w:val="20"/>
          <w:szCs w:val="20"/>
          <w:color w:val="auto"/>
        </w:rPr>
      </w:pPr>
      <w:r>
        <w:rPr>
          <w:rFonts w:ascii="Arial" w:cs="Arial" w:eastAsia="Arial" w:hAnsi="Arial"/>
          <w:sz w:val="18"/>
          <w:szCs w:val="18"/>
          <w:color w:val="auto"/>
        </w:rPr>
        <w:t>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229"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 xml:space="preserve">We have completed, under an approved CTN, a Phase 1 clinical trial in healthy volunteers for which we announced positive top-line results from an interim analysis of this trial and subsequently presented completed data from this trial at EAACI 2018. In the double-blinded, placebo-controlled healthy volunteer Phase 1 trial, 36 subjects were administered a single subcutaneous or intravenous dose of ANB019 ranging between 10 mg and 750 mg, 18 subjects were administered multiple ascending doses of ANB019 intravenously ranging between 40 mg and 300 mg weekly for four consecutive weeks and 18 subjects were dosed with placebo. ANB019 was well-tolerated by all subjects and no dose-limiting toxicities were observed. The most frequent treatment-emergent adverse events observed in the single ascending dose cohorts were upper respiratory tract infections in 10 of 36 (28%) subjects dosed with ANB019 versus six of 12 (50%) subjects dosed with placebo, and headache in 10 of 36 (28%) subjects dosed with ANB019 versus three of 12 (25%) subjects dosed with placebo. In the multiple ascending dose cohorts, the most frequent treatment-emerging adverse events observed were headache in seven of 18 (39%) subjects dosed with ANB019 versus one of six (17%) subjects dosed with placebo. No serious adverse events were reported among any subjects in the trial.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half-life of ANB019 was approximately 28 days for both subcutaneous and intravenous routes of administration, with bioavailability of approximately 90 percent. A single dose of ANB019 at certain dose levels was able to completely suppress IL-36 cytokine function for 85 days, as measured by IL-36 cytokine-mediated release of IL-8 using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The favorable pharmacokinetics and pharmacodynamic properties of ANB019 and other results demonstrated by this Phase 1 trial support advancement of ANB019 into Phase 2 studies for GPP and PPP.</w:t>
      </w:r>
    </w:p>
    <w:p>
      <w:pPr>
        <w:spacing w:after="0" w:line="175"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We received clearance of a CTA filing to the MHRA and an IND filing with the FDA, and have initiated a 10-patient open-label, multi-dose, single-arm Phase 2 trial of ANB019 in GPP patients, also referred to as the GALLOP trial, where an interim analysis, announced in September 2019, was conducted after the first two patients completed 16-weeks (Day 113) with ANB019 monotherapy. Both patients achieved the primary endpoint of disease improvement at Day 29 and Day 113 without requiring rescue therapy. Patients demonstrated rapid and sustained modified Japanese Dermatology Association (mJDA) improvement and complete clearance of skin pustules from Day 8 through Day 113. C-reactive protein, or CRP, levels decreased to nearly normal in both patients, and genotypic testing of these two patients indicated that ANB019 may be broadly applicable to pustular disease patients without a requirement for genetic screening. Enrollment is ongoing in GALLOP, and we anticipate additional clinical data and a regulatory strategy update for the development of ANB019 in GPP during 2020. We are also conducting a randomized, double-blind, placebo-controlled approximately 50-patient multi-dose trial of ANB019 in PPP, also referred to as the POPLAR trial, where top-line data are anticipated in the second half of 2020.</w:t>
      </w:r>
    </w:p>
    <w:p>
      <w:pPr>
        <w:spacing w:after="0" w:line="167"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Market Opportunity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IL-36R cytokine dysfunction is implicated in multiple inflammatory disorders including GPP and PPP.</w:t>
      </w:r>
    </w:p>
    <w:p>
      <w:pPr>
        <w:spacing w:after="0" w:line="225" w:lineRule="exact"/>
        <w:rPr>
          <w:sz w:val="20"/>
          <w:szCs w:val="20"/>
          <w:color w:val="auto"/>
        </w:rPr>
      </w:pPr>
    </w:p>
    <w:p>
      <w:pPr>
        <w:ind w:right="260" w:firstLine="567"/>
        <w:spacing w:after="0" w:line="302" w:lineRule="auto"/>
        <w:rPr>
          <w:sz w:val="20"/>
          <w:szCs w:val="20"/>
          <w:color w:val="auto"/>
        </w:rPr>
      </w:pPr>
      <w:r>
        <w:rPr>
          <w:rFonts w:ascii="Arial" w:cs="Arial" w:eastAsia="Arial" w:hAnsi="Arial"/>
          <w:sz w:val="16"/>
          <w:szCs w:val="16"/>
          <w:i w:val="1"/>
          <w:iCs w:val="1"/>
          <w:color w:val="auto"/>
        </w:rPr>
        <w:t xml:space="preserve">Generalized Pustular Psoriasis. </w:t>
      </w:r>
      <w:r>
        <w:rPr>
          <w:rFonts w:ascii="Arial" w:cs="Arial" w:eastAsia="Arial" w:hAnsi="Arial"/>
          <w:sz w:val="16"/>
          <w:szCs w:val="16"/>
          <w:color w:val="auto"/>
        </w:rPr>
        <w:t>GPP is a chronic, life-threatening, rare disease with no currently approved therapies. GPP is a systemic</w:t>
      </w:r>
      <w:r>
        <w:rPr>
          <w:rFonts w:ascii="Arial" w:cs="Arial" w:eastAsia="Arial" w:hAnsi="Arial"/>
          <w:sz w:val="16"/>
          <w:szCs w:val="16"/>
          <w:i w:val="1"/>
          <w:iCs w:val="1"/>
          <w:color w:val="auto"/>
        </w:rPr>
        <w:t xml:space="preserve"> </w:t>
      </w:r>
      <w:r>
        <w:rPr>
          <w:rFonts w:ascii="Arial" w:cs="Arial" w:eastAsia="Arial" w:hAnsi="Arial"/>
          <w:sz w:val="16"/>
          <w:szCs w:val="16"/>
          <w:color w:val="auto"/>
        </w:rPr>
        <w:t>inflammatory disease 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773" w:right="279" w:bottom="1440" w:gutter="0" w:footer="0" w:header="0"/>
        </w:sectPr>
      </w:pPr>
    </w:p>
    <w:bookmarkStart w:id="11" w:name="page12"/>
    <w:bookmarkEnd w:id="11"/>
    <w:p>
      <w:pPr>
        <w:ind w:right="20" w:firstLine="567"/>
        <w:spacing w:after="0" w:line="27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translational studies to identify GPP patients for potential enrollment in our ongoing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Biologics License Application, or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79"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i w:val="1"/>
          <w:iCs w:val="1"/>
          <w:color w:val="auto"/>
        </w:rPr>
        <w:t xml:space="preserve">Palmoplantar Pustulosis. </w:t>
      </w:r>
      <w:r>
        <w:rPr>
          <w:rFonts w:ascii="Arial" w:cs="Arial" w:eastAsia="Arial" w:hAnsi="Arial"/>
          <w:sz w:val="17"/>
          <w:szCs w:val="17"/>
          <w:color w:val="auto"/>
        </w:rPr>
        <w:t>PPP is a non-fatal form of pustular psoriasis that we estimate affects approximately 2% of total psoriasis cases,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 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Checkpoint Receptor Modulator Programs</w:t>
      </w:r>
    </w:p>
    <w:p>
      <w:pPr>
        <w:spacing w:after="0" w:line="121"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We are developing anti-inflammatory checkpoint receptor antibodies to PD-1 and BTLA, each of which are genetically associated with inflammatory disease when dysregulated in humans.</w:t>
      </w:r>
    </w:p>
    <w:p>
      <w:pPr>
        <w:spacing w:after="0" w:line="62"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 xml:space="preserve">ANB030 is an antibody that binds PD-1 in an agonistic manner, leading to reduced T cell activity and anti-inflammatory effects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PD-1 is a key inhibitory immune checkpoint receptor expressed by activated T cells. PD-1 activity contributes to downregulation of T cell mediated immune responses in healthy individuals. We believe insufficient PD-1 activity may be a key biological defect associated with human inflammatory diseases. According to a 2007 study, genetic mutations in the PD-1 pathway are associated with increased susceptibility to various inflammatory conditions. We hypothesize that augmenting PD-1 signaling by ANB030 treatment has the potential to broadly suppress human inflammatory diseases. ANB030 was developed using our proprietary antibody discovery platform. We believe PD-1 agonist antibodies are challenging to discover due to the unique binding properties required to augment signaling through checkpoint receptors. ANB030 has been preclinically tested for key pharmacological properties (including binding potency, functional activity, epitope specificity,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and pharmacokinetics) and manufacturability attributes (including expression and stability). Through translational biology, we plan to focus the clinical development of ANB030 upon certain human autoimmune diseases where PD-1 checkpoint receptor function may be under-represented. We have submitted an IND for ANB030 in the fourth quarter of 2019 and anticipate initiating a Phase 1 trial in the first half of 2020.</w:t>
      </w:r>
    </w:p>
    <w:p>
      <w:pPr>
        <w:spacing w:after="0" w:line="75"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 xml:space="preserve">ANB032 is an antibody that modulates BTLA in a manner that results in anti-inflammatory effects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BTLA is broadly expressed upon lymphoid (including T and B) cells and myeloid cells (including dendritic cells) and therefore involved in a spectrum of inflammatory responses. We believe that the binding of BTLA with LIGHT, a receptor also known as TSFSR14, results in pro-inflammatory signaling across various immune cells, and that stabilization of BTLA’s binding to HVEM, which is mediated by ANB032 treatment, leads to an anti-inflammatory effect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Genetic studies have demonstrated that dysregulated BTLA signaling, which favors pro-inflammatory activity, is associated with certain human inflammatory diseases (Lin et al. J Biomed Sci. 2006). ANB032 has demonstrated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in an animal disease model and we anticipate filing an IND for this program in the second half of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 Antibody Discovery Platform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Overview</w:t>
      </w:r>
    </w:p>
    <w:p>
      <w:pPr>
        <w:spacing w:after="0" w:line="121" w:lineRule="exact"/>
        <w:rPr>
          <w:sz w:val="20"/>
          <w:szCs w:val="20"/>
          <w:color w:val="auto"/>
        </w:rPr>
      </w:pPr>
    </w:p>
    <w:p>
      <w:pPr>
        <w:ind w:right="120" w:firstLine="567"/>
        <w:spacing w:after="0" w:line="255"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7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antibody and the rest of the immune system. Fc domains bind to various receptors and cause immune system effector responses.</w:t>
      </w:r>
    </w:p>
    <w:p>
      <w:pPr>
        <w:spacing w:after="0" w:line="225"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59" w:lineRule="exact"/>
        <w:rPr>
          <w:sz w:val="20"/>
          <w:szCs w:val="20"/>
          <w:color w:val="auto"/>
        </w:rPr>
      </w:pPr>
    </w:p>
    <w:p>
      <w:pPr>
        <w:ind w:left="660" w:right="60" w:hanging="314"/>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68" w:lineRule="exact"/>
        <w:rPr>
          <w:rFonts w:ascii="Arial" w:cs="Arial" w:eastAsia="Arial" w:hAnsi="Arial"/>
          <w:sz w:val="18"/>
          <w:szCs w:val="18"/>
          <w:color w:val="auto"/>
        </w:rPr>
      </w:pPr>
    </w:p>
    <w:p>
      <w:pPr>
        <w:ind w:left="660" w:right="20" w:hanging="314"/>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 molecules. Full</w:t>
      </w:r>
      <w:r>
        <w:rPr>
          <w:rFonts w:ascii="Arial" w:cs="Arial" w:eastAsia="Arial" w:hAnsi="Arial"/>
          <w:sz w:val="18"/>
          <w:szCs w:val="18"/>
          <w:b w:val="1"/>
          <w:bCs w:val="1"/>
          <w:color w:val="auto"/>
        </w:rPr>
        <w:t xml:space="preserve"> </w:t>
      </w:r>
      <w:r>
        <w:rPr>
          <w:rFonts w:ascii="Arial" w:cs="Arial" w:eastAsia="Arial" w:hAnsi="Arial"/>
          <w:sz w:val="18"/>
          <w:szCs w:val="18"/>
          <w:color w:val="auto"/>
        </w:rPr>
        <w:t>length antibodies tend to exhibit serum half-lives of seven to 24 days in humans, leading to bi-weekly or monthly dosing as typical practice for therapeutic antibodies.</w:t>
      </w:r>
    </w:p>
    <w:p>
      <w:pPr>
        <w:spacing w:after="0" w:line="68" w:lineRule="exact"/>
        <w:rPr>
          <w:rFonts w:ascii="Arial" w:cs="Arial" w:eastAsia="Arial" w:hAnsi="Arial"/>
          <w:sz w:val="18"/>
          <w:szCs w:val="18"/>
          <w:color w:val="auto"/>
        </w:rPr>
      </w:pPr>
    </w:p>
    <w:p>
      <w:pPr>
        <w:ind w:left="660" w:right="200" w:hanging="314"/>
        <w:spacing w:after="0" w:line="34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400" w:firstLine="567"/>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Competing Antibody Technologies</w:t>
      </w:r>
    </w:p>
    <w:p>
      <w:pPr>
        <w:spacing w:after="0" w:line="121" w:lineRule="exact"/>
        <w:rPr>
          <w:sz w:val="20"/>
          <w:szCs w:val="20"/>
          <w:color w:val="auto"/>
        </w:rPr>
      </w:pPr>
    </w:p>
    <w:p>
      <w:pPr>
        <w:ind w:right="280" w:firstLine="567"/>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 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59" w:lineRule="exact"/>
        <w:rPr>
          <w:sz w:val="20"/>
          <w:szCs w:val="20"/>
          <w:color w:val="auto"/>
        </w:rPr>
      </w:pPr>
    </w:p>
    <w:p>
      <w:pPr>
        <w:ind w:left="660" w:right="220" w:hanging="314"/>
        <w:spacing w:after="0" w:line="28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50" w:lineRule="exact"/>
        <w:rPr>
          <w:rFonts w:ascii="Arial" w:cs="Arial" w:eastAsia="Arial" w:hAnsi="Arial"/>
          <w:sz w:val="17"/>
          <w:szCs w:val="17"/>
          <w:color w:val="auto"/>
        </w:rPr>
      </w:pPr>
    </w:p>
    <w:p>
      <w:pPr>
        <w:ind w:left="660" w:right="580" w:hanging="314"/>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68" w:lineRule="exact"/>
        <w:rPr>
          <w:rFonts w:ascii="Arial" w:cs="Arial" w:eastAsia="Arial" w:hAnsi="Arial"/>
          <w:sz w:val="18"/>
          <w:szCs w:val="18"/>
          <w:color w:val="auto"/>
        </w:rPr>
      </w:pPr>
    </w:p>
    <w:p>
      <w:pPr>
        <w:jc w:val="both"/>
        <w:ind w:left="660" w:right="160" w:hanging="314"/>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68" w:lineRule="exact"/>
        <w:rPr>
          <w:rFonts w:ascii="Arial" w:cs="Arial" w:eastAsia="Arial" w:hAnsi="Arial"/>
          <w:sz w:val="18"/>
          <w:szCs w:val="18"/>
          <w:color w:val="auto"/>
        </w:rPr>
      </w:pPr>
    </w:p>
    <w:p>
      <w:pPr>
        <w:ind w:left="660" w:hanging="314"/>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 unpredictable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stability and formulation when manufacturing is initiated using mammalian cells, thus leading to poor production yields and product stability.</w:t>
      </w:r>
    </w:p>
    <w:p>
      <w:pPr>
        <w:spacing w:after="0" w:line="180"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w:t>
      </w:r>
      <w:r>
        <w:rPr>
          <w:rFonts w:ascii="Arial" w:cs="Arial" w:eastAsia="Arial" w:hAnsi="Arial"/>
          <w:sz w:val="18"/>
          <w:szCs w:val="18"/>
          <w:i w:val="1"/>
          <w:iCs w:val="1"/>
          <w:color w:val="auto"/>
        </w:rPr>
        <w:t xml:space="preserve"> </w:t>
      </w:r>
      <w:r>
        <w:rPr>
          <w:rFonts w:ascii="Arial" w:cs="Arial" w:eastAsia="Arial" w:hAnsi="Arial"/>
          <w:sz w:val="18"/>
          <w:szCs w:val="18"/>
          <w:color w:val="auto"/>
        </w:rPr>
        <w:t>or 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3"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i w:val="1"/>
          <w:iCs w:val="1"/>
          <w:color w:val="auto"/>
        </w:rPr>
        <w:t>Microbial antibody display systems</w:t>
      </w:r>
      <w:r>
        <w:rPr>
          <w:rFonts w:ascii="Arial" w:cs="Arial" w:eastAsia="Arial" w:hAnsi="Arial"/>
          <w:sz w:val="18"/>
          <w:szCs w:val="18"/>
          <w:color w:val="auto"/>
        </w:rPr>
        <w:t>. Microbial antibody display systems require screening of antibodies, typically formatted as antibody fragments,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static library diversity displayed on a bacterial or yeast microbial cell surface. The static nature of these libraries limits the range of antibody specificities to 10 9 or 10 10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665" w:right="279" w:bottom="1440" w:gutter="0" w:footer="0" w:header="0"/>
        </w:sectPr>
      </w:pPr>
    </w:p>
    <w:bookmarkStart w:id="13" w:name="page14"/>
    <w:bookmarkEnd w:id="13"/>
    <w:p>
      <w:pPr>
        <w:ind w:right="20"/>
        <w:spacing w:after="0" w:line="259" w:lineRule="auto"/>
        <w:rPr>
          <w:sz w:val="20"/>
          <w:szCs w:val="20"/>
          <w:color w:val="auto"/>
        </w:rPr>
      </w:pPr>
      <w:r>
        <w:rPr>
          <w:rFonts w:ascii="Arial" w:cs="Arial" w:eastAsia="Arial" w:hAnsi="Arial"/>
          <w:sz w:val="18"/>
          <w:szCs w:val="18"/>
          <w:color w:val="auto"/>
        </w:rPr>
        <w:t>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87"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w:t>
      </w:r>
      <w:r>
        <w:rPr>
          <w:rFonts w:ascii="Arial" w:cs="Arial" w:eastAsia="Arial" w:hAnsi="Arial"/>
          <w:sz w:val="18"/>
          <w:szCs w:val="18"/>
          <w:i w:val="1"/>
          <w:iCs w:val="1"/>
          <w:color w:val="auto"/>
        </w:rPr>
        <w:t xml:space="preserve"> </w:t>
      </w:r>
      <w:r>
        <w:rPr>
          <w:rFonts w:ascii="Arial" w:cs="Arial" w:eastAsia="Arial" w:hAnsi="Arial"/>
          <w:sz w:val="18"/>
          <w:szCs w:val="18"/>
          <w:color w:val="auto"/>
        </w:rPr>
        <w:t>human 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Solution</w:t>
      </w:r>
    </w:p>
    <w:p>
      <w:pPr>
        <w:spacing w:after="0" w:line="121" w:lineRule="exact"/>
        <w:rPr>
          <w:sz w:val="20"/>
          <w:szCs w:val="20"/>
          <w:color w:val="auto"/>
        </w:rPr>
      </w:pPr>
    </w:p>
    <w:p>
      <w:pPr>
        <w:ind w:right="40" w:firstLine="567"/>
        <w:spacing w:after="0" w:line="276"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Human genomes encode a limited number of antibody genes, which are insufficient to generate antibodies against the wide variety of foreign pathogens encountered from the external environment. SHM enables the human immune system to expand the limited diversity encoded within human genomes to the billions of antibody specificities required to defend against external pathogens.</w:t>
      </w:r>
    </w:p>
    <w:p>
      <w:pPr>
        <w:spacing w:after="0" w:line="173"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165" w:lineRule="exact"/>
        <w:rPr>
          <w:sz w:val="20"/>
          <w:szCs w:val="20"/>
          <w:color w:val="auto"/>
        </w:rPr>
      </w:pPr>
    </w:p>
    <w:p>
      <w:pPr>
        <w:ind w:right="40" w:firstLine="567"/>
        <w:spacing w:after="0" w:line="302" w:lineRule="auto"/>
        <w:rPr>
          <w:sz w:val="20"/>
          <w:szCs w:val="20"/>
          <w:color w:val="auto"/>
        </w:rPr>
      </w:pPr>
      <w:r>
        <w:rPr>
          <w:rFonts w:ascii="Arial" w:cs="Arial" w:eastAsia="Arial" w:hAnsi="Arial"/>
          <w:sz w:val="16"/>
          <w:szCs w:val="16"/>
          <w:color w:val="auto"/>
        </w:rPr>
        <w:t>By selecting antibodies based on their antigen binding from the broad antibody library population SHM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we believe have been challenging for competing antibody technology platforms to generate.</w:t>
      </w:r>
    </w:p>
    <w:p>
      <w:pPr>
        <w:spacing w:after="0" w:line="154"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display the evolved antibody on the cell surface to permit cell sorting selection for potency properties while the same antibody is secreted into the extracellular media at sufficient quantities to permit functional assays to be conducted. In this manner, the evolving antibodies expressed by each transfected cell are assessed in a high- throughput fashion for the desired functional activity relevant to the therapeutic mechanism.</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13" w:lineRule="exact"/>
        <w:rPr>
          <w:sz w:val="20"/>
          <w:szCs w:val="20"/>
          <w:color w:val="auto"/>
        </w:rPr>
      </w:pPr>
    </w:p>
    <w:p>
      <w:pPr>
        <w:ind w:left="660" w:right="80" w:hanging="314"/>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68" w:lineRule="exact"/>
        <w:rPr>
          <w:rFonts w:ascii="Arial" w:cs="Arial" w:eastAsia="Arial" w:hAnsi="Arial"/>
          <w:sz w:val="18"/>
          <w:szCs w:val="18"/>
          <w:color w:val="auto"/>
        </w:rPr>
      </w:pPr>
    </w:p>
    <w:p>
      <w:pPr>
        <w:ind w:left="660" w:right="280" w:hanging="314"/>
        <w:spacing w:after="0" w:line="313"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73" w:right="239" w:bottom="1440" w:gutter="0" w:footer="0" w:header="0"/>
        </w:sectPr>
      </w:pPr>
    </w:p>
    <w:bookmarkStart w:id="14" w:name="page15"/>
    <w:bookmarkEnd w:id="14"/>
    <w:p>
      <w:pPr>
        <w:ind w:left="660" w:right="140" w:hanging="314"/>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us to incorporate functional assays throughout the process and focus on producing product candidates that are optimized for the desired therapeutic activity.</w:t>
      </w:r>
    </w:p>
    <w:p>
      <w:pPr>
        <w:spacing w:after="0" w:line="68" w:lineRule="exact"/>
        <w:rPr>
          <w:rFonts w:ascii="Arial" w:cs="Arial" w:eastAsia="Arial" w:hAnsi="Arial"/>
          <w:sz w:val="18"/>
          <w:szCs w:val="18"/>
          <w:color w:val="auto"/>
        </w:rPr>
      </w:pPr>
    </w:p>
    <w:p>
      <w:pPr>
        <w:jc w:val="both"/>
        <w:ind w:left="660" w:right="440" w:hanging="314"/>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has enabled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68" w:lineRule="exact"/>
        <w:rPr>
          <w:rFonts w:ascii="Arial" w:cs="Arial" w:eastAsia="Arial" w:hAnsi="Arial"/>
          <w:sz w:val="18"/>
          <w:szCs w:val="18"/>
          <w:color w:val="auto"/>
        </w:rPr>
      </w:pPr>
    </w:p>
    <w:p>
      <w:pPr>
        <w:jc w:val="both"/>
        <w:ind w:left="660" w:right="40" w:hanging="314"/>
        <w:spacing w:after="0" w:line="34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Manufacturability. </w:t>
      </w:r>
      <w:r>
        <w:rPr>
          <w:rFonts w:ascii="Arial" w:cs="Arial" w:eastAsia="Arial" w:hAnsi="Arial"/>
          <w:sz w:val="16"/>
          <w:szCs w:val="16"/>
          <w:color w:val="auto"/>
        </w:rPr>
        <w:t>By utilizing our mammalian cell display system, we believe our approach increases the probability of success in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commercialization by mitigating the risks associated with antibody expression, formulation and stability during the antibody generation process.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TESARO</w:t>
      </w:r>
    </w:p>
    <w:p>
      <w:pPr>
        <w:spacing w:after="0" w:line="121" w:lineRule="exact"/>
        <w:rPr>
          <w:sz w:val="20"/>
          <w:szCs w:val="20"/>
          <w:color w:val="auto"/>
        </w:rPr>
      </w:pPr>
    </w:p>
    <w:p>
      <w:pPr>
        <w:ind w:right="40" w:firstLine="567"/>
        <w:spacing w:after="0" w:line="268" w:lineRule="auto"/>
        <w:rPr>
          <w:sz w:val="20"/>
          <w:szCs w:val="20"/>
          <w:color w:val="auto"/>
        </w:rPr>
      </w:pPr>
      <w:r>
        <w:rPr>
          <w:rFonts w:ascii="Arial" w:cs="Arial" w:eastAsia="Arial" w:hAnsi="Arial"/>
          <w:sz w:val="17"/>
          <w:szCs w:val="17"/>
          <w:color w:val="auto"/>
        </w:rPr>
        <w:t>In March 2014, we entered into a collaboration and exclusive license agreement with TESARO, now a part of GlaxoSmithKline.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We have granted TESARO exclusive rights to three monospecific antibody product candidates targeting TIM-3 (TSR-022), LAG-3 (TSR-033) and PD-1 (TSR-042) and a bispecific antibody product candidates targeting PD-1 and LAG-3.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TIM- 3, as single agents or in combination with other therapies. We have completed our responsibilities under the terms of the agreement as of December 31, 2016 to generate and develop antibodies to certain defined stages of preclinical development.</w:t>
      </w:r>
    </w:p>
    <w:p>
      <w:pPr>
        <w:spacing w:after="0" w:line="188" w:lineRule="exact"/>
        <w:rPr>
          <w:sz w:val="20"/>
          <w:szCs w:val="20"/>
          <w:color w:val="auto"/>
        </w:rPr>
      </w:pPr>
    </w:p>
    <w:p>
      <w:pPr>
        <w:ind w:right="40" w:firstLine="567"/>
        <w:spacing w:after="0" w:line="291" w:lineRule="auto"/>
        <w:rPr>
          <w:sz w:val="20"/>
          <w:szCs w:val="20"/>
          <w:color w:val="auto"/>
        </w:rPr>
      </w:pPr>
      <w:r>
        <w:rPr>
          <w:rFonts w:ascii="Arial" w:cs="Arial" w:eastAsia="Arial" w:hAnsi="Arial"/>
          <w:sz w:val="16"/>
          <w:szCs w:val="16"/>
          <w:color w:val="auto"/>
        </w:rPr>
        <w:t>Under the terms of this agreement, TESARO made up-front, non-creditable and non-refundable cash payments aggregating $19.0 million to us during 2014. TESARO was also required to reimburse us on a quarterly basis for specified costs incurred by us in our initial discovery and development activities covered by the agreement. For each of the targets for which TESARO is granted exclusive rights, TESARO is required to make milestone payments to us of up to $18.0 million if certain research and development milestone events are achieved, up to an additional $90.0 million of milestone payments if certain U.S. and non-U.S. regulatory submissions and approvals occur in initial and subsequent indications, and up to an additional $165.0 million upon the achievement of specified levels of annual worldwide net sales. TESARO will also be required to pay us tiered royalties ranging from 4% to 8%, on a product- by-product basis, on worldwide annual net sales, and additional commercial milestone payments if specified levels of annual net sales of a product are attained.</w:t>
      </w:r>
    </w:p>
    <w:p>
      <w:pPr>
        <w:spacing w:after="0" w:line="167" w:lineRule="exact"/>
        <w:rPr>
          <w:sz w:val="20"/>
          <w:szCs w:val="20"/>
          <w:color w:val="auto"/>
        </w:rPr>
      </w:pPr>
    </w:p>
    <w:p>
      <w:pPr>
        <w:ind w:right="40" w:firstLine="567"/>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Celgene</w:t>
      </w:r>
    </w:p>
    <w:p>
      <w:pPr>
        <w:spacing w:after="0" w:line="121"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In December 2011, we entered into a collaboration agreement with Celgene, now a part of Bristol-Myers Squibb, or the Collaboration Agreement, to develop human therapeutic antibodies against multiple biological targets. We completed our responsibilities under the terms of the agreement to generate antibodies against various mutually agreed biological targets during fiscal 2014.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anti-inflammatory antibodies, of which an anti-PD-1 agonist antibody, also known as CC-90006, is currently in a Phase 1 trial, while the other program is currently in preclinical development.</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Upon execution of the Collaboration Agreement in 2011, Celgene paid us a one-time, non-refundable, non- creditable initial fee of $6.0</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million. Celgene has reimbursed us for specified research costs in accordance with the research plans. Celgene is also obligated, on a project-by-project basis, to pay us up to a total of an additional $18.0 million if certain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61" w:right="239" w:bottom="1440" w:gutter="0" w:footer="0" w:header="0"/>
        </w:sectPr>
      </w:pPr>
    </w:p>
    <w:bookmarkStart w:id="15" w:name="page16"/>
    <w:bookmarkEnd w:id="15"/>
    <w:p>
      <w:pPr>
        <w:ind w:right="40"/>
        <w:spacing w:after="0" w:line="302" w:lineRule="auto"/>
        <w:rPr>
          <w:sz w:val="20"/>
          <w:szCs w:val="20"/>
          <w:color w:val="auto"/>
        </w:rPr>
      </w:pPr>
      <w:r>
        <w:rPr>
          <w:rFonts w:ascii="Arial" w:cs="Arial" w:eastAsia="Arial" w:hAnsi="Arial"/>
          <w:sz w:val="16"/>
          <w:szCs w:val="16"/>
          <w:color w:val="auto"/>
        </w:rPr>
        <w:t>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54" w:lineRule="exact"/>
        <w:rPr>
          <w:sz w:val="20"/>
          <w:szCs w:val="20"/>
          <w:color w:val="auto"/>
        </w:rPr>
      </w:pPr>
    </w:p>
    <w:p>
      <w:pPr>
        <w:jc w:val="both"/>
        <w:ind w:right="40" w:firstLine="567"/>
        <w:spacing w:after="0" w:line="264"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 License Agreement with UKRI</w:t>
      </w:r>
    </w:p>
    <w:p>
      <w:pPr>
        <w:spacing w:after="0" w:line="121" w:lineRule="exact"/>
        <w:rPr>
          <w:sz w:val="20"/>
          <w:szCs w:val="20"/>
          <w:color w:val="auto"/>
        </w:rPr>
      </w:pPr>
    </w:p>
    <w:p>
      <w:pPr>
        <w:ind w:right="340" w:firstLine="567"/>
        <w:spacing w:after="0" w:line="290" w:lineRule="auto"/>
        <w:rPr>
          <w:sz w:val="20"/>
          <w:szCs w:val="20"/>
          <w:color w:val="auto"/>
        </w:rPr>
      </w:pPr>
      <w:r>
        <w:rPr>
          <w:rFonts w:ascii="Arial" w:cs="Arial" w:eastAsia="Arial" w:hAnsi="Arial"/>
          <w:sz w:val="16"/>
          <w:szCs w:val="16"/>
          <w:color w:val="auto"/>
        </w:rPr>
        <w:t>In 2006, we entered into an exclusive worldwide license agreement with the Medical Research Council, which has subsequently been acquired by United Kingdom Research and Innovation, or UKRI, to obtain rights to multiple patents and patent applications relating to fundamental discoveries with respect to SHM and AID by Dr. Michael Neuberger and his colleagues. We since amended this license agreement to include additional subject matter and reflect the change in ownership. Under the terms of the agreement, or the UKRI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66"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We are responsible for paying UKRI an annual fee of $55,000. Additionally, for each product developed and commercialized under the UKRI Agreement, we are obligated to pay UKRI up to an additional $175,000 upon the achievement of specified development milestone events and up to an additional $275,000 upon the achievement of specified regulatory milestone events. In addition we owe UKRI royalties at 0.25% of annual net sales for worldwide sales on a product-by-product at or below $750 million and 1% of annual net sales of products worldwide above $750 million, payable on a country-by-country basis until the expiration of the last licensed patent covering such product in such country. Under this license agreement, we have rights to 15 patents and one pending patent application worldwide.</w:t>
      </w:r>
    </w:p>
    <w:p>
      <w:pPr>
        <w:spacing w:after="0" w:line="193"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Unless earlier terminated, the UKRI Agreement will expire upon expiration of all royalty payment obligations under the UKRI Agreement. Either party may terminate the UKRI Agreement in the event of an uncured material breach by the other party or upon the occurrence of specified bankruptcy events for the other party. We may terminate the UKRI Agreement upon 60 days’ notice to UKRI.</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Millipore</w:t>
      </w:r>
    </w:p>
    <w:p>
      <w:pPr>
        <w:spacing w:after="0" w:line="121"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adjusted annually for inflation using the Consumer Price Index. Additionally, for each product developed and commercialized under the Millipore Agreement, we are obligated to pay Millipore up to an additional $750,000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78" w:lineRule="exact"/>
        <w:rPr>
          <w:sz w:val="20"/>
          <w:szCs w:val="20"/>
          <w:color w:val="auto"/>
        </w:rPr>
      </w:pPr>
    </w:p>
    <w:p>
      <w:pPr>
        <w:jc w:val="both"/>
        <w:ind w:right="480" w:firstLine="567"/>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right="160" w:firstLine="567"/>
        <w:spacing w:after="0" w:line="302" w:lineRule="auto"/>
        <w:rPr>
          <w:sz w:val="20"/>
          <w:szCs w:val="20"/>
          <w:color w:val="auto"/>
        </w:rPr>
      </w:pPr>
      <w:r>
        <w:rPr>
          <w:rFonts w:ascii="Arial" w:cs="Arial" w:eastAsia="Arial" w:hAnsi="Arial"/>
          <w:sz w:val="16"/>
          <w:szCs w:val="16"/>
          <w:color w:val="auto"/>
        </w:rPr>
        <w:t>In March 2015, we established a wholly-owned Australian subsidiary called AnaptysBio Pty Ltd, in order to conduct various preclinical and clinical activities for etokimab and ANB019. We believe our Australian subsidiary will be eligible for certain financial incentives made available by the Australian government for biotech research and development expenses. Specifically, Australia provides a refundable tax credit in the form of a cash rebate equal to 43.5% of qualified expenditures on biotech research and development projects to Australian companies that operate the majority of their research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73" w:right="239" w:bottom="1440" w:gutter="0" w:footer="0" w:header="0"/>
        </w:sectPr>
      </w:pPr>
    </w:p>
    <w:bookmarkStart w:id="16" w:name="page17"/>
    <w:bookmarkEnd w:id="16"/>
    <w:p>
      <w:pPr>
        <w:spacing w:after="0" w:line="259" w:lineRule="auto"/>
        <w:rPr>
          <w:sz w:val="20"/>
          <w:szCs w:val="20"/>
          <w:color w:val="auto"/>
        </w:rPr>
      </w:pPr>
      <w:r>
        <w:rPr>
          <w:rFonts w:ascii="Arial" w:cs="Arial" w:eastAsia="Arial" w:hAnsi="Arial"/>
          <w:sz w:val="18"/>
          <w:szCs w:val="18"/>
          <w:color w:val="auto"/>
        </w:rPr>
        <w:t>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w:t>
      </w:r>
    </w:p>
    <w:p>
      <w:pPr>
        <w:spacing w:after="0" w:line="187"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have few employees with experience advancing product candidates through the Australian regulatory review process and have therefore engaged Australian consultants with expertise in the regulatory requirements and clinical development of therapeutic products in Australia. We are also working with established manufacturing and clinical development support contractors located in Australia, who are familiar with Australian regulatory and product development processes.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80" w:firstLine="567"/>
        <w:spacing w:after="0" w:line="257" w:lineRule="auto"/>
        <w:rPr>
          <w:sz w:val="20"/>
          <w:szCs w:val="20"/>
          <w:color w:val="auto"/>
        </w:rPr>
      </w:pPr>
      <w:r>
        <w:rPr>
          <w:rFonts w:ascii="Arial" w:cs="Arial" w:eastAsia="Arial" w:hAnsi="Arial"/>
          <w:sz w:val="18"/>
          <w:szCs w:val="18"/>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patent portfolio, including patents to our technology platform licensed from UKRI and patents licensed from Kyoto University, as well as patents co-owned with GlaxoSmithKline plc., consisted of approximately 42 issued patents and 158 pending patent applications as of December 31, 2019.</w:t>
      </w:r>
    </w:p>
    <w:p>
      <w:pPr>
        <w:spacing w:after="0" w:line="188" w:lineRule="exact"/>
        <w:rPr>
          <w:sz w:val="20"/>
          <w:szCs w:val="20"/>
          <w:color w:val="auto"/>
        </w:rPr>
      </w:pPr>
    </w:p>
    <w:p>
      <w:pPr>
        <w:jc w:val="both"/>
        <w:ind w:right="60" w:firstLine="567"/>
        <w:spacing w:after="0" w:line="264"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including antibody sequences, methods of use, and methods of production. Throughout the development of our product candidates, we seek to identify additional means of obtaining patent protection that would potentially enhance commercial success.</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patent portfolios for our internal programs and platform technology are outlined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Etokimab</w:t>
      </w:r>
    </w:p>
    <w:p>
      <w:pPr>
        <w:spacing w:after="0" w:line="12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As of December 31, 2019, we owned approximately 36 patents and patent applications in various countries directed to the antibody sequence of etokimab and its variants, methods of use and related matters. We also intend to prosecute our pending applications and pursue patent issuance and protection in key commercial markets where significant product sales may occur. Patents that may issue from our pending applications would provide protection until September 2039.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w:t>
      </w:r>
    </w:p>
    <w:p>
      <w:pPr>
        <w:spacing w:after="0" w:line="121" w:lineRule="exact"/>
        <w:rPr>
          <w:sz w:val="20"/>
          <w:szCs w:val="20"/>
          <w:color w:val="auto"/>
        </w:rPr>
      </w:pPr>
    </w:p>
    <w:p>
      <w:pPr>
        <w:ind w:right="300" w:firstLine="567"/>
        <w:spacing w:after="0" w:line="259" w:lineRule="auto"/>
        <w:rPr>
          <w:sz w:val="20"/>
          <w:szCs w:val="20"/>
          <w:color w:val="auto"/>
        </w:rPr>
      </w:pPr>
      <w:r>
        <w:rPr>
          <w:rFonts w:ascii="Arial" w:cs="Arial" w:eastAsia="Arial" w:hAnsi="Arial"/>
          <w:sz w:val="18"/>
          <w:szCs w:val="18"/>
          <w:color w:val="auto"/>
        </w:rPr>
        <w:t>As of December 31, 2019, we owned 16 patents and patent applications in various countries directed to the antibody sequence of ANB019 and its variants, methods of use and related matters. We also intend to prosecute our pending applications and pursue patent issuance and protection in key commercial markets where significant product sales may occur. Patents that may issue from our pending applications would provide protection until April 2036.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ANB030</w:t>
      </w:r>
    </w:p>
    <w:p>
      <w:pPr>
        <w:spacing w:after="0" w:line="121" w:lineRule="exact"/>
        <w:rPr>
          <w:sz w:val="20"/>
          <w:szCs w:val="20"/>
          <w:color w:val="auto"/>
        </w:rPr>
      </w:pPr>
    </w:p>
    <w:p>
      <w:pPr>
        <w:ind w:right="120" w:firstLine="567"/>
        <w:spacing w:after="0" w:line="286" w:lineRule="auto"/>
        <w:rPr>
          <w:sz w:val="20"/>
          <w:szCs w:val="20"/>
          <w:color w:val="auto"/>
        </w:rPr>
      </w:pPr>
      <w:r>
        <w:rPr>
          <w:rFonts w:ascii="Arial" w:cs="Arial" w:eastAsia="Arial" w:hAnsi="Arial"/>
          <w:sz w:val="17"/>
          <w:szCs w:val="17"/>
          <w:color w:val="auto"/>
        </w:rPr>
        <w:t>As of December 31, 2019, we owned 2 U.S. patent applications directed to the antibody sequence of ANB030 and its variants, methods of use and related matters. We also intend to prosecute our pending applications and pursue patent issuance and protection in key commercial markets where significant product sales may occur. Patents that may issue from our pending applications would provide protection until June 2040.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GSK4057190 (TSR-042)</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December 31, 2019, we owned or co-owned 37 U.S. patents and patent applications directed to the antibody sequence of GSK4057190 (TSR-</w:t>
      </w:r>
    </w:p>
    <w:p>
      <w:pPr>
        <w:spacing w:after="0" w:line="46" w:lineRule="exact"/>
        <w:rPr>
          <w:sz w:val="20"/>
          <w:szCs w:val="20"/>
          <w:color w:val="auto"/>
        </w:rPr>
      </w:pPr>
    </w:p>
    <w:p>
      <w:pPr>
        <w:ind w:right="240" w:firstLine="8"/>
        <w:spacing w:after="0" w:line="255" w:lineRule="auto"/>
        <w:tabs>
          <w:tab w:leader="none" w:pos="3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and its variants, methods of use and related matters. We intend to prosecute our pending applications and pursue patent issuance and protection in key commercial markets where significant product sales may occur. Patents that may issue from our pending applications would provide protection until November 2037.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GSK4069889 (TSR-022)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17" w:name="page18"/>
    <w:bookmarkEnd w:id="17"/>
    <w:p>
      <w:pPr>
        <w:ind w:left="580"/>
        <w:spacing w:after="0"/>
        <w:rPr>
          <w:sz w:val="20"/>
          <w:szCs w:val="20"/>
          <w:color w:val="auto"/>
        </w:rPr>
      </w:pPr>
      <w:r>
        <w:rPr>
          <w:rFonts w:ascii="Arial" w:cs="Arial" w:eastAsia="Arial" w:hAnsi="Arial"/>
          <w:sz w:val="16"/>
          <w:szCs w:val="16"/>
          <w:color w:val="auto"/>
        </w:rPr>
        <w:t>As of December 31, 2019, we owned or co-owned 37 U.S. patents and patent applications directed to the antibody sequence of GSK4069889 (TSR-</w:t>
      </w:r>
    </w:p>
    <w:p>
      <w:pPr>
        <w:spacing w:after="0" w:line="46" w:lineRule="exact"/>
        <w:rPr>
          <w:sz w:val="20"/>
          <w:szCs w:val="20"/>
          <w:color w:val="auto"/>
        </w:rPr>
      </w:pPr>
    </w:p>
    <w:p>
      <w:pPr>
        <w:ind w:right="240" w:firstLine="8"/>
        <w:spacing w:after="0" w:line="255" w:lineRule="auto"/>
        <w:tabs>
          <w:tab w:leader="none" w:pos="3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 its variants, methods of use and related matters. We intend to prosecute our pending applications and pursue patent issuance and protection in key commercial markets where significant product sales may occur. Patents that may issue from our pending applications would provide protection until November 2037.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GSK4074386 (TSR-033)</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December 31, 2019, we owned or co-owned 34 U.S. patents and patent applications directed to the antibody sequence of GSK4074386 (TSR-</w:t>
      </w:r>
    </w:p>
    <w:p>
      <w:pPr>
        <w:spacing w:after="0" w:line="46" w:lineRule="exact"/>
        <w:rPr>
          <w:sz w:val="20"/>
          <w:szCs w:val="20"/>
          <w:color w:val="auto"/>
        </w:rPr>
      </w:pPr>
    </w:p>
    <w:p>
      <w:pPr>
        <w:jc w:val="both"/>
        <w:ind w:right="240" w:firstLine="8"/>
        <w:spacing w:after="0" w:line="255" w:lineRule="auto"/>
        <w:tabs>
          <w:tab w:leader="none" w:pos="3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and its variants, methods of use and related matters. We intend to prosecute our pending applications and pursue patent issuance and protection in key commercial markets where significant product sales may occur. Patents that may issue from our pending applications would provide protection until April 2038.</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121"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wholly-owned portfolio, in various jurisdictions.</w:t>
      </w:r>
    </w:p>
    <w:p>
      <w:pPr>
        <w:spacing w:after="0" w:line="170" w:lineRule="exact"/>
        <w:rPr>
          <w:sz w:val="20"/>
          <w:szCs w:val="20"/>
          <w:color w:val="auto"/>
        </w:rPr>
      </w:pPr>
    </w:p>
    <w:p>
      <w:pPr>
        <w:ind w:right="420" w:firstLine="567"/>
        <w:spacing w:after="0" w:line="259" w:lineRule="auto"/>
        <w:rPr>
          <w:sz w:val="20"/>
          <w:szCs w:val="20"/>
          <w:color w:val="auto"/>
        </w:rPr>
      </w:pPr>
      <w:r>
        <w:rPr>
          <w:rFonts w:ascii="Arial" w:cs="Arial" w:eastAsia="Arial" w:hAnsi="Arial"/>
          <w:sz w:val="18"/>
          <w:szCs w:val="18"/>
          <w:color w:val="auto"/>
        </w:rPr>
        <w:t>Our wholly-owned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May 2033.</w:t>
      </w:r>
    </w:p>
    <w:p>
      <w:pPr>
        <w:spacing w:after="0" w:line="187"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spacing w:after="0" w:line="189"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or PTA, under certain circumstances to compensate for delays in obtaining the patent from the U.S. Patent and Trademark Office, or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75"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w:t>
      </w:r>
    </w:p>
    <w:p>
      <w:pPr>
        <w:spacing w:after="0" w:line="188"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65" w:right="239" w:bottom="1440" w:gutter="0" w:footer="0" w:header="0"/>
        </w:sectPr>
      </w:pPr>
    </w:p>
    <w:bookmarkStart w:id="18" w:name="page19"/>
    <w:bookmarkEnd w:id="18"/>
    <w:p>
      <w:pPr>
        <w:ind w:right="280"/>
        <w:spacing w:after="0" w:line="277" w:lineRule="auto"/>
        <w:rPr>
          <w:sz w:val="20"/>
          <w:szCs w:val="20"/>
          <w:color w:val="auto"/>
        </w:rPr>
      </w:pPr>
      <w:r>
        <w:rPr>
          <w:rFonts w:ascii="Arial" w:cs="Arial" w:eastAsia="Arial" w:hAnsi="Arial"/>
          <w:sz w:val="18"/>
          <w:szCs w:val="18"/>
          <w:color w:val="auto"/>
        </w:rPr>
        <w:t>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120" w:firstLine="567"/>
        <w:spacing w:after="0" w:line="255" w:lineRule="auto"/>
        <w:rPr>
          <w:sz w:val="20"/>
          <w:szCs w:val="20"/>
          <w:color w:val="auto"/>
        </w:rPr>
      </w:pPr>
      <w:r>
        <w:rPr>
          <w:rFonts w:ascii="Arial" w:cs="Arial" w:eastAsia="Arial" w:hAnsi="Arial"/>
          <w:sz w:val="18"/>
          <w:szCs w:val="18"/>
          <w:color w:val="auto"/>
        </w:rPr>
        <w:t>We must manufacture drug product for clinical trial use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89"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81" w:lineRule="exact"/>
        <w:rPr>
          <w:sz w:val="20"/>
          <w:szCs w:val="20"/>
          <w:color w:val="auto"/>
        </w:rPr>
      </w:pPr>
    </w:p>
    <w:p>
      <w:pPr>
        <w:ind w:right="40" w:firstLine="567"/>
        <w:spacing w:after="0" w:line="291" w:lineRule="auto"/>
        <w:rPr>
          <w:sz w:val="20"/>
          <w:szCs w:val="20"/>
          <w:color w:val="auto"/>
        </w:rPr>
      </w:pPr>
      <w:r>
        <w:rPr>
          <w:rFonts w:ascii="Arial" w:cs="Arial" w:eastAsia="Arial" w:hAnsi="Arial"/>
          <w:sz w:val="16"/>
          <w:szCs w:val="16"/>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manufactured products for other companies in compliance with cGMP and have been previously inspected by regulatory authorities for compliance with cGMP standards. Similarly, our personnel have had experience with cGMP at previous positions.</w:t>
      </w:r>
    </w:p>
    <w:p>
      <w:pPr>
        <w:spacing w:after="0" w:line="167"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ind w:right="220" w:firstLine="567"/>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ANB019 and etokimab, including major pharmaceutical companies.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73" w:right="239" w:bottom="1440" w:gutter="0" w:footer="0" w:header="0"/>
        </w:sectPr>
      </w:pPr>
    </w:p>
    <w:bookmarkStart w:id="19" w:name="page20"/>
    <w:bookmarkEnd w:id="19"/>
    <w:p>
      <w:pPr>
        <w:ind w:firstLine="567"/>
        <w:spacing w:after="0" w:line="287"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 add-on maintenance treatment in patients with severe eosinophilic asthma; antibodies such as benralizumab (FASENRA, AstraZeneca) that bind the IL-5 receptor; antibodies that bind the IL-4 receptor and inhibit its signaling through IL-4 and IL-13 cytokines such as dupilumab (Dupixent; Regeneron/Sanofi), which has been approved by the FDA for use with other asthma medicines for the maintenance treatment of moderate-to-severe asthma in patients aged 12 years and older whose asthma is not controlled with their current asthma medicines; antibodies that bind to IL-13 such as lebrikizumab (Dermira), tralokinumab (AstraZeneca, LEO Pharma) and anrukinzumab (Pfizer), which are in clinical testing; antibodies that bind the IL-4 receptor alpha chain, such as AMG 317 (Amgen) in clinical testing; ST2-binding antibodies including Roche’s RG6149, GSK’s GSK3772847 and Regeneron’s IL-33 antibody (REGN3500), each in clinical development for asthma and related conditions; a recently announced IL-33 related program by AstraZeneca (MEDI3506) in a Phase 1 clinical trial indicated for chronic obstructive pulmonary disease; DP-2 antagonists including fevipiprant (Novartis) under development for asthma and GB001 (Gossamer Bio) under development for moderate-to-severe eosinophilic asthma; and an anti-TSLP antibody called tezepelumab (AMG 157, MEDI9929) being developed by Amgen and AstraZeneca for asthma.</w:t>
      </w:r>
    </w:p>
    <w:p>
      <w:pPr>
        <w:spacing w:after="0" w:line="169"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Our competitors in CRSwNP include dupilumab (Regeneron/Sanofi), mepolizumab (GSK), benralizumab (AstraZeneca), omalizumab (Novartis), GB001 (Gossamer Bio) and PF-06817024 (Pfizer), each of which are in clinical testing.</w:t>
      </w:r>
    </w:p>
    <w:p>
      <w:pPr>
        <w:spacing w:after="0" w:line="170"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binds IL-1 beta, anakinra (Kineret; Swedish Orphan Biovitrum AB), a recombinant form the IL-1 receptor antagonist, and an anti-IL-36 receptor antibody called BI-655130 (Boehringer Ingelheim).</w:t>
      </w:r>
    </w:p>
    <w:p>
      <w:pPr>
        <w:spacing w:after="0" w:line="188" w:lineRule="exact"/>
        <w:rPr>
          <w:sz w:val="20"/>
          <w:szCs w:val="20"/>
          <w:color w:val="auto"/>
        </w:rPr>
      </w:pPr>
    </w:p>
    <w:p>
      <w:pPr>
        <w:ind w:right="320" w:firstLine="567"/>
        <w:spacing w:after="0" w:line="264" w:lineRule="auto"/>
        <w:rPr>
          <w:sz w:val="20"/>
          <w:szCs w:val="20"/>
          <w:color w:val="auto"/>
        </w:rPr>
      </w:pPr>
      <w:r>
        <w:rPr>
          <w:rFonts w:ascii="Arial" w:cs="Arial" w:eastAsia="Arial" w:hAnsi="Arial"/>
          <w:sz w:val="18"/>
          <w:szCs w:val="18"/>
          <w:color w:val="auto"/>
        </w:rPr>
        <w:t>For our anti-inflammatory checkpoint modulator antibody programs, our competitors include CC-90006 (Celgene/BMS) which is an anti-PD-1 agonist antibody developed under our partnership with Celgene, a BTLA modulator antibody called LY3361237 being developed by Eli Lilly and a PD-1 agonist antibody also being developed by Eli Lilly.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100" w:firstLine="567"/>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121"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67"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 controlled clinical trials to establish the safety and effectiveness of the drug for each indication for which FDA approval is sought. Satisfaction of FDA pre-market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773" w:right="279" w:bottom="1440" w:gutter="0" w:footer="0" w:header="0"/>
        </w:sectPr>
      </w:pPr>
    </w:p>
    <w:bookmarkStart w:id="20" w:name="page21"/>
    <w:bookmarkEnd w:id="20"/>
    <w:p>
      <w:pPr>
        <w:ind w:right="340"/>
        <w:spacing w:after="0" w:line="277" w:lineRule="auto"/>
        <w:rPr>
          <w:sz w:val="20"/>
          <w:szCs w:val="20"/>
          <w:color w:val="auto"/>
        </w:rPr>
      </w:pPr>
      <w:r>
        <w:rPr>
          <w:rFonts w:ascii="Arial" w:cs="Arial" w:eastAsia="Arial" w:hAnsi="Arial"/>
          <w:sz w:val="18"/>
          <w:szCs w:val="18"/>
          <w:color w:val="auto"/>
        </w:rPr>
        <w:t>approval requirements typically takes many years and the actual time required may vary substantially based upon the type, complexity, and novelty of the product or disease.</w:t>
      </w:r>
    </w:p>
    <w:p>
      <w:pPr>
        <w:spacing w:after="0" w:line="170" w:lineRule="exact"/>
        <w:rPr>
          <w:sz w:val="20"/>
          <w:szCs w:val="20"/>
          <w:color w:val="auto"/>
        </w:rPr>
      </w:pPr>
    </w:p>
    <w:p>
      <w:pPr>
        <w:ind w:right="60" w:firstLine="567"/>
        <w:spacing w:after="0" w:line="287" w:lineRule="auto"/>
        <w:rPr>
          <w:sz w:val="20"/>
          <w:szCs w:val="20"/>
          <w:color w:val="auto"/>
        </w:rPr>
      </w:pPr>
      <w:r>
        <w:rPr>
          <w:rFonts w:ascii="Arial" w:cs="Arial" w:eastAsia="Arial" w:hAnsi="Arial"/>
          <w:sz w:val="16"/>
          <w:szCs w:val="16"/>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good clinical practices, or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73"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40" w:firstLine="567"/>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3"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BLA is filed with the FDA; most applications for priority review biologics are reviewed within 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80"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73" w:right="239" w:bottom="1440" w:gutter="0" w:footer="0" w:header="0"/>
        </w:sectPr>
      </w:pPr>
    </w:p>
    <w:bookmarkStart w:id="21" w:name="page22"/>
    <w:bookmarkEnd w:id="21"/>
    <w:p>
      <w:pPr>
        <w:ind w:right="120"/>
        <w:spacing w:after="0" w:line="259" w:lineRule="auto"/>
        <w:rPr>
          <w:sz w:val="20"/>
          <w:szCs w:val="20"/>
          <w:color w:val="auto"/>
        </w:rPr>
      </w:pPr>
      <w:r>
        <w:rPr>
          <w:rFonts w:ascii="Arial" w:cs="Arial" w:eastAsia="Arial" w:hAnsi="Arial"/>
          <w:sz w:val="18"/>
          <w:szCs w:val="18"/>
          <w:color w:val="auto"/>
        </w:rPr>
        <w:t>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is satisfactory and the BLA contains data that provide substantial evidence that the biologic is safe, pure, potent and effective in the indication studied.</w:t>
      </w:r>
    </w:p>
    <w:p>
      <w:pPr>
        <w:spacing w:after="0" w:line="187"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risk evaluation and mitigation strategy, or REMS to help ensure that the benefits of the biologic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8"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clinical studies to support an IND</w:t>
      </w:r>
    </w:p>
    <w:p>
      <w:pPr>
        <w:spacing w:after="0" w:line="121" w:lineRule="exact"/>
        <w:rPr>
          <w:sz w:val="20"/>
          <w:szCs w:val="20"/>
          <w:color w:val="auto"/>
        </w:rPr>
      </w:pPr>
    </w:p>
    <w:p>
      <w:pPr>
        <w:jc w:val="both"/>
        <w:ind w:firstLine="567"/>
        <w:spacing w:after="0" w:line="312"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39"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17" w:lineRule="exact"/>
        <w:rPr>
          <w:rFonts w:ascii="Arial" w:cs="Arial" w:eastAsia="Arial" w:hAnsi="Arial"/>
          <w:sz w:val="18"/>
          <w:szCs w:val="18"/>
          <w:color w:val="auto"/>
        </w:rPr>
      </w:pPr>
    </w:p>
    <w:p>
      <w:pPr>
        <w:ind w:left="660" w:right="80" w:hanging="314"/>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17" w:lineRule="exact"/>
        <w:rPr>
          <w:rFonts w:ascii="Arial" w:cs="Arial" w:eastAsia="Arial" w:hAnsi="Arial"/>
          <w:sz w:val="18"/>
          <w:szCs w:val="18"/>
          <w:color w:val="auto"/>
        </w:rPr>
      </w:pPr>
    </w:p>
    <w:p>
      <w:pPr>
        <w:ind w:left="660" w:right="80" w:hanging="314"/>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28" w:lineRule="exact"/>
        <w:rPr>
          <w:rFonts w:ascii="Arial" w:cs="Arial" w:eastAsia="Arial" w:hAnsi="Arial"/>
          <w:sz w:val="17"/>
          <w:szCs w:val="17"/>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28" w:lineRule="exact"/>
        <w:rPr>
          <w:rFonts w:ascii="Arial" w:cs="Arial" w:eastAsia="Arial" w:hAnsi="Arial"/>
          <w:sz w:val="17"/>
          <w:szCs w:val="17"/>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773"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Orphan drug designation</w:t>
      </w:r>
    </w:p>
    <w:p>
      <w:pPr>
        <w:spacing w:after="0" w:line="12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 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clinical trial information</w:t>
      </w:r>
    </w:p>
    <w:p>
      <w:pPr>
        <w:spacing w:after="0" w:line="121"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information</w:t>
      </w:r>
    </w:p>
    <w:p>
      <w:pPr>
        <w:spacing w:after="0" w:line="121" w:lineRule="exact"/>
        <w:rPr>
          <w:sz w:val="20"/>
          <w:szCs w:val="20"/>
          <w:color w:val="auto"/>
        </w:rPr>
      </w:pPr>
    </w:p>
    <w:p>
      <w:pPr>
        <w:ind w:right="200" w:firstLine="567"/>
        <w:spacing w:after="0" w:line="257" w:lineRule="auto"/>
        <w:rPr>
          <w:sz w:val="20"/>
          <w:szCs w:val="20"/>
          <w:color w:val="auto"/>
        </w:rPr>
      </w:pPr>
      <w:r>
        <w:rPr>
          <w:rFonts w:ascii="Arial" w:cs="Arial" w:eastAsia="Arial" w:hAnsi="Arial"/>
          <w:sz w:val="18"/>
          <w:szCs w:val="18"/>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the PREA does not apply to any biological product for an indication for which orphan designation has been granted.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controls for biologics</w:t>
      </w:r>
    </w:p>
    <w:p>
      <w:pPr>
        <w:spacing w:after="0" w:line="121" w:lineRule="exact"/>
        <w:rPr>
          <w:sz w:val="20"/>
          <w:szCs w:val="20"/>
          <w:color w:val="auto"/>
        </w:rPr>
      </w:pPr>
    </w:p>
    <w:p>
      <w:pPr>
        <w:ind w:right="260" w:firstLine="567"/>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100" w:firstLine="567"/>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877"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Patent term restoration</w:t>
      </w:r>
    </w:p>
    <w:p>
      <w:pPr>
        <w:spacing w:after="0" w:line="121" w:lineRule="exact"/>
        <w:rPr>
          <w:sz w:val="20"/>
          <w:szCs w:val="20"/>
          <w:color w:val="auto"/>
        </w:rPr>
      </w:pPr>
    </w:p>
    <w:p>
      <w:pPr>
        <w:ind w:right="240" w:firstLine="567"/>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1" w:lineRule="exact"/>
        <w:rPr>
          <w:sz w:val="20"/>
          <w:szCs w:val="20"/>
          <w:color w:val="auto"/>
        </w:rPr>
      </w:pPr>
    </w:p>
    <w:p>
      <w:pPr>
        <w:ind w:right="140" w:firstLine="567"/>
        <w:spacing w:after="0" w:line="302" w:lineRule="auto"/>
        <w:rPr>
          <w:sz w:val="20"/>
          <w:szCs w:val="20"/>
          <w:color w:val="auto"/>
        </w:rPr>
      </w:pPr>
      <w:r>
        <w:rPr>
          <w:rFonts w:ascii="Arial" w:cs="Arial" w:eastAsia="Arial" w:hAnsi="Arial"/>
          <w:sz w:val="16"/>
          <w:szCs w:val="16"/>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or biologic for which an NDA or BLA has not been submitted.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21"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83"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1" w:lineRule="exact"/>
        <w:rPr>
          <w:sz w:val="20"/>
          <w:szCs w:val="20"/>
          <w:color w:val="auto"/>
        </w:rPr>
      </w:pPr>
    </w:p>
    <w:p>
      <w:pPr>
        <w:ind w:right="220" w:firstLine="567"/>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right="20" w:firstLine="567"/>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7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FDA regulation of companion diagnostics</w:t>
      </w:r>
    </w:p>
    <w:p>
      <w:pPr>
        <w:spacing w:after="0" w:line="121" w:lineRule="exact"/>
        <w:rPr>
          <w:sz w:val="20"/>
          <w:szCs w:val="20"/>
          <w:color w:val="auto"/>
        </w:rPr>
      </w:pPr>
    </w:p>
    <w:p>
      <w:pPr>
        <w:ind w:right="340" w:firstLine="567"/>
        <w:spacing w:after="0" w:line="253" w:lineRule="auto"/>
        <w:rPr>
          <w:sz w:val="20"/>
          <w:szCs w:val="20"/>
          <w:color w:val="auto"/>
        </w:rPr>
      </w:pPr>
      <w:r>
        <w:rPr>
          <w:rFonts w:ascii="Arial" w:cs="Arial" w:eastAsia="Arial" w:hAnsi="Arial"/>
          <w:sz w:val="18"/>
          <w:szCs w:val="18"/>
          <w:color w:val="auto"/>
        </w:rPr>
        <w:t xml:space="preserve">If use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is essential for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in conjunction with the review of a biologic involves coordination of review by the FDA’s Center for Biologics Evaluation and Research and by the FDA’s Center for Devices and Radiological Health. Pursuing FDA approval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would require us to obtain a</w:t>
      </w:r>
    </w:p>
    <w:p>
      <w:pPr>
        <w:spacing w:after="0" w:line="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pre-market approval, or PMA.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98" w:lineRule="exact"/>
        <w:rPr>
          <w:sz w:val="20"/>
          <w:szCs w:val="20"/>
          <w:color w:val="auto"/>
        </w:rPr>
      </w:pPr>
    </w:p>
    <w:p>
      <w:pPr>
        <w:ind w:right="180" w:firstLine="567"/>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application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7" w:lineRule="exact"/>
        <w:rPr>
          <w:sz w:val="20"/>
          <w:szCs w:val="20"/>
          <w:color w:val="auto"/>
        </w:rPr>
      </w:pPr>
    </w:p>
    <w:p>
      <w:pPr>
        <w:ind w:right="160" w:firstLine="567"/>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 care laws and compliance requirements</w:t>
      </w:r>
    </w:p>
    <w:p>
      <w:pPr>
        <w:spacing w:after="0" w:line="121"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120" w:firstLine="567"/>
        <w:spacing w:after="0" w:line="289"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 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77" w:right="239" w:bottom="1440" w:gutter="0" w:footer="0" w:header="0"/>
        </w:sectPr>
      </w:pPr>
    </w:p>
    <w:bookmarkStart w:id="25" w:name="page26"/>
    <w:bookmarkEnd w:id="25"/>
    <w:p>
      <w:pPr>
        <w:ind w:right="680"/>
        <w:spacing w:after="0" w:line="277" w:lineRule="auto"/>
        <w:rPr>
          <w:sz w:val="20"/>
          <w:szCs w:val="20"/>
          <w:color w:val="auto"/>
        </w:rPr>
      </w:pPr>
      <w:r>
        <w:rPr>
          <w:rFonts w:ascii="Arial" w:cs="Arial" w:eastAsia="Arial" w:hAnsi="Arial"/>
          <w:sz w:val="18"/>
          <w:szCs w:val="18"/>
          <w:color w:val="auto"/>
        </w:rPr>
        <w:t>on a cumulative review of all of its facts and circumstances. Our practices may not in all cases meet all of the criteria for protection under a statutory exception or regulatory safe harbor.</w:t>
      </w:r>
    </w:p>
    <w:p>
      <w:pPr>
        <w:spacing w:after="0" w:line="170"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 Kickback Statute constitutes a false or fraudulent claim for purposes of the federal False Claims Act (discussed below).</w:t>
      </w:r>
    </w:p>
    <w:p>
      <w:pPr>
        <w:spacing w:after="0" w:line="187"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100" w:firstLine="567"/>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 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 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right="20" w:firstLine="567"/>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 care benefit program, including private third-party payors, willfully obstructing a criminal investigation of a health care offense, and knowingly and willfully falsifying, concealing or covering up by trick, scheme or device, a material fact or making any materially false, fictitious or fraudulent statement in connection with the delivery of or payment for health care benefits, items or services. Like the Anti-Kickback Statute, the ACA amended the intent standard for certain health 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jc w:val="both"/>
        <w:ind w:right="300" w:firstLine="567"/>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right="60" w:firstLine="567"/>
        <w:spacing w:after="0" w:line="270"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82" w:lineRule="exact"/>
        <w:rPr>
          <w:sz w:val="20"/>
          <w:szCs w:val="20"/>
          <w:color w:val="auto"/>
        </w:rPr>
      </w:pPr>
    </w:p>
    <w:p>
      <w:pPr>
        <w:ind w:right="100" w:firstLine="567"/>
        <w:spacing w:after="0" w:line="291"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773" w:right="259" w:bottom="1440" w:gutter="0" w:footer="0" w:header="0"/>
        </w:sectPr>
      </w:pPr>
    </w:p>
    <w:bookmarkStart w:id="26" w:name="page27"/>
    <w:bookmarkEnd w:id="26"/>
    <w:p>
      <w:pPr>
        <w:ind w:right="40" w:firstLine="567"/>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 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67"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 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pricing and reimbursement</w:t>
      </w:r>
    </w:p>
    <w:p>
      <w:pPr>
        <w:spacing w:after="0" w:line="121"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third-party payors include federal and state health 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75" w:lineRule="exact"/>
        <w:rPr>
          <w:sz w:val="20"/>
          <w:szCs w:val="20"/>
          <w:color w:val="auto"/>
        </w:rPr>
      </w:pPr>
    </w:p>
    <w:p>
      <w:pPr>
        <w:ind w:right="60" w:firstLine="567"/>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 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reform</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73" w:right="239" w:bottom="1440" w:gutter="0" w:footer="0" w:header="0"/>
        </w:sectPr>
      </w:pPr>
    </w:p>
    <w:bookmarkStart w:id="27" w:name="page28"/>
    <w:bookmarkEnd w:id="27"/>
    <w:p>
      <w:pPr>
        <w:jc w:val="both"/>
        <w:ind w:firstLine="567"/>
        <w:spacing w:after="0" w:line="287"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 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Patient Protection and Affordable Care Act, as amended by the health care and Education Reconciliation Act, or collectively the ACA, was enacted in the United States. This legislation imposes cost-containment and other measures that are likely to adversely affect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products.</w:t>
      </w:r>
    </w:p>
    <w:p>
      <w:pPr>
        <w:spacing w:after="0" w:line="17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the current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Foreign Corrupt Practices Act</w:t>
      </w:r>
    </w:p>
    <w:p>
      <w:pPr>
        <w:spacing w:after="0" w:line="121" w:lineRule="exact"/>
        <w:rPr>
          <w:sz w:val="20"/>
          <w:szCs w:val="20"/>
          <w:color w:val="auto"/>
        </w:rPr>
      </w:pPr>
    </w:p>
    <w:p>
      <w:pPr>
        <w:ind w:right="200" w:firstLine="567"/>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regulation</w:t>
      </w:r>
    </w:p>
    <w:p>
      <w:pPr>
        <w:spacing w:after="0" w:line="121" w:lineRule="exact"/>
        <w:rPr>
          <w:sz w:val="20"/>
          <w:szCs w:val="20"/>
          <w:color w:val="auto"/>
        </w:rPr>
      </w:pPr>
    </w:p>
    <w:p>
      <w:pPr>
        <w:ind w:right="200" w:firstLine="567"/>
        <w:spacing w:after="0" w:line="272" w:lineRule="auto"/>
        <w:rPr>
          <w:sz w:val="20"/>
          <w:szCs w:val="20"/>
          <w:color w:val="auto"/>
        </w:rPr>
      </w:pPr>
      <w:r>
        <w:rPr>
          <w:rFonts w:ascii="Arial" w:cs="Arial" w:eastAsia="Arial" w:hAnsi="Arial"/>
          <w:sz w:val="17"/>
          <w:szCs w:val="17"/>
          <w:color w:val="auto"/>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Europe / rest of world government regulation</w:t>
      </w:r>
    </w:p>
    <w:p>
      <w:pPr>
        <w:spacing w:after="0" w:line="121"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and other countries in the EU, for example, a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8" w:lineRule="exact"/>
        <w:rPr>
          <w:sz w:val="20"/>
          <w:szCs w:val="20"/>
          <w:color w:val="auto"/>
        </w:rPr>
      </w:pPr>
    </w:p>
    <w:p>
      <w:pPr>
        <w:ind w:right="140" w:firstLine="567"/>
        <w:spacing w:after="0" w:line="255" w:lineRule="auto"/>
        <w:rPr>
          <w:sz w:val="20"/>
          <w:szCs w:val="20"/>
          <w:color w:val="auto"/>
        </w:rPr>
      </w:pPr>
      <w:r>
        <w:rPr>
          <w:rFonts w:ascii="Arial" w:cs="Arial" w:eastAsia="Arial" w:hAnsi="Arial"/>
          <w:sz w:val="18"/>
          <w:szCs w:val="18"/>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93" w:lineRule="exact"/>
        <w:rPr>
          <w:sz w:val="20"/>
          <w:szCs w:val="20"/>
          <w:color w:val="auto"/>
        </w:rPr>
      </w:pPr>
    </w:p>
    <w:p>
      <w:pPr>
        <w:ind w:right="180" w:firstLine="567"/>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360" w:firstLine="567"/>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24" w:lineRule="exact"/>
        <w:rPr>
          <w:sz w:val="20"/>
          <w:szCs w:val="20"/>
          <w:color w:val="auto"/>
        </w:rPr>
      </w:pPr>
    </w:p>
    <w:p>
      <w:pPr>
        <w:ind w:right="300" w:firstLine="567"/>
        <w:spacing w:after="0" w:line="286" w:lineRule="auto"/>
        <w:rPr>
          <w:sz w:val="20"/>
          <w:szCs w:val="20"/>
          <w:color w:val="auto"/>
        </w:rPr>
      </w:pPr>
      <w:r>
        <w:rPr>
          <w:rFonts w:ascii="Arial" w:cs="Arial" w:eastAsia="Arial" w:hAnsi="Arial"/>
          <w:sz w:val="17"/>
          <w:szCs w:val="17"/>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TGA for quality, safety and efficacy must occur pursuant to either the Clinical Trial Notification, or CTN, or Clinical Trial Exemption, or CTX, process.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CTN process broadly involves:</w:t>
      </w:r>
    </w:p>
    <w:p>
      <w:pPr>
        <w:spacing w:after="0" w:line="117" w:lineRule="exact"/>
        <w:rPr>
          <w:sz w:val="20"/>
          <w:szCs w:val="20"/>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17" w:lineRule="exact"/>
        <w:rPr>
          <w:rFonts w:ascii="Arial" w:cs="Arial" w:eastAsia="Arial" w:hAnsi="Arial"/>
          <w:sz w:val="18"/>
          <w:szCs w:val="18"/>
          <w:color w:val="auto"/>
        </w:rPr>
      </w:pPr>
    </w:p>
    <w:p>
      <w:pPr>
        <w:ind w:left="660" w:right="820" w:hanging="314"/>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62" w:lineRule="exact"/>
        <w:rPr>
          <w:rFonts w:ascii="Arial" w:cs="Arial" w:eastAsia="Arial" w:hAnsi="Arial"/>
          <w:sz w:val="18"/>
          <w:szCs w:val="18"/>
          <w:color w:val="auto"/>
        </w:rPr>
      </w:pPr>
    </w:p>
    <w:p>
      <w:pPr>
        <w:ind w:left="660" w:right="80" w:hanging="314"/>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institution or organization at which the trial will be conducted, referred to as the “Approving Authority” gives the final approval for the conduct of the trial at the site, having due regard to the advice from the HREC;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CTN trials cannot commence until the trial has been notified to the TGA.</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the CTX process:</w:t>
      </w:r>
    </w:p>
    <w:p>
      <w:pPr>
        <w:spacing w:after="0" w:line="117" w:lineRule="exact"/>
        <w:rPr>
          <w:sz w:val="20"/>
          <w:szCs w:val="20"/>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sponsor submits an application to conduct a clinical trial to the TGA for evaluation and comment; and</w:t>
      </w:r>
    </w:p>
    <w:p>
      <w:pPr>
        <w:spacing w:after="0" w:line="117"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it is required that:</w:t>
      </w:r>
    </w:p>
    <w:p>
      <w:pPr>
        <w:spacing w:after="0" w:line="117" w:lineRule="exact"/>
        <w:rPr>
          <w:sz w:val="20"/>
          <w:szCs w:val="20"/>
          <w:color w:val="auto"/>
        </w:rPr>
      </w:pPr>
    </w:p>
    <w:p>
      <w:pPr>
        <w:ind w:left="5620" w:right="2520" w:hanging="5274"/>
        <w:spacing w:after="0" w:line="528"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adequate and well-controlled clinical trials demonstrate the quality, safety and efficacy of the therapeutic product; 26</w:t>
      </w:r>
    </w:p>
    <w:p>
      <w:pPr>
        <w:sectPr>
          <w:pgSz w:w="11900" w:h="16838" w:orient="portrait"/>
          <w:cols w:equalWidth="0" w:num="1">
            <w:col w:w="11380"/>
          </w:cols>
          <w:pgMar w:left="240" w:top="877" w:right="279" w:bottom="1440" w:gutter="0" w:footer="0" w:header="0"/>
        </w:sectPr>
      </w:pPr>
    </w:p>
    <w:bookmarkStart w:id="29" w:name="page30"/>
    <w:bookmarkEnd w:id="29"/>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evidence is compiled which demonstrates that the manufacture of the therapeutic drug product complies with the principles of cGMP;</w:t>
      </w:r>
    </w:p>
    <w:p>
      <w:pPr>
        <w:spacing w:after="0" w:line="117" w:lineRule="exact"/>
        <w:rPr>
          <w:rFonts w:ascii="Arial" w:cs="Arial" w:eastAsia="Arial" w:hAnsi="Arial"/>
          <w:sz w:val="18"/>
          <w:szCs w:val="18"/>
          <w:color w:val="auto"/>
        </w:rPr>
      </w:pPr>
    </w:p>
    <w:p>
      <w:pPr>
        <w:ind w:left="660" w:right="180" w:hanging="314"/>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ultimate decision is made by the TGA whether to include the therapeutic drug product in the ARTG.</w:t>
      </w:r>
    </w:p>
    <w:p>
      <w:pPr>
        <w:spacing w:after="0" w:line="225"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81" w:lineRule="exact"/>
        <w:rPr>
          <w:sz w:val="20"/>
          <w:szCs w:val="20"/>
          <w:color w:val="auto"/>
        </w:rPr>
      </w:pPr>
    </w:p>
    <w:p>
      <w:pPr>
        <w:ind w:right="180" w:firstLine="567"/>
        <w:spacing w:after="0" w:line="270"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2" w:lineRule="exact"/>
        <w:rPr>
          <w:sz w:val="20"/>
          <w:szCs w:val="20"/>
          <w:color w:val="auto"/>
        </w:rPr>
      </w:pPr>
    </w:p>
    <w:p>
      <w:pPr>
        <w:ind w:right="60" w:firstLine="567"/>
        <w:spacing w:after="0" w:line="276"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 human study under ICH guidelines are applicable in Australia. Requirements related to adverse event reporting in Australia are similar to those required in other major jurisdictions.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As of December 31, 2019, we had 89 full-time employees. Of these employees, 71 were primarily engaged in research and development activities and 24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right="80" w:firstLine="567"/>
        <w:spacing w:after="0" w:line="286"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80" w:firstLine="567"/>
        <w:spacing w:after="0" w:line="286" w:lineRule="auto"/>
        <w:rPr>
          <w:sz w:val="20"/>
          <w:szCs w:val="20"/>
          <w:color w:val="auto"/>
        </w:rPr>
      </w:pPr>
      <w:r>
        <w:rPr>
          <w:rFonts w:ascii="Arial" w:cs="Arial" w:eastAsia="Arial" w:hAnsi="Arial"/>
          <w:sz w:val="17"/>
          <w:szCs w:val="17"/>
          <w:color w:val="auto"/>
        </w:rPr>
        <w:t xml:space="preserve">We file Annual Reports on Form 10-K, Quarterly Reports on Form 10-Q, Current Reports on Form 8-K and other information with the Securities and Exchange Commission (SEC). Our filings with the SEC are available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on our website under the “Investors” tab as soon as reasonably practicable after we electronically file such material with, or furnish it to, the SEC.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184" w:lineRule="exact"/>
        <w:rPr>
          <w:sz w:val="20"/>
          <w:szCs w:val="20"/>
          <w:color w:val="auto"/>
        </w:rPr>
      </w:pPr>
    </w:p>
    <w:p>
      <w:pPr>
        <w:ind w:right="100" w:firstLine="567"/>
        <w:spacing w:after="0" w:line="312" w:lineRule="auto"/>
        <w:rPr>
          <w:sz w:val="20"/>
          <w:szCs w:val="20"/>
          <w:color w:val="auto"/>
        </w:rPr>
      </w:pPr>
      <w:r>
        <w:rPr>
          <w:rFonts w:ascii="Arial" w:cs="Arial" w:eastAsia="Arial" w:hAnsi="Arial"/>
          <w:sz w:val="16"/>
          <w:szCs w:val="16"/>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47" w:lineRule="exact"/>
        <w:rPr>
          <w:sz w:val="20"/>
          <w:szCs w:val="20"/>
          <w:color w:val="auto"/>
        </w:rPr>
      </w:pPr>
    </w:p>
    <w:p>
      <w:pPr>
        <w:ind w:right="100" w:firstLine="567"/>
        <w:spacing w:after="0" w:line="271"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was not representative of the results we experienced in our later Phase 2b trial. Similarly, we reported interim results of our GALLOP Phase 2 clinical trial of ANB019, which included data for two patients who had completed the Day 113 trial period. While we believe these results are likely to be representative of subsequent patients in the trial, the results we have observed to date may not be predictive of results once all 10 patients have completed the trial. If our later clinical trials are unsuccessful, our product candidates may be delayed in development or fail entirely, which would have a material adverse impact on our business.</w:t>
      </w:r>
    </w:p>
    <w:p>
      <w:pPr>
        <w:sectPr>
          <w:pgSz w:w="11900" w:h="16838" w:orient="portrait"/>
          <w:cols w:equalWidth="0" w:num="1">
            <w:col w:w="11420"/>
          </w:cols>
          <w:pgMar w:left="240" w:top="665" w:right="239" w:bottom="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665" w:right="239" w:bottom="0" w:gutter="0" w:footer="0" w:header="0"/>
          <w:type w:val="continuous"/>
        </w:sectPr>
      </w:pPr>
    </w:p>
    <w:bookmarkStart w:id="30" w:name="page31"/>
    <w:bookmarkEnd w:id="30"/>
    <w:p>
      <w:pPr>
        <w:ind w:right="20" w:firstLine="446"/>
        <w:spacing w:after="0" w:line="269" w:lineRule="auto"/>
        <w:rPr>
          <w:sz w:val="20"/>
          <w:szCs w:val="20"/>
          <w:color w:val="auto"/>
        </w:rPr>
      </w:pPr>
      <w:r>
        <w:rPr>
          <w:rFonts w:ascii="Arial" w:cs="Arial" w:eastAsia="Arial" w:hAnsi="Arial"/>
          <w:sz w:val="17"/>
          <w:szCs w:val="17"/>
          <w:color w:val="auto"/>
        </w:rPr>
        <w:t>We have elected to structure our initial Phase 2a clinical trials with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etokimab in severe adult eosinophilic asthma may suggest a reasonable basis for continuing development of etokimab in this indication through a larger Phase 2b clinical trial. However, as a result of the recently announced topline data from our ATLAS trial in atopic dermatitis, we have decided to postpone the initiation of our planned Phase 2b etokimab clinical trial in eosinophilic asthma, a multi-dose, randomized, double-blinded, placebo-controlled trial in 300-400 patients, until we have the opportunity to analyze the results from our currently ongoing Phase 2 trial of etokimab in CRSwNP. Our Phase 2a trials involved relatively small patient populations, for example 25 patients in our Phase 2a trial in severe adult eosinophilic asthma. The results we have observed in this smaller patient populations may not be predictive of results we will experience in later studies. Furthermore, the average results reported from our Phase 2a trial in severe eosinophilic asthma (for example, the average change in FEV1 reported) were subject to significant variability due to the small number of patients enrolled, and as expected were not statistically significant. In addition, we elected to structure our initial Phase 2a clinical trial in eosinophilic asthma as a single dose study, which may not be representative of the efficacy and/or safety observed in subsequent multi-dose Phase 2, Phase 2b or Phase 3 clinical trials.</w:t>
      </w:r>
    </w:p>
    <w:p>
      <w:pPr>
        <w:spacing w:after="0" w:line="18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addition, later studies may also include different design elements that could contribute to us experiencing different results than we have observed in our Phase 2a trials. One such design element may be differences in efficacy endpoints between Phase 2a trials and subsequent Phase 2, Phase 2b or Phase 3 clinical trials. For instance, while our single dose Phase 2a clinical trial of etokimab in eosinophilic asthma demonstrated efficacy in terms of FEV1 improvement versus placebo, we did not structure that trial to assess efficacy in terms of exacerbation reduction, which is the endpoint historically used by the FDA for drug approval in asthma, and hence our future Phase 2, Phase 2b or Phase 3 trials in asthma may not demonstrate efficacy in exacerbation reduction leading to potential delays or failure to obtain approval of etokimab in asthma. In addition, the initial results we have report from our Phase 2a clinical trials have included interim analyses and top-line results at early timepoints, which may not accurately predict the final results of these clinical trials or the results of future clinical trials. For instance, our single dose Phase 2a trial of etokimab in atopic dermatitis demonstrated certain levels of EASI-50 response upon interim analysis at Day 29, but this EASI-50 response level was not maintained at the end of this clinical trial at Day 140. In another example, interim analysis data from our Phase 2a study of severe adult eosinophilic asthma demonstrated FEV1 improvement over placebo at Day 64, but this FEV1 improvement was not maintained at the same levels through study completion at the Day 127 timepoint.</w:t>
      </w:r>
    </w:p>
    <w:p>
      <w:pPr>
        <w:spacing w:after="0" w:line="17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Furthermore, our rationale for conducting clinical trials of etokimab in multiple indications is that we believe etokimab’s mechanism of action, the inhibition of IL-33, has the potential be effective for treatment of a range of atopic inflammatory disorders. However, in light of the recently announced topline data from our ATLAS trial of etokimab in atopic dermatitis, it is possible that our assumptions regarding the effectiveness of etokimab’s mechanism of action may be incorrect, and that etokimab may be ineffective in certain inflammatory disorders or may be ineffective in treating inflammatory disorders generally. If this were the case, then results from our ongoing Phase 2 clinical trial of etokimab in CRSwNP, and results from any other clinical trials of etokimab that we conduct, are less likely to be positive.</w:t>
      </w:r>
    </w:p>
    <w:p>
      <w:pPr>
        <w:spacing w:after="0" w:line="19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If our later clinical trials of etokimab or ANB019 are unsuccessful, whether for one of the reasons mentioned above or otherwise, etokimab or ANB019 may be delayed in development or fail entirely, which would have a material adverse impact on our business.</w:t>
      </w:r>
    </w:p>
    <w:p>
      <w:pPr>
        <w:spacing w:after="0" w:line="170"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and/or making arrangements with third-party manufacturers;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73" w:right="239" w:bottom="1440" w:gutter="0" w:footer="0" w:header="0"/>
        </w:sectPr>
      </w:pPr>
    </w:p>
    <w:bookmarkStart w:id="31" w:name="page32"/>
    <w:bookmarkEnd w:id="31"/>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280" w:firstLine="567"/>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20" w:firstLine="567"/>
        <w:spacing w:after="0" w:line="238"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9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3" w:lineRule="exact"/>
        <w:rPr>
          <w:sz w:val="20"/>
          <w:szCs w:val="20"/>
          <w:color w:val="auto"/>
        </w:rPr>
      </w:pPr>
    </w:p>
    <w:p>
      <w:pPr>
        <w:ind w:right="100" w:firstLine="567"/>
        <w:spacing w:after="0" w:line="241"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90" w:lineRule="exact"/>
        <w:rPr>
          <w:sz w:val="20"/>
          <w:szCs w:val="20"/>
          <w:color w:val="auto"/>
        </w:rPr>
      </w:pPr>
    </w:p>
    <w:p>
      <w:pPr>
        <w:ind w:right="20" w:firstLine="567"/>
        <w:spacing w:after="0" w:line="253" w:lineRule="auto"/>
        <w:rPr>
          <w:sz w:val="20"/>
          <w:szCs w:val="20"/>
          <w:color w:val="auto"/>
        </w:rPr>
      </w:pPr>
      <w:r>
        <w:rPr>
          <w:rFonts w:ascii="Arial" w:cs="Arial" w:eastAsia="Arial" w:hAnsi="Arial"/>
          <w:sz w:val="17"/>
          <w:szCs w:val="17"/>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early Phase 1 and Phase 2a clinical trials for etokimab, and subsequent patient trials with etokimab are currently ongoing. We also have only recently completed a Phase 1 clinical trial with ANB019 and subsequent patient trials with ANB019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81"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Some patients in our clinical trials have experienced adverse events, including serious adverse events. The most frequent treatment-emergent adverse events reported were mild dizziness or vomiting in patients subsequent to placebo dosing, and mild headache, strep throat, upper respiratory tract infection, or in one case, severe neutropenia which was acute and not persistent in patients post-etokimab administration. In addition, we reported that one patient dropped out of the GALLOP Phase 2 clinical trial for ANB019 due to diagnosis with Staphylococcal aureus bacteremia on Day 3 post-ANB019 administration, which was a serious adverse event deemed to be possibly drug-related. Subjects in our ongoing and planned clinical trials may in the future suffer significant adverse events or other side effects not observed in our preclinical studies or in our Phase 1 or Phase 2a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65" w:right="239" w:bottom="1440" w:gutter="0" w:footer="0" w:header="0"/>
        </w:sectPr>
      </w:pPr>
    </w:p>
    <w:bookmarkStart w:id="32" w:name="page33"/>
    <w:bookmarkEnd w:id="32"/>
    <w:p>
      <w:pPr>
        <w:ind w:right="160"/>
        <w:spacing w:after="0" w:line="259" w:lineRule="auto"/>
        <w:rPr>
          <w:sz w:val="20"/>
          <w:szCs w:val="20"/>
          <w:color w:val="auto"/>
        </w:rPr>
      </w:pPr>
      <w:r>
        <w:rPr>
          <w:rFonts w:ascii="Arial" w:cs="Arial" w:eastAsia="Arial" w:hAnsi="Arial"/>
          <w:sz w:val="18"/>
          <w:szCs w:val="18"/>
          <w:color w:val="auto"/>
        </w:rPr>
        <w:t>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87" w:lineRule="exact"/>
        <w:rPr>
          <w:sz w:val="20"/>
          <w:szCs w:val="20"/>
          <w:color w:val="auto"/>
        </w:rPr>
      </w:pPr>
    </w:p>
    <w:p>
      <w:pPr>
        <w:ind w:right="20" w:firstLine="567"/>
        <w:spacing w:after="0" w:line="254"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2"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46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both etokimab and ANB019 in the United States and United Kingdom, respectively,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Therapeutic Goods Administration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80"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Even if we or our collaborators initiate and complete clinical trials for our product candidates, these product candidates will not be permitted to be marketed in the United States until approval of a Biologics License Application, or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Australia, the United States and United Kingdom,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less than 100 patients, may be sufficient to demonstrate substantial evidence of efficacy of ANB019 in generalized pustular psoriasis, or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773" w:right="279" w:bottom="1440" w:gutter="0" w:footer="0" w:header="0"/>
        </w:sectPr>
      </w:pPr>
    </w:p>
    <w:bookmarkStart w:id="33" w:name="page34"/>
    <w:bookmarkEnd w:id="33"/>
    <w:p>
      <w:pPr>
        <w:ind w:right="60" w:firstLine="567"/>
        <w:spacing w:after="0" w:line="264"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Products, on average, take 10 to 15 years to be developed from the time they are discovered to the time they are approved and available for treating patients. The start or end of a clinical trial is often delayed or halted for many reasons, including:</w:t>
      </w:r>
    </w:p>
    <w:p>
      <w:pPr>
        <w:spacing w:after="0" w:line="73" w:lineRule="exact"/>
        <w:rPr>
          <w:sz w:val="20"/>
          <w:szCs w:val="20"/>
          <w:color w:val="auto"/>
        </w:rPr>
      </w:pPr>
    </w:p>
    <w:p>
      <w:pPr>
        <w:ind w:left="880" w:right="54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880" w:right="40" w:hanging="440"/>
        <w:spacing w:after="0" w:line="264"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73" w:lineRule="exact"/>
        <w:rPr>
          <w:rFonts w:ascii="Arial" w:cs="Arial" w:eastAsia="Arial" w:hAnsi="Arial"/>
          <w:sz w:val="18"/>
          <w:szCs w:val="18"/>
          <w:color w:val="auto"/>
        </w:rPr>
      </w:pPr>
    </w:p>
    <w:p>
      <w:pPr>
        <w:ind w:left="880" w:right="46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non-clinical or clinical sites in Asia becoming unavailable due to political, economic or public health events, such as the recent coronavirus outbreak</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880" w:right="40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773" w:right="279" w:bottom="1440" w:gutter="0" w:footer="0" w:header="0"/>
        </w:sectPr>
      </w:pPr>
    </w:p>
    <w:bookmarkStart w:id="34" w:name="page35"/>
    <w:bookmarkEnd w:id="34"/>
    <w:p>
      <w:pPr>
        <w:ind w:right="560"/>
        <w:spacing w:after="0" w:line="266"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firstLine="567"/>
        <w:spacing w:after="0" w:line="253"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1" w:lineRule="exact"/>
        <w:rPr>
          <w:sz w:val="20"/>
          <w:szCs w:val="20"/>
          <w:color w:val="auto"/>
        </w:rPr>
      </w:pPr>
    </w:p>
    <w:p>
      <w:pPr>
        <w:ind w:right="40" w:firstLine="567"/>
        <w:spacing w:after="0" w:line="238"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9" w:lineRule="exact"/>
        <w:rPr>
          <w:sz w:val="20"/>
          <w:szCs w:val="20"/>
          <w:color w:val="auto"/>
        </w:rPr>
      </w:pPr>
    </w:p>
    <w:p>
      <w:pPr>
        <w:ind w:right="320"/>
        <w:spacing w:after="0" w:line="296" w:lineRule="auto"/>
        <w:rPr>
          <w:sz w:val="20"/>
          <w:szCs w:val="20"/>
          <w:color w:val="auto"/>
        </w:rPr>
      </w:pPr>
      <w:r>
        <w:rPr>
          <w:rFonts w:ascii="Arial" w:cs="Arial" w:eastAsia="Arial" w:hAnsi="Arial"/>
          <w:sz w:val="17"/>
          <w:szCs w:val="17"/>
          <w:b w:val="1"/>
          <w:bCs w:val="1"/>
          <w:color w:val="auto"/>
        </w:rPr>
        <w:t>We have recently commenced clinical development of etokimab, ANB019 and ANB030, and have no other history of conducting clinical trials or commercializing biotechnology products, which may make it difficult to evaluate the prospects for our future viability.</w:t>
      </w:r>
    </w:p>
    <w:p>
      <w:pPr>
        <w:spacing w:after="0" w:line="35"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95" w:lineRule="exact"/>
        <w:rPr>
          <w:sz w:val="20"/>
          <w:szCs w:val="20"/>
          <w:color w:val="auto"/>
        </w:rPr>
      </w:pPr>
    </w:p>
    <w:p>
      <w:pPr>
        <w:ind w:right="520" w:firstLine="567"/>
        <w:spacing w:after="0" w:line="248"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4" w:lineRule="exact"/>
        <w:rPr>
          <w:sz w:val="20"/>
          <w:szCs w:val="20"/>
          <w:color w:val="auto"/>
        </w:rPr>
      </w:pPr>
    </w:p>
    <w:p>
      <w:pPr>
        <w:ind w:left="880" w:right="100" w:hanging="440"/>
        <w:spacing w:after="0" w:line="262"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1" w:lineRule="exact"/>
        <w:rPr>
          <w:rFonts w:ascii="Arial" w:cs="Arial" w:eastAsia="Arial" w:hAnsi="Arial"/>
          <w:sz w:val="18"/>
          <w:szCs w:val="18"/>
          <w:color w:val="auto"/>
        </w:rPr>
      </w:pPr>
    </w:p>
    <w:p>
      <w:pPr>
        <w:ind w:left="880" w:right="600" w:hanging="440"/>
        <w:spacing w:after="0" w:line="262"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1"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877" w:right="299" w:bottom="1440" w:gutter="0" w:footer="0" w:header="0"/>
        </w:sectPr>
      </w:pPr>
    </w:p>
    <w:bookmarkStart w:id="35" w:name="page36"/>
    <w:bookmarkEnd w:id="35"/>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420" w:firstLine="567"/>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80" w:lineRule="exact"/>
        <w:rPr>
          <w:sz w:val="20"/>
          <w:szCs w:val="20"/>
          <w:color w:val="auto"/>
        </w:rPr>
      </w:pPr>
    </w:p>
    <w:p>
      <w:pPr>
        <w:ind w:right="20" w:firstLine="567"/>
        <w:spacing w:after="0" w:line="287"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 add-on maintenance treatment in patients with severe eosinophilic asthma; antibodies such as benralizumab (FASENRA, AstraZeneca) that bind the IL-5 receptor; antibodies that bind the IL-4 receptor and inhibit its signaling through IL-4 and IL-13 cytokines such as dupilumab (Dupixent; Regeneron/Sanofi), which has been approved by the FDA for use with other asthma medicines for the maintenance treatment of moderate-to-severe asthma in patients aged 12 years and older whose asthma is not controlled with their current asthma medicines; antibodies that bind to IL-13 such as lebrikizumab (Dermira), tralokinumab (AstraZeneca, LEO Pharma) and anrukinzumab (Pfizer), which are in clinical testing; antibodies that bind the IL-4 receptor alpha chain, such as AMG 317 (Amgen) in clinical testing; ST2-binding antibodies including Roche’s RG6149 and GSK’s GSK3772847, and Regeneron’s IL-33 antibody (REGN3500) each in clinical development for asthma and chronic obstructive pulmonary disease; a recently announced IL-33 related program by AstraZeneca (MEDI3506) in a Phase 1 clinical trial indicated for chronic obstructive pulmonary disease; DP-2 antagonists including fevipiprant (Novartis) under development for asthma and GB001 (Gossamer Bio) under development for asthma; and an anti-TSLP antibody called tezepelumab (AMG 157, MEDI9929, Amgen/AstraZeneca) being developed by Amgen and AstraZeneca for asthma.</w:t>
      </w:r>
    </w:p>
    <w:p>
      <w:pPr>
        <w:spacing w:after="0" w:line="169"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Our competitors in CRSwNP include dupilumab (Regeneron/Sanofi), mepolizumab (GSK), benralizumab (AstraZeneca), omalizumab (Novartis), GB001 (Gossamer Bio) and PF-06817024 (Pfizer), each of which are in clinical testing.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65" w:right="239" w:bottom="1440" w:gutter="0" w:footer="0" w:header="0"/>
        </w:sectPr>
      </w:pPr>
    </w:p>
    <w:bookmarkStart w:id="36" w:name="page37"/>
    <w:bookmarkEnd w:id="36"/>
    <w:p>
      <w:pPr>
        <w:ind w:right="40" w:firstLine="567"/>
        <w:spacing w:after="0" w:line="257" w:lineRule="auto"/>
        <w:rPr>
          <w:sz w:val="20"/>
          <w:szCs w:val="20"/>
          <w:color w:val="auto"/>
        </w:rPr>
      </w:pPr>
      <w:r>
        <w:rPr>
          <w:rFonts w:ascii="Arial" w:cs="Arial" w:eastAsia="Arial" w:hAnsi="Arial"/>
          <w:sz w:val="18"/>
          <w:szCs w:val="18"/>
          <w:color w:val="auto"/>
        </w:rPr>
        <w:t>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binds IL-1 beta, anakinra (Kineret; Swedish Orphan Biovitrum AB), a recombinant form the IL-1 receptor antagonist and an anti-IL-36 receptor antibody called BI-655130 (Boehringer Ingelheim).</w:t>
      </w:r>
    </w:p>
    <w:p>
      <w:pPr>
        <w:spacing w:after="0" w:line="188" w:lineRule="exact"/>
        <w:rPr>
          <w:sz w:val="20"/>
          <w:szCs w:val="20"/>
          <w:color w:val="auto"/>
        </w:rPr>
      </w:pPr>
    </w:p>
    <w:p>
      <w:pPr>
        <w:ind w:right="360" w:firstLine="567"/>
        <w:spacing w:after="0" w:line="264" w:lineRule="auto"/>
        <w:rPr>
          <w:sz w:val="20"/>
          <w:szCs w:val="20"/>
          <w:color w:val="auto"/>
        </w:rPr>
      </w:pPr>
      <w:r>
        <w:rPr>
          <w:rFonts w:ascii="Arial" w:cs="Arial" w:eastAsia="Arial" w:hAnsi="Arial"/>
          <w:sz w:val="18"/>
          <w:szCs w:val="18"/>
          <w:color w:val="auto"/>
        </w:rPr>
        <w:t>For our anti-inflammatory checkpoint modulator antibody programs, our competitors include CC-90006 (Celgene/BMS) which is an anti-PD-1 agonist antibody developed under our partnership with Celgene, a BTLA modulator antibody called LY3361237 being developed by Eli Lilly and a PD-1 agonist antibody also being developed by Eli Lilly.</w:t>
      </w:r>
    </w:p>
    <w:p>
      <w:pPr>
        <w:spacing w:after="0" w:line="181"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9"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65"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8"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3"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73" w:right="239" w:bottom="1440" w:gutter="0" w:footer="0" w:header="0"/>
        </w:sectPr>
      </w:pPr>
    </w:p>
    <w:bookmarkStart w:id="37" w:name="page38"/>
    <w:bookmarkEnd w:id="37"/>
    <w:p>
      <w:pPr>
        <w:ind w:left="880" w:right="24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00" w:lineRule="exact"/>
        <w:rPr>
          <w:sz w:val="20"/>
          <w:szCs w:val="20"/>
          <w:color w:val="auto"/>
        </w:rPr>
      </w:pPr>
    </w:p>
    <w:p>
      <w:pPr>
        <w:spacing w:after="0" w:line="201" w:lineRule="exact"/>
        <w:rPr>
          <w:sz w:val="20"/>
          <w:szCs w:val="20"/>
          <w:color w:val="auto"/>
        </w:rPr>
      </w:pPr>
    </w:p>
    <w:p>
      <w:pPr>
        <w:ind w:right="260" w:firstLine="567"/>
        <w:spacing w:after="0" w:line="308"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51"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34"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78"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880" w:right="540" w:hanging="440"/>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17" w:lineRule="exact"/>
        <w:rPr>
          <w:rFonts w:ascii="Arial" w:cs="Arial" w:eastAsia="Arial" w:hAnsi="Arial"/>
          <w:sz w:val="18"/>
          <w:szCs w:val="18"/>
          <w:color w:val="auto"/>
        </w:rPr>
      </w:pPr>
    </w:p>
    <w:p>
      <w:pPr>
        <w:ind w:left="880" w:right="520" w:hanging="440"/>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340" w:firstLine="567"/>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manufacture of biologics is complex and our third-party manufacturers may encounter difficulties in production. If any of our third-party manufacturers encounter such difficulties, our ability to provide supply of our product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65" w:right="239" w:bottom="1440" w:gutter="0" w:footer="0" w:header="0"/>
        </w:sectPr>
      </w:pPr>
    </w:p>
    <w:bookmarkStart w:id="38" w:name="page39"/>
    <w:bookmarkEnd w:id="38"/>
    <w:p>
      <w:pPr>
        <w:ind w:right="400"/>
        <w:spacing w:after="0" w:line="282" w:lineRule="auto"/>
        <w:rPr>
          <w:sz w:val="20"/>
          <w:szCs w:val="20"/>
          <w:color w:val="auto"/>
        </w:rPr>
      </w:pPr>
      <w:r>
        <w:rPr>
          <w:rFonts w:ascii="Arial" w:cs="Arial" w:eastAsia="Arial" w:hAnsi="Arial"/>
          <w:sz w:val="18"/>
          <w:szCs w:val="18"/>
          <w:b w:val="1"/>
          <w:bCs w:val="1"/>
          <w:color w:val="auto"/>
        </w:rPr>
        <w:t>candidates for clinical trials, our ability to obtain marketing approval, or our ability to provide supply of our products for patients, if approved, could be delayed or stopped.</w:t>
      </w:r>
    </w:p>
    <w:p>
      <w:pPr>
        <w:spacing w:after="0" w:line="58" w:lineRule="exact"/>
        <w:rPr>
          <w:sz w:val="20"/>
          <w:szCs w:val="20"/>
          <w:color w:val="auto"/>
        </w:rPr>
      </w:pPr>
    </w:p>
    <w:p>
      <w:pPr>
        <w:ind w:right="120" w:firstLine="567"/>
        <w:spacing w:after="0" w:line="271" w:lineRule="auto"/>
        <w:rPr>
          <w:sz w:val="20"/>
          <w:szCs w:val="20"/>
          <w:color w:val="auto"/>
        </w:rPr>
      </w:pPr>
      <w:r>
        <w:rPr>
          <w:rFonts w:ascii="Arial" w:cs="Arial" w:eastAsia="Arial" w:hAnsi="Arial"/>
          <w:sz w:val="17"/>
          <w:szCs w:val="17"/>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or cGMPs, the FDA may deny BLA approval until the deficiencies are corrected or we replace the manufacturer in our BLA with a manufacturer that is in compliance.</w:t>
      </w:r>
    </w:p>
    <w:p>
      <w:pPr>
        <w:spacing w:after="0" w:line="179" w:lineRule="exact"/>
        <w:rPr>
          <w:sz w:val="20"/>
          <w:szCs w:val="20"/>
          <w:color w:val="auto"/>
        </w:rPr>
      </w:pPr>
    </w:p>
    <w:p>
      <w:pPr>
        <w:ind w:right="100" w:firstLine="567"/>
        <w:spacing w:after="0" w:line="253" w:lineRule="auto"/>
        <w:rPr>
          <w:sz w:val="20"/>
          <w:szCs w:val="20"/>
          <w:color w:val="auto"/>
        </w:rPr>
      </w:pPr>
      <w:r>
        <w:rPr>
          <w:rFonts w:ascii="Arial" w:cs="Arial" w:eastAsia="Arial" w:hAnsi="Arial"/>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China. Although we have not experienced any supply interruptions to date, it is possible that the recent coronavirus outbreak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97"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8"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TESARO and Celgene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ind w:right="200" w:firstLine="567"/>
        <w:spacing w:after="0" w:line="342" w:lineRule="auto"/>
        <w:rPr>
          <w:sz w:val="20"/>
          <w:szCs w:val="20"/>
          <w:color w:val="auto"/>
        </w:rPr>
      </w:pPr>
      <w:r>
        <w:rPr>
          <w:rFonts w:ascii="Arial" w:cs="Arial" w:eastAsia="Arial" w:hAnsi="Arial"/>
          <w:sz w:val="16"/>
          <w:szCs w:val="16"/>
          <w:color w:val="auto"/>
        </w:rPr>
        <w:t>Since our inception, we have incurred significant operating losses in every year except fiscal year 2014. For the year ended December 31, 2019, our collaboration revenue was $8.0 million and our net loss was $97.3 million. As of December 31, 2019, we had an accumulated deficit of $244.0 million.</w:t>
      </w:r>
    </w:p>
    <w:p>
      <w:pPr>
        <w:spacing w:after="0" w:line="124" w:lineRule="exact"/>
        <w:rPr>
          <w:sz w:val="20"/>
          <w:szCs w:val="20"/>
          <w:color w:val="auto"/>
        </w:rPr>
      </w:pPr>
    </w:p>
    <w:p>
      <w:pPr>
        <w:ind w:right="80" w:firstLine="567"/>
        <w:spacing w:after="0" w:line="271" w:lineRule="auto"/>
        <w:rPr>
          <w:sz w:val="20"/>
          <w:szCs w:val="20"/>
          <w:color w:val="auto"/>
        </w:rPr>
      </w:pPr>
      <w:r>
        <w:rPr>
          <w:rFonts w:ascii="Arial" w:cs="Arial" w:eastAsia="Arial" w:hAnsi="Arial"/>
          <w:sz w:val="17"/>
          <w:szCs w:val="17"/>
          <w:color w:val="auto"/>
        </w:rPr>
        <w:t>We have financed our operations primarily through our initial public offering of common stock in January 2017, our follow-on public offerings of common stock in October 2017 and September 2018, private placements of our preferred stock and the issuance of debt. We have devoted substantially all of our efforts to research and development. We have only recently initiated clinical development for two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77" w:right="239" w:bottom="1440" w:gutter="0" w:footer="0" w:header="0"/>
        </w:sectPr>
      </w:pPr>
    </w:p>
    <w:bookmarkStart w:id="39" w:name="page40"/>
    <w:bookmarkEnd w:id="39"/>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660" w:right="600" w:hanging="31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62" w:lineRule="exact"/>
        <w:rPr>
          <w:rFonts w:ascii="Arial" w:cs="Arial" w:eastAsia="Arial" w:hAnsi="Arial"/>
          <w:sz w:val="18"/>
          <w:szCs w:val="18"/>
          <w:color w:val="auto"/>
        </w:rPr>
      </w:pPr>
    </w:p>
    <w:p>
      <w:pPr>
        <w:ind w:left="660" w:right="200" w:hanging="31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etokimab,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40" w:firstLine="567"/>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30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at least into 2023.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665" w:right="279" w:bottom="1440" w:gutter="0" w:footer="0" w:header="0"/>
        </w:sectPr>
      </w:pPr>
    </w:p>
    <w:bookmarkStart w:id="40" w:name="page41"/>
    <w:bookmarkEnd w:id="40"/>
    <w:p>
      <w:pPr>
        <w:jc w:val="both"/>
        <w:ind w:right="140" w:firstLine="567"/>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39" w:lineRule="exact"/>
        <w:rPr>
          <w:sz w:val="20"/>
          <w:szCs w:val="20"/>
          <w:color w:val="auto"/>
        </w:rPr>
      </w:pPr>
    </w:p>
    <w:p>
      <w:pPr>
        <w:ind w:left="660" w:hanging="314"/>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significantly delay, scale back or discontinue the development or commercialization of our product candidates or cease operations altogether;</w:t>
      </w:r>
    </w:p>
    <w:p>
      <w:pPr>
        <w:spacing w:after="0" w:line="128" w:lineRule="exact"/>
        <w:rPr>
          <w:rFonts w:ascii="Arial" w:cs="Arial" w:eastAsia="Arial" w:hAnsi="Arial"/>
          <w:sz w:val="17"/>
          <w:szCs w:val="17"/>
          <w:color w:val="auto"/>
        </w:rPr>
      </w:pPr>
    </w:p>
    <w:p>
      <w:pPr>
        <w:ind w:left="660" w:right="240" w:hanging="314"/>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660" w:right="440" w:hanging="314"/>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20" w:firstLine="567"/>
        <w:spacing w:after="0" w:line="273"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70" w:lineRule="exact"/>
        <w:rPr>
          <w:sz w:val="20"/>
          <w:szCs w:val="20"/>
          <w:color w:val="auto"/>
        </w:rPr>
      </w:pPr>
    </w:p>
    <w:p>
      <w:pPr>
        <w:ind w:left="660" w:right="40" w:hanging="314"/>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660" w:right="20" w:hanging="314"/>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ind w:left="660" w:right="60" w:hanging="314"/>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3"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fees associated with any delays or cancellations of forecasted manufacturing batches;</w:t>
      </w:r>
    </w:p>
    <w:p>
      <w:pPr>
        <w:spacing w:after="0" w:line="157"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manufacturing sites for commercial-scale manufacturing; and</w:t>
      </w:r>
    </w:p>
    <w:p>
      <w:pPr>
        <w:spacing w:after="0" w:line="117" w:lineRule="exact"/>
        <w:rPr>
          <w:rFonts w:ascii="Arial" w:cs="Arial" w:eastAsia="Arial" w:hAnsi="Arial"/>
          <w:sz w:val="18"/>
          <w:szCs w:val="18"/>
          <w:color w:val="auto"/>
        </w:rPr>
      </w:pPr>
    </w:p>
    <w:p>
      <w:pPr>
        <w:ind w:left="660" w:right="160" w:hanging="314"/>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7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jc w:val="both"/>
        <w:ind w:right="160" w:firstLine="446"/>
        <w:spacing w:after="0" w:line="264"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securities, your ownership interest will be diluted, and the terms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773" w:right="299" w:bottom="1440" w:gutter="0" w:footer="0" w:header="0"/>
        </w:sectPr>
      </w:pPr>
    </w:p>
    <w:bookmarkStart w:id="41" w:name="page42"/>
    <w:bookmarkEnd w:id="41"/>
    <w:p>
      <w:pPr>
        <w:ind w:right="100"/>
        <w:spacing w:after="0" w:line="276" w:lineRule="auto"/>
        <w:rPr>
          <w:sz w:val="20"/>
          <w:szCs w:val="20"/>
          <w:color w:val="auto"/>
        </w:rPr>
      </w:pPr>
      <w:r>
        <w:rPr>
          <w:rFonts w:ascii="Arial" w:cs="Arial" w:eastAsia="Arial" w:hAnsi="Arial"/>
          <w:sz w:val="17"/>
          <w:szCs w:val="17"/>
          <w:color w:val="auto"/>
        </w:rPr>
        <w:t>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77" w:lineRule="exact"/>
        <w:rPr>
          <w:sz w:val="20"/>
          <w:szCs w:val="20"/>
          <w:color w:val="auto"/>
        </w:rPr>
      </w:pPr>
    </w:p>
    <w:p>
      <w:pPr>
        <w:ind w:right="524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 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President and Chief Executive Officer, as well as our senior scientists. We also appointed Eric Loumeau, our General Counsel, to serve as interim Chief Financial Officer in August 2019, and until we appoint a permanent chief financial officer, this transition may be disruptive and may require additional attention from our senior management.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188" w:lineRule="exact"/>
        <w:rPr>
          <w:sz w:val="20"/>
          <w:szCs w:val="20"/>
          <w:color w:val="auto"/>
        </w:rPr>
      </w:pPr>
    </w:p>
    <w:p>
      <w:pPr>
        <w:jc w:val="both"/>
        <w:ind w:right="100" w:firstLine="567"/>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184"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89"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200" w:firstLine="567"/>
        <w:spacing w:after="0" w:line="297"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665" w:right="259" w:bottom="1440" w:gutter="0" w:footer="0" w:header="0"/>
        </w:sectPr>
      </w:pPr>
    </w:p>
    <w:bookmarkStart w:id="42" w:name="page43"/>
    <w:bookmarkEnd w:id="42"/>
    <w:p>
      <w:pPr>
        <w:ind w:right="20"/>
        <w:spacing w:after="0" w:line="272" w:lineRule="auto"/>
        <w:rPr>
          <w:sz w:val="20"/>
          <w:szCs w:val="20"/>
          <w:color w:val="auto"/>
        </w:rPr>
      </w:pPr>
      <w:r>
        <w:rPr>
          <w:rFonts w:ascii="Arial" w:cs="Arial" w:eastAsia="Arial" w:hAnsi="Arial"/>
          <w:sz w:val="17"/>
          <w:szCs w:val="17"/>
          <w:color w:val="auto"/>
        </w:rPr>
        <w:t>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17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conduct certain operations through our Australian wholly-owned subsidiary. If we are unable to receive the research and development tax credit allowed by Australian regulations, our business and results of operations will suffer.</w:t>
      </w:r>
    </w:p>
    <w:p>
      <w:pPr>
        <w:spacing w:after="0" w:line="58" w:lineRule="exact"/>
        <w:rPr>
          <w:sz w:val="20"/>
          <w:szCs w:val="20"/>
          <w:color w:val="auto"/>
        </w:rPr>
      </w:pPr>
    </w:p>
    <w:p>
      <w:pPr>
        <w:ind w:right="80" w:firstLine="446"/>
        <w:spacing w:after="0" w:line="270" w:lineRule="auto"/>
        <w:rPr>
          <w:sz w:val="20"/>
          <w:szCs w:val="20"/>
          <w:color w:val="auto"/>
        </w:rPr>
      </w:pPr>
      <w:r>
        <w:rPr>
          <w:rFonts w:ascii="Arial" w:cs="Arial" w:eastAsia="Arial" w:hAnsi="Arial"/>
          <w:sz w:val="17"/>
          <w:szCs w:val="17"/>
          <w:color w:val="auto"/>
        </w:rPr>
        <w:t>In March 2015, we formed a wholly-owned Australian subsidiary, AnaptysBio Pty Ltd, or AnaptysBio Pty, to develop and commercialize our ANB019 and etokimab antibody program in Australia. We have no assurance that the results of any clinical trials that we conducted for our product candidates in Australia will be accepted by the FDA or foreign regulatory authorities for development and commercialization approvals.</w:t>
      </w:r>
    </w:p>
    <w:p>
      <w:pPr>
        <w:spacing w:after="0" w:line="164" w:lineRule="exact"/>
        <w:rPr>
          <w:sz w:val="20"/>
          <w:szCs w:val="20"/>
          <w:color w:val="auto"/>
        </w:rPr>
      </w:pPr>
    </w:p>
    <w:p>
      <w:pPr>
        <w:ind w:right="40" w:firstLine="446"/>
        <w:spacing w:after="0" w:line="243" w:lineRule="auto"/>
        <w:rPr>
          <w:sz w:val="20"/>
          <w:szCs w:val="20"/>
          <w:color w:val="auto"/>
        </w:rPr>
      </w:pPr>
      <w:r>
        <w:rPr>
          <w:rFonts w:ascii="Arial" w:cs="Arial" w:eastAsia="Arial" w:hAnsi="Arial"/>
          <w:sz w:val="18"/>
          <w:szCs w:val="18"/>
          <w:color w:val="auto"/>
        </w:rPr>
        <w:t>In addition, current Australian tax regulations provide for a refundable research and development, or R&amp;D, tax credit equal to 43.5% of qualified expenditures. We have received $9.3 million USD in R&amp;D tax credits since the inception of our operations in Australia, and currently do not intend to submit for any additional tax credits. If we are ineligible or unable to retain the research and development tax credits received thus far and are required to repay all or a portion of the credit, our business and results of operation would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73" w:right="239" w:bottom="1440" w:gutter="0" w:footer="0" w:header="0"/>
        </w:sectPr>
      </w:pPr>
    </w:p>
    <w:bookmarkStart w:id="43" w:name="page44"/>
    <w:bookmarkEnd w:id="43"/>
    <w:p>
      <w:pPr>
        <w:ind w:firstLine="567"/>
        <w:spacing w:after="0" w:line="253"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301"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12" w:lineRule="exact"/>
        <w:rPr>
          <w:sz w:val="20"/>
          <w:szCs w:val="20"/>
          <w:color w:val="auto"/>
        </w:rPr>
      </w:pPr>
    </w:p>
    <w:p>
      <w:pPr>
        <w:ind w:right="80" w:firstLine="446"/>
        <w:spacing w:after="0" w:line="238" w:lineRule="auto"/>
        <w:rPr>
          <w:sz w:val="20"/>
          <w:szCs w:val="20"/>
          <w:color w:val="auto"/>
        </w:rPr>
      </w:pPr>
      <w:r>
        <w:rPr>
          <w:rFonts w:ascii="Arial" w:cs="Arial" w:eastAsia="Arial" w:hAnsi="Arial"/>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recent coronavirus outbreak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195" w:lineRule="exact"/>
        <w:rPr>
          <w:sz w:val="20"/>
          <w:szCs w:val="20"/>
          <w:color w:val="auto"/>
        </w:rPr>
      </w:pPr>
    </w:p>
    <w:p>
      <w:pPr>
        <w:ind w:right="460" w:firstLine="486"/>
        <w:spacing w:after="0" w:line="264" w:lineRule="auto"/>
        <w:rPr>
          <w:sz w:val="20"/>
          <w:szCs w:val="20"/>
          <w:color w:val="auto"/>
        </w:rPr>
      </w:pPr>
      <w:r>
        <w:rPr>
          <w:rFonts w:ascii="Arial" w:cs="Arial" w:eastAsia="Arial" w:hAnsi="Arial"/>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We have entered into collaborations with TESARO and Celgene to develop several of our product candidates. We have also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93"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Moreover, both TESARO and Celgene recently were acquired by large pharmaceutical companies. GlaxoSmithKline plc completed the acquisition of TESARO on January 22, 2019 and Bristol-Myers Squibb Co. completed the acquisition of Celgene Corp on November 20, 2019. There can be no assurance that these collaborators, following their respective acquisitions by third parties, or such third-party acquirers, will continue to develop and commercialize these product candidates consistent with and with similar timelines as done previous to the acquisitions or that they will comply with the covenants, restrictions, sub-license and other agreement provisions, which, if they don’t comply, could lead us into disputes and potentially trigger breaches of our agreements with other partners.</w:t>
      </w:r>
    </w:p>
    <w:p>
      <w:pPr>
        <w:spacing w:after="0" w:line="193" w:lineRule="exact"/>
        <w:rPr>
          <w:sz w:val="20"/>
          <w:szCs w:val="20"/>
          <w:color w:val="auto"/>
        </w:rPr>
      </w:pPr>
    </w:p>
    <w:p>
      <w:pPr>
        <w:ind w:right="160" w:firstLine="567"/>
        <w:spacing w:after="0" w:line="273"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65" w:right="239" w:bottom="1440" w:gutter="0" w:footer="0" w:header="0"/>
        </w:sectPr>
      </w:pPr>
    </w:p>
    <w:bookmarkStart w:id="44" w:name="page45"/>
    <w:bookmarkEnd w:id="44"/>
    <w:p>
      <w:pPr>
        <w:jc w:val="both"/>
        <w:ind w:right="60"/>
        <w:spacing w:after="0" w:line="286" w:lineRule="auto"/>
        <w:rPr>
          <w:sz w:val="20"/>
          <w:szCs w:val="20"/>
          <w:color w:val="auto"/>
        </w:rPr>
      </w:pPr>
      <w:r>
        <w:rPr>
          <w:rFonts w:ascii="Arial" w:cs="Arial" w:eastAsia="Arial" w:hAnsi="Arial"/>
          <w:sz w:val="17"/>
          <w:szCs w:val="17"/>
          <w:color w:val="auto"/>
        </w:rPr>
        <w:t>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7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58"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660" w:right="100" w:hanging="314"/>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660" w:right="500" w:hanging="314"/>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and commercialization of any such product candidates.</w:t>
      </w:r>
    </w:p>
    <w:p>
      <w:pPr>
        <w:spacing w:after="0" w:line="32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rely on third party clinical investigators, contract research organizations (for non-clinical and clinical activities), or CROs, contract manufacturing organizations, or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78"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73"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We rely completely on third parties to manufacture our nonclinical, clinical and future commercial drug supplies of any approved products.</w:t>
      </w:r>
    </w:p>
    <w:p>
      <w:pPr>
        <w:spacing w:after="0" w:line="133"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178" w:lineRule="exact"/>
        <w:rPr>
          <w:sz w:val="20"/>
          <w:szCs w:val="20"/>
          <w:color w:val="auto"/>
        </w:rPr>
      </w:pPr>
    </w:p>
    <w:p>
      <w:pPr>
        <w:ind w:right="80" w:firstLine="567"/>
        <w:spacing w:after="0" w:line="312" w:lineRule="auto"/>
        <w:rPr>
          <w:sz w:val="20"/>
          <w:szCs w:val="20"/>
          <w:color w:val="auto"/>
        </w:rPr>
      </w:pPr>
      <w:r>
        <w:rPr>
          <w:rFonts w:ascii="Arial" w:cs="Arial" w:eastAsia="Arial" w:hAnsi="Arial"/>
          <w:sz w:val="16"/>
          <w:szCs w:val="16"/>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147" w:lineRule="exact"/>
        <w:rPr>
          <w:sz w:val="20"/>
          <w:szCs w:val="20"/>
          <w:color w:val="auto"/>
        </w:rPr>
      </w:pPr>
    </w:p>
    <w:p>
      <w:pPr>
        <w:ind w:firstLine="567"/>
        <w:spacing w:after="0" w:line="297" w:lineRule="auto"/>
        <w:rPr>
          <w:sz w:val="20"/>
          <w:szCs w:val="20"/>
          <w:color w:val="auto"/>
        </w:rPr>
      </w:pPr>
      <w:r>
        <w:rPr>
          <w:rFonts w:ascii="Arial" w:cs="Arial" w:eastAsia="Arial" w:hAnsi="Arial"/>
          <w:sz w:val="16"/>
          <w:szCs w:val="16"/>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8" w:lineRule="exact"/>
        <w:rPr>
          <w:sz w:val="20"/>
          <w:szCs w:val="20"/>
          <w:color w:val="auto"/>
        </w:rPr>
      </w:pPr>
    </w:p>
    <w:p>
      <w:pPr>
        <w:ind w:right="20" w:firstLine="567"/>
        <w:spacing w:after="0" w:line="293" w:lineRule="auto"/>
        <w:rPr>
          <w:sz w:val="20"/>
          <w:szCs w:val="20"/>
          <w:color w:val="auto"/>
        </w:rPr>
      </w:pPr>
      <w:r>
        <w:rPr>
          <w:rFonts w:ascii="Arial" w:cs="Arial" w:eastAsia="Arial" w:hAnsi="Arial"/>
          <w:sz w:val="16"/>
          <w:szCs w:val="16"/>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77" w:right="239" w:bottom="1440" w:gutter="0" w:footer="0" w:header="0"/>
        </w:sectPr>
      </w:pPr>
    </w:p>
    <w:bookmarkStart w:id="46" w:name="page47"/>
    <w:bookmarkEnd w:id="46"/>
    <w:p>
      <w:pPr>
        <w:ind w:right="100"/>
        <w:spacing w:after="0" w:line="259" w:lineRule="auto"/>
        <w:rPr>
          <w:sz w:val="20"/>
          <w:szCs w:val="20"/>
          <w:color w:val="auto"/>
        </w:rPr>
      </w:pPr>
      <w:r>
        <w:rPr>
          <w:rFonts w:ascii="Arial" w:cs="Arial" w:eastAsia="Arial" w:hAnsi="Arial"/>
          <w:sz w:val="18"/>
          <w:szCs w:val="18"/>
          <w:color w:val="auto"/>
        </w:rPr>
        <w:t>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9" w:lineRule="exact"/>
        <w:rPr>
          <w:sz w:val="20"/>
          <w:szCs w:val="20"/>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160" w:firstLine="567"/>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65" w:right="239" w:bottom="1440" w:gutter="0" w:footer="0" w:header="0"/>
        </w:sectPr>
      </w:pPr>
    </w:p>
    <w:bookmarkStart w:id="47" w:name="page48"/>
    <w:bookmarkEnd w:id="47"/>
    <w:p>
      <w:pPr>
        <w:ind w:right="160" w:firstLine="567"/>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58"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34"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9" w:lineRule="exact"/>
        <w:rPr>
          <w:sz w:val="20"/>
          <w:szCs w:val="20"/>
          <w:color w:val="auto"/>
        </w:rPr>
      </w:pPr>
    </w:p>
    <w:p>
      <w:pPr>
        <w:ind w:right="60" w:firstLine="567"/>
        <w:spacing w:after="0" w:line="279" w:lineRule="auto"/>
        <w:rPr>
          <w:sz w:val="20"/>
          <w:szCs w:val="20"/>
          <w:color w:val="auto"/>
        </w:rPr>
      </w:pPr>
      <w:r>
        <w:rPr>
          <w:rFonts w:ascii="Arial" w:cs="Arial" w:eastAsia="Arial" w:hAnsi="Arial"/>
          <w:sz w:val="17"/>
          <w:szCs w:val="17"/>
          <w:color w:val="auto"/>
        </w:rPr>
        <w:t>We have not been granted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40" w:firstLine="567"/>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167" w:lineRule="exact"/>
        <w:rPr>
          <w:sz w:val="20"/>
          <w:szCs w:val="20"/>
          <w:color w:val="auto"/>
        </w:rPr>
      </w:pPr>
    </w:p>
    <w:p>
      <w:pPr>
        <w:ind w:right="40" w:firstLine="567"/>
        <w:spacing w:after="0" w:line="302"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74" w:right="239" w:bottom="1440" w:gutter="0" w:footer="0" w:header="0"/>
        </w:sectPr>
      </w:pPr>
    </w:p>
    <w:bookmarkStart w:id="48" w:name="page49"/>
    <w:bookmarkEnd w:id="48"/>
    <w:p>
      <w:pPr>
        <w:jc w:val="both"/>
        <w:ind w:right="60"/>
        <w:spacing w:after="0" w:line="286" w:lineRule="auto"/>
        <w:rPr>
          <w:sz w:val="20"/>
          <w:szCs w:val="20"/>
          <w:color w:val="auto"/>
        </w:rPr>
      </w:pPr>
      <w:r>
        <w:rPr>
          <w:rFonts w:ascii="Arial" w:cs="Arial" w:eastAsia="Arial" w:hAnsi="Arial"/>
          <w:sz w:val="17"/>
          <w:szCs w:val="17"/>
          <w:color w:val="auto"/>
        </w:rPr>
        <w:t>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6"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179"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8" w:lineRule="exact"/>
        <w:rPr>
          <w:sz w:val="20"/>
          <w:szCs w:val="20"/>
          <w:color w:val="auto"/>
        </w:rPr>
      </w:pPr>
    </w:p>
    <w:p>
      <w:pPr>
        <w:ind w:right="180" w:firstLine="567"/>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165"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7"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73" w:right="239" w:bottom="1440" w:gutter="0" w:footer="0" w:header="0"/>
        </w:sectPr>
      </w:pPr>
    </w:p>
    <w:bookmarkStart w:id="49" w:name="page50"/>
    <w:bookmarkEnd w:id="49"/>
    <w:p>
      <w:pPr>
        <w:ind w:firstLine="567"/>
        <w:spacing w:after="0" w:line="269" w:lineRule="auto"/>
        <w:rPr>
          <w:sz w:val="20"/>
          <w:szCs w:val="20"/>
          <w:color w:val="auto"/>
        </w:rPr>
      </w:pPr>
      <w:r>
        <w:rPr>
          <w:rFonts w:ascii="Arial" w:cs="Arial" w:eastAsia="Arial" w:hAnsi="Arial"/>
          <w:sz w:val="17"/>
          <w:szCs w:val="17"/>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the current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20" w:firstLine="567"/>
        <w:spacing w:after="0" w:line="288" w:lineRule="auto"/>
        <w:rPr>
          <w:sz w:val="20"/>
          <w:szCs w:val="20"/>
          <w:color w:val="auto"/>
        </w:rPr>
      </w:pPr>
      <w:r>
        <w:rPr>
          <w:rFonts w:ascii="Arial" w:cs="Arial" w:eastAsia="Arial" w:hAnsi="Arial"/>
          <w:sz w:val="16"/>
          <w:szCs w:val="16"/>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 care items and services covered by plans that were authorized by the ACA. However, we cannot predict the ultimate content, timing or effect of any health 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 care funding, which could have a material adverse effect on customers for our drugs, if approved, and accordingly, our financial operations.</w:t>
      </w:r>
    </w:p>
    <w:p>
      <w:pPr>
        <w:spacing w:after="0" w:line="169"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We expect that the ACA, as well as other health 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 care reforms may prevent us from being able to generate revenue, attain profitability, or commercialize our product candidates.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73" w:right="239" w:bottom="1440" w:gutter="0" w:footer="0" w:header="0"/>
        </w:sectPr>
      </w:pPr>
    </w:p>
    <w:bookmarkStart w:id="50" w:name="page51"/>
    <w:bookmarkEnd w:id="50"/>
    <w:p>
      <w:pPr>
        <w:ind w:right="160" w:firstLine="567"/>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7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ind w:right="120" w:firstLine="567"/>
        <w:spacing w:after="0" w:line="302" w:lineRule="auto"/>
        <w:rPr>
          <w:sz w:val="20"/>
          <w:szCs w:val="20"/>
          <w:color w:val="auto"/>
        </w:rPr>
      </w:pPr>
      <w:r>
        <w:rPr>
          <w:rFonts w:ascii="Arial" w:cs="Arial" w:eastAsia="Arial" w:hAnsi="Arial"/>
          <w:sz w:val="16"/>
          <w:szCs w:val="16"/>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46" w:lineRule="exact"/>
        <w:rPr>
          <w:sz w:val="20"/>
          <w:szCs w:val="20"/>
          <w:color w:val="auto"/>
        </w:rPr>
      </w:pPr>
    </w:p>
    <w:p>
      <w:pPr>
        <w:ind w:left="660" w:right="140" w:hanging="314"/>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8" w:lineRule="exact"/>
        <w:rPr>
          <w:rFonts w:ascii="Arial" w:cs="Arial" w:eastAsia="Arial" w:hAnsi="Arial"/>
          <w:sz w:val="18"/>
          <w:szCs w:val="18"/>
          <w:color w:val="auto"/>
        </w:rPr>
      </w:pPr>
    </w:p>
    <w:p>
      <w:pPr>
        <w:ind w:left="660" w:right="200" w:hanging="314"/>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240" w:hanging="314"/>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 care benefit program or making false statements relating to health care matters;</w:t>
      </w:r>
    </w:p>
    <w:p>
      <w:pPr>
        <w:spacing w:after="0" w:line="15" w:lineRule="exact"/>
        <w:rPr>
          <w:rFonts w:ascii="Arial" w:cs="Arial" w:eastAsia="Arial" w:hAnsi="Arial"/>
          <w:sz w:val="16"/>
          <w:szCs w:val="16"/>
          <w:color w:val="auto"/>
        </w:rPr>
      </w:pPr>
    </w:p>
    <w:p>
      <w:pPr>
        <w:jc w:val="both"/>
        <w:ind w:left="660" w:right="220" w:hanging="314"/>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660" w:right="20" w:hanging="314"/>
        <w:spacing w:after="0" w:line="27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73" w:right="239" w:bottom="1440" w:gutter="0" w:footer="0" w:header="0"/>
        </w:sectPr>
      </w:pPr>
    </w:p>
    <w:bookmarkStart w:id="51" w:name="page52"/>
    <w:bookmarkEnd w:id="51"/>
    <w:p>
      <w:pPr>
        <w:ind w:left="660" w:right="200" w:hanging="314"/>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24"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And states such as California, Connecticut, Nevada, and Massachusetts require pharmaceutical companies to implement compliance programs and/or marketing codes. Other states are considering similar proposals. Compliance with these laws is difficult and time consuming, and companies that do not comply with these state laws face civil penalties.</w:t>
      </w:r>
    </w:p>
    <w:p>
      <w:pPr>
        <w:spacing w:after="0" w:line="167" w:lineRule="exact"/>
        <w:rPr>
          <w:sz w:val="20"/>
          <w:szCs w:val="20"/>
          <w:color w:val="auto"/>
        </w:rPr>
      </w:pPr>
    </w:p>
    <w:p>
      <w:pPr>
        <w:ind w:firstLine="567"/>
        <w:spacing w:after="0" w:line="267" w:lineRule="auto"/>
        <w:rPr>
          <w:sz w:val="20"/>
          <w:szCs w:val="20"/>
          <w:color w:val="auto"/>
        </w:rPr>
      </w:pPr>
      <w:r>
        <w:rPr>
          <w:rFonts w:ascii="Arial" w:cs="Arial" w:eastAsia="Arial" w:hAnsi="Arial"/>
          <w:sz w:val="17"/>
          <w:szCs w:val="17"/>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new and guidance, interpretation and application under the GDPR are still developing. Failure to comply with the GDPR may result in substantial fines and other administrative penalties. The GDPR may increase our responsibility and liability in relation to personal data that we process and we may be required to put in place additional</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mechanisms ensuring compliance with the GDPR. The GDPR is new and the pending EU ePrivacy Regulation is expected to establish, new requirements applicable to the handling of personal data and imposes penalties for non-compliance of up to the greater of €20 million or 4% of worldwide revenue. Additionally, in June 2018, California passed the California Consumer Privacy Act, or CCPA, which provides new data privacy rights for consumers and new operational requirements for companies effective in 2020.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194"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7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right="20" w:firstLine="567"/>
        <w:spacing w:after="0" w:line="253"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665" w:right="279" w:bottom="1440" w:gutter="0" w:footer="0" w:header="0"/>
        </w:sectPr>
      </w:pPr>
    </w:p>
    <w:bookmarkStart w:id="52" w:name="page53"/>
    <w:bookmarkEnd w:id="52"/>
    <w:p>
      <w:pPr>
        <w:jc w:val="both"/>
        <w:ind w:right="180"/>
        <w:spacing w:after="0" w:line="264" w:lineRule="auto"/>
        <w:rPr>
          <w:sz w:val="20"/>
          <w:szCs w:val="20"/>
          <w:color w:val="auto"/>
        </w:rPr>
      </w:pPr>
      <w:r>
        <w:rPr>
          <w:rFonts w:ascii="Arial" w:cs="Arial" w:eastAsia="Arial" w:hAnsi="Arial"/>
          <w:sz w:val="18"/>
          <w:szCs w:val="18"/>
          <w:color w:val="auto"/>
        </w:rPr>
        <w:t>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75" w:lineRule="exact"/>
        <w:rPr>
          <w:sz w:val="20"/>
          <w:szCs w:val="20"/>
          <w:color w:val="auto"/>
        </w:rPr>
      </w:pPr>
    </w:p>
    <w:p>
      <w:pPr>
        <w:ind w:right="40" w:firstLine="567"/>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665" w:right="259" w:bottom="1440" w:gutter="0" w:footer="0" w:header="0"/>
        </w:sectPr>
      </w:pPr>
    </w:p>
    <w:bookmarkStart w:id="53" w:name="page54"/>
    <w:bookmarkEnd w:id="53"/>
    <w:p>
      <w:pPr>
        <w:spacing w:after="0" w:line="286" w:lineRule="auto"/>
        <w:rPr>
          <w:sz w:val="20"/>
          <w:szCs w:val="20"/>
          <w:color w:val="auto"/>
        </w:rPr>
      </w:pPr>
      <w:r>
        <w:rPr>
          <w:rFonts w:ascii="Arial" w:cs="Arial" w:eastAsia="Arial" w:hAnsi="Arial"/>
          <w:sz w:val="17"/>
          <w:szCs w:val="17"/>
          <w:color w:val="auto"/>
        </w:rPr>
        <w:t>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66"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140" w:firstLine="567"/>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60" w:firstLine="567"/>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ind w:right="140" w:firstLine="567"/>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right="200" w:firstLine="567"/>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73" w:right="239" w:bottom="1440" w:gutter="0" w:footer="0" w:header="0"/>
        </w:sectPr>
      </w:pPr>
    </w:p>
    <w:bookmarkStart w:id="54" w:name="page55"/>
    <w:bookmarkEnd w:id="54"/>
    <w:p>
      <w:pPr>
        <w:spacing w:after="0" w:line="312" w:lineRule="auto"/>
        <w:rPr>
          <w:sz w:val="20"/>
          <w:szCs w:val="20"/>
          <w:color w:val="auto"/>
        </w:rPr>
      </w:pPr>
      <w:r>
        <w:rPr>
          <w:rFonts w:ascii="Arial" w:cs="Arial" w:eastAsia="Arial" w:hAnsi="Arial"/>
          <w:sz w:val="16"/>
          <w:szCs w:val="16"/>
          <w:color w:val="auto"/>
        </w:rPr>
        <w:t>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47" w:lineRule="exact"/>
        <w:rPr>
          <w:sz w:val="20"/>
          <w:szCs w:val="20"/>
          <w:color w:val="auto"/>
        </w:rPr>
      </w:pPr>
    </w:p>
    <w:p>
      <w:pPr>
        <w:ind w:right="60" w:firstLine="567"/>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9"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Moreover, future and recent past changes in the patent laws in the U.S. and abroad could impact or could increase the uncertainties and costs surrounding the prosecution of our and our licensors’ or collaborators’ patent applications and the enforcement or defense of our or our collaborators’ issued patents, which could have an impact on our business and financial conditions. For example, over the past decade,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87"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73" w:right="239" w:bottom="1440" w:gutter="0" w:footer="0" w:header="0"/>
        </w:sectPr>
      </w:pPr>
    </w:p>
    <w:bookmarkStart w:id="55" w:name="page56"/>
    <w:bookmarkEnd w:id="55"/>
    <w:p>
      <w:pPr>
        <w:ind w:right="20" w:firstLine="567"/>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8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100" w:firstLine="567"/>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9"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67"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280" w:firstLine="567"/>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73" w:right="239" w:bottom="1440" w:gutter="0" w:footer="0" w:header="0"/>
        </w:sectPr>
      </w:pPr>
    </w:p>
    <w:bookmarkStart w:id="56" w:name="page57"/>
    <w:bookmarkEnd w:id="56"/>
    <w:p>
      <w:pPr>
        <w:ind w:right="12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right="40" w:firstLine="567"/>
        <w:spacing w:after="0" w:line="287"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on intellectual property of the licensor that is not subject to the licensing agreement;</w:t>
      </w:r>
    </w:p>
    <w:p>
      <w:pPr>
        <w:spacing w:after="0" w:line="128" w:lineRule="exact"/>
        <w:rPr>
          <w:rFonts w:ascii="Arial" w:cs="Arial" w:eastAsia="Arial" w:hAnsi="Arial"/>
          <w:sz w:val="17"/>
          <w:szCs w:val="17"/>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660" w:right="780" w:hanging="314"/>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3"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877" w:right="279" w:bottom="1440" w:gutter="0" w:footer="0" w:header="0"/>
        </w:sectPr>
      </w:pPr>
    </w:p>
    <w:bookmarkStart w:id="57" w:name="page58"/>
    <w:bookmarkEnd w:id="57"/>
    <w:p>
      <w:pPr>
        <w:ind w:right="56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140" w:firstLine="567"/>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480" w:firstLine="567"/>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78" w:right="239" w:bottom="1440" w:gutter="0" w:footer="0" w:header="0"/>
        </w:sectPr>
      </w:pPr>
    </w:p>
    <w:bookmarkStart w:id="58" w:name="page59"/>
    <w:bookmarkEnd w:id="58"/>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40" w:lineRule="exact"/>
        <w:rPr>
          <w:rFonts w:ascii="Arial" w:cs="Arial" w:eastAsia="Arial" w:hAnsi="Arial"/>
          <w:sz w:val="16"/>
          <w:szCs w:val="16"/>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breaches and terminations of our manufacturing agreements, collaborations agreements or other important agreements;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160" w:firstLine="567"/>
        <w:spacing w:after="0" w:line="286"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right="140" w:firstLine="567"/>
        <w:spacing w:after="0" w:line="277"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and these expenses have increased and will continue to increase. We are subject to the reporting requirements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665" w:right="279" w:bottom="1440" w:gutter="0" w:footer="0" w:header="0"/>
        </w:sectPr>
      </w:pPr>
    </w:p>
    <w:bookmarkStart w:id="59" w:name="page60"/>
    <w:bookmarkEnd w:id="59"/>
    <w:p>
      <w:pPr>
        <w:ind w:right="20"/>
        <w:spacing w:after="0" w:line="291" w:lineRule="auto"/>
        <w:rPr>
          <w:sz w:val="20"/>
          <w:szCs w:val="20"/>
          <w:color w:val="auto"/>
        </w:rPr>
      </w:pPr>
      <w:r>
        <w:rPr>
          <w:rFonts w:ascii="Arial" w:cs="Arial" w:eastAsia="Arial" w:hAnsi="Arial"/>
          <w:sz w:val="16"/>
          <w:szCs w:val="16"/>
          <w:color w:val="auto"/>
        </w:rPr>
        <w:t>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8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8"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60" w:firstLine="567"/>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665" w:right="259" w:bottom="1440" w:gutter="0" w:footer="0" w:header="0"/>
        </w:sectPr>
      </w:pPr>
    </w:p>
    <w:bookmarkStart w:id="60" w:name="page61"/>
    <w:bookmarkEnd w:id="60"/>
    <w:p>
      <w:pPr>
        <w:ind w:right="80"/>
        <w:spacing w:after="0" w:line="282" w:lineRule="auto"/>
        <w:rPr>
          <w:sz w:val="20"/>
          <w:szCs w:val="20"/>
          <w:color w:val="auto"/>
        </w:rPr>
      </w:pPr>
      <w:r>
        <w:rPr>
          <w:rFonts w:ascii="Arial" w:cs="Arial" w:eastAsia="Arial" w:hAnsi="Arial"/>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8"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3" w:lineRule="exact"/>
        <w:rPr>
          <w:sz w:val="20"/>
          <w:szCs w:val="20"/>
          <w:color w:val="auto"/>
        </w:rPr>
      </w:pPr>
    </w:p>
    <w:p>
      <w:pPr>
        <w:ind w:left="660" w:hanging="31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660" w:right="260" w:hanging="314"/>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660" w:right="200" w:hanging="314"/>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firstLine="567"/>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2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40" w:firstLine="567"/>
        <w:spacing w:after="0" w:line="287"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additional ownership change during fiscal 2017 that may limit the utilization of federal and state NOLs.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877" w:right="279" w:bottom="1440" w:gutter="0" w:footer="0" w:header="0"/>
        </w:sectPr>
      </w:pPr>
    </w:p>
    <w:bookmarkStart w:id="61" w:name="page62"/>
    <w:bookmarkEnd w:id="61"/>
    <w:p>
      <w:pPr>
        <w:ind w:firstLine="567"/>
        <w:spacing w:after="0" w:line="287" w:lineRule="auto"/>
        <w:rPr>
          <w:sz w:val="20"/>
          <w:szCs w:val="20"/>
          <w:color w:val="auto"/>
        </w:rPr>
      </w:pPr>
      <w:r>
        <w:rPr>
          <w:rFonts w:ascii="Arial" w:cs="Arial" w:eastAsia="Arial" w:hAnsi="Arial"/>
          <w:sz w:val="16"/>
          <w:szCs w:val="16"/>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performance-based compensation. We may be subject to these limitations as provided for under Section 162(m) of the Internal Revenue Code in the future. The Tax Reform Act also limits the amount taxpayers are able to deduct for federal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2019, we have federal NOLs of approximately $239.4 million, which expire beginning December 31, 2028 through December 31, 2037, if not used to reduce income taxes payable in the future. The federal net operating loss carryover includes $95.5 million of net operating losses generated in 2019. Federal net operating losses generated in 2019 carryover indefinitely and may generally be used to offset up to 80% of future taxable income in the year it is utilized.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80" w:firstLine="567"/>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24"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In May 2018, we entered into a three-year sublease agreement for an additional 18,000 square feet of office space in San Diego, California, this lease will expire on October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00" w:firstLine="567"/>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665" w:right="25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00"/>
        <w:spacing w:after="0" w:line="40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Trading Symbol and Holders</w:t>
      </w:r>
    </w:p>
    <w:p>
      <w:pPr>
        <w:spacing w:after="0" w:line="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Our common stock has been listed on the Nasdaq Global Select market under the symbol “ANAB” since January 26, 2017. As of February 27, 2020, we had approximately 14 holders of record of our common stock. This number does not include beneficial owners whose shares were held in street name.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320" w:firstLine="567"/>
        <w:spacing w:after="0" w:line="276" w:lineRule="auto"/>
        <w:rPr>
          <w:sz w:val="20"/>
          <w:szCs w:val="20"/>
          <w:color w:val="auto"/>
        </w:rPr>
      </w:pPr>
      <w:r>
        <w:rPr>
          <w:rFonts w:ascii="Arial" w:cs="Arial" w:eastAsia="Arial" w:hAnsi="Arial"/>
          <w:sz w:val="17"/>
          <w:szCs w:val="17"/>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our lenders.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79" w:lineRule="exact"/>
        <w:rPr>
          <w:sz w:val="20"/>
          <w:szCs w:val="20"/>
          <w:color w:val="auto"/>
        </w:rPr>
      </w:pPr>
    </w:p>
    <w:p>
      <w:pPr>
        <w:ind w:right="80" w:firstLine="567"/>
        <w:spacing w:after="0" w:line="302" w:lineRule="auto"/>
        <w:rPr>
          <w:sz w:val="20"/>
          <w:szCs w:val="20"/>
          <w:color w:val="auto"/>
        </w:rPr>
      </w:pPr>
      <w:r>
        <w:rPr>
          <w:rFonts w:ascii="Arial" w:cs="Arial" w:eastAsia="Arial" w:hAnsi="Arial"/>
          <w:sz w:val="16"/>
          <w:szCs w:val="16"/>
          <w:color w:val="auto"/>
        </w:rPr>
        <w:t>The following performance graph compares the performance of our common stock to the Nasdaq Composite Index and to the Nasdaq Biotechnology Index from January 26, 2017 (the first date that shares of our common stock were publicly traded) through December 31, 2019. The comparison assumes $100 was invested in our common stock and in each of the aforementioned indices after the market closed on December 31, 2019, and it assumes reinvestment of dividends, if any. The stock price performance included in this graph is not necessarily indicative of future stock price performance.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553" w:right="27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431800</wp:posOffset>
            </wp:positionV>
            <wp:extent cx="5866130" cy="45021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66130" cy="450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4"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 selected financial data set forth below for the years ended December 31, 2019, 2018, and 2017 and as of December 31, 2019 and 2018 are derived from and should be read in conjunction with our audited financial statements, including the notes thereto, included elsewhere in this report. The selected financial data for the years ended December 31, 2016 and 2015 and as of December 31, 2017, 2016 and 2015 are derived from our audited financial statements not included in this report.</w:t>
      </w:r>
    </w:p>
    <w:p>
      <w:pPr>
        <w:spacing w:after="0" w:line="268"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You should read the selected consolidated financial data below in conjunction with Part II Item 7—Management’s Discussion and Analysis of Financial Condition and Results of Operations and our audited consolidated financial statements and the related notes included in this Annual Report on Form 10-K.</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80"/>
          </w:cols>
          <w:pgMar w:left="240" w:top="1440" w:right="37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Collaboration revenue</w:t>
            </w:r>
          </w:p>
        </w:tc>
        <w:tc>
          <w:tcPr>
            <w:tcW w:w="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8,000</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5,000</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16,684</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17,571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(107,432)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(66,722)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(28,781)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(3,322)</w:t>
            </w: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(97,336)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(61,656)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(4,259)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(5,405)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loss attributed to common stockholders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(97,336)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(61,656)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(5,405)</w:t>
            </w: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common share: Basic and diluted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(2.12)</w:t>
            </w:r>
          </w:p>
        </w:tc>
      </w:tr>
      <w:tr>
        <w:trPr>
          <w:trHeight w:val="615"/>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2018</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2017</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2015</w:t>
            </w: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435,197</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508,997</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329,364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56,280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Notes payable, net of current portion</w:t>
            </w:r>
          </w:p>
        </w:tc>
        <w:tc>
          <w:tcPr>
            <w:tcW w:w="3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13,809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4,903</w:t>
            </w: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rent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Preferred stock warrant liabilities</w:t>
            </w:r>
          </w:p>
        </w:tc>
        <w:tc>
          <w:tcPr>
            <w:tcW w:w="3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1,549</w:t>
            </w: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Series B convertible preferred stock</w:t>
            </w:r>
          </w:p>
        </w:tc>
        <w:tc>
          <w:tcPr>
            <w:tcW w:w="3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28,220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28,220</w:t>
            </w: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Series C convertible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Series C-1 convertible preferred stock</w:t>
            </w:r>
          </w:p>
        </w:tc>
        <w:tc>
          <w:tcPr>
            <w:tcW w:w="3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2,156</w:t>
            </w: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Series D convertible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40,688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Stockholders’ equity (deficit):</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 in capital</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648,669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633,251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393,017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3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(146,690)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(50,664)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w w:val="97"/>
              </w:rPr>
              <w:t>Total liabilities, convertible preferred stock and stockholders’ equity</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435,197</w:t>
            </w:r>
          </w:p>
        </w:tc>
        <w:tc>
          <w:tcPr>
            <w:tcW w:w="4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508,997</w:t>
            </w:r>
          </w:p>
        </w:tc>
        <w:tc>
          <w:tcPr>
            <w:tcW w:w="4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329,364</w:t>
            </w:r>
          </w:p>
        </w:tc>
        <w:tc>
          <w:tcPr>
            <w:tcW w:w="10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62,180</w:t>
            </w:r>
          </w:p>
        </w:tc>
        <w:tc>
          <w:tcPr>
            <w:tcW w:w="12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56,280</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7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40" w:firstLine="567"/>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historical consolidated financial statements and the notes thereto included in Part II, Item 8—Consolidated Financial Statements and Supplementary Data of this Annual Report on Form 10-K. This discussion and other sections of this Annual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 Item 1A of this Annual Report. You should also carefully read “Special Note Regarding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567"/>
        <w:spacing w:after="0" w:line="272" w:lineRule="auto"/>
        <w:rPr>
          <w:sz w:val="20"/>
          <w:szCs w:val="20"/>
          <w:color w:val="auto"/>
        </w:rPr>
      </w:pPr>
      <w:r>
        <w:rPr>
          <w:rFonts w:ascii="Arial" w:cs="Arial" w:eastAsia="Arial" w:hAnsi="Arial"/>
          <w:sz w:val="17"/>
          <w:szCs w:val="17"/>
          <w:color w:val="auto"/>
        </w:rPr>
        <w:t xml:space="preserve">We are a clinical stage biotechnology company developing first-in-class immunology therapeutic product candidates to patients. We are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etokimab, ANB019, ANB030 and ANB032, are designed to modulate therapeutic targets that are genetically associated with human inflammatory disorders.</w:t>
      </w:r>
    </w:p>
    <w:p>
      <w:pPr>
        <w:spacing w:after="0" w:line="178"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Etokimab, our anti-IL-33 antibody previously referred to as ANB020, inhibits the activity of the interleukin-33 cytokine, or IL-33, which we believe is broadly applicable to the treatment of respiratory disorders. We are conducting a randomized, placebo-controlled Phase 2 trial of etokimab in approximately 100 adult patients with CRSwNP, also referred to as the ECLIPSE trial, which is a debilitating atopic disorder associated with elevated IL-33 pathway signaling. We anticipate interim top-line data from this trial to be available in the first half of 2020. We have previously completed a Phase 2a randomized, placebo-controlled, single dose study of etokimab in 25 severe adult eosinophilic asthma patients. We presented full data from this trial at the 2019 European Academy of Allergy and Clinical Immunology (EAACI), which demonstrated that a single dose of etokimab resulted in rapid and sustained lung function improvement as measured using Forced Expiratory Volume in One Second, or FEV1, patient reported outcomes associated with asthma symptoms, as measured using the Asthma Control Questionnaire 5. As a result of the topline data from our recently completed Phase 2b etokimab ATLAS trial in moderate-to-severe atopic dermatitis, the Company has decided to discontinue further clinical development in atopic dermatitis. We have also postponed initiation of a previously announced Phase 2b etokimab clinical trial in eosinophilic asthma until data is available from the aforementioned ECLIPSE trial.</w:t>
      </w:r>
    </w:p>
    <w:p>
      <w:pPr>
        <w:spacing w:after="0" w:line="169" w:lineRule="exact"/>
        <w:rPr>
          <w:sz w:val="20"/>
          <w:szCs w:val="20"/>
          <w:color w:val="auto"/>
        </w:rPr>
      </w:pPr>
    </w:p>
    <w:p>
      <w:pPr>
        <w:ind w:right="80" w:firstLine="567"/>
        <w:spacing w:after="0" w:line="269" w:lineRule="auto"/>
        <w:rPr>
          <w:sz w:val="20"/>
          <w:szCs w:val="20"/>
          <w:color w:val="auto"/>
        </w:rPr>
      </w:pPr>
      <w:r>
        <w:rPr>
          <w:rFonts w:ascii="Arial" w:cs="Arial" w:eastAsia="Arial" w:hAnsi="Arial"/>
          <w:sz w:val="17"/>
          <w:szCs w:val="17"/>
          <w:color w:val="auto"/>
        </w:rPr>
        <w:t>Our ANB019 antibody inhibits the interleukin-36 receptor, or IL-36R, and is being developed for the treatment of rare inflammatory diseases including generalized pustular psoriasis, or GPP, and palmoplantar pustulosis, or PPP. We completed a Phase 1 clinical trial in healthy volunteers, which was presented at EAACI 2018, where ANB019 was well-tolerated by all subjects, no dose-limiting toxicities were observed, and no serious adverse events were reported among any subjects in the trial. We are conducting an open-label, multi-dose, single-arm Phase 2 trial of ANB019 in up to 10 GPP patients, also referred to as the GALLOP trial, where an interim analysis, announced in September 2019, was conducted after the first two patients completed 16-weeks (Day 113) with ANB019 monotherapy. Both patients achieved the primary endpoint of disease improvement at Day 29 and Day 113 without requiring rescue therapy. Patients demonstrated rapid and sustained modified Japanese Dermatology Association (mJDA) improvement and complete clearance of skin pustules from Day 8 through Day 113. C-reactive protein, or CRP, levels decreased to nearly normal in both patients and genotypic testing of these two patients indicated that ANB019 may be broadly applicable to pustular disease patients without a requirement for genetic screening. Enrollment is ongoing in GALLOP and we anticipate additional clinical data and a regulatory strategy update for the development of ANB019 in GPP during 2020. We are also conducting a randomized, double-blind, placebo-controlled approximately 50-patient multi-dose trial of ANB019 in PPP, also referred to as the POPLAR trial, where top-line data are anticipated in the second half of 2020.</w:t>
      </w:r>
    </w:p>
    <w:p>
      <w:pPr>
        <w:spacing w:after="0" w:line="180"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Our third wholly-owned program ANB030, an anti-PD-1 agonist antibody program, is designed to augment PD-1 signaling through ANB030 treatment to suppress T-cell driven human inflammatory diseases. Genetic mutations in the PD-1 pathway are known to be associated with increased susceptibility to human inflammatory diseases, and hence we believe ANB030 is applicable to diseases where PD-1 checkpoint receptor function may be under-represented. Preclinical data for ANB030 was presented at the 2019 Federation of Clinical Immunological Societies (FOCIS) Annual Meeting in June 2019. We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77" w:right="239" w:bottom="1440" w:gutter="0" w:footer="0" w:header="0"/>
        </w:sectPr>
      </w:pPr>
    </w:p>
    <w:bookmarkStart w:id="66" w:name="page67"/>
    <w:bookmarkEnd w:id="66"/>
    <w:p>
      <w:pPr>
        <w:ind w:right="360"/>
        <w:spacing w:after="0" w:line="277" w:lineRule="auto"/>
        <w:rPr>
          <w:sz w:val="20"/>
          <w:szCs w:val="20"/>
          <w:color w:val="auto"/>
        </w:rPr>
      </w:pPr>
      <w:r>
        <w:rPr>
          <w:rFonts w:ascii="Arial" w:cs="Arial" w:eastAsia="Arial" w:hAnsi="Arial"/>
          <w:sz w:val="18"/>
          <w:szCs w:val="18"/>
          <w:color w:val="auto"/>
        </w:rPr>
        <w:t>have submitted an Investigational New Drug Application, or IND, for ANB030 in the fourth quarter of 2019 and anticipate initiation of a Phase 1 healthy volunteer clinical trial in the first half of 2020.</w:t>
      </w:r>
    </w:p>
    <w:p>
      <w:pPr>
        <w:spacing w:after="0" w:line="170"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Our fourth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HVEM. We anticipate filing an IND for ANB032 in the second half of 2020.</w:t>
      </w:r>
    </w:p>
    <w:p>
      <w:pPr>
        <w:spacing w:after="0" w:line="187" w:lineRule="exact"/>
        <w:rPr>
          <w:sz w:val="20"/>
          <w:szCs w:val="20"/>
          <w:color w:val="auto"/>
        </w:rPr>
      </w:pPr>
    </w:p>
    <w:p>
      <w:pPr>
        <w:ind w:right="20" w:firstLine="567"/>
        <w:spacing w:after="0" w:line="293" w:lineRule="auto"/>
        <w:rPr>
          <w:sz w:val="20"/>
          <w:szCs w:val="20"/>
          <w:color w:val="auto"/>
        </w:rPr>
      </w:pPr>
      <w:r>
        <w:rPr>
          <w:rFonts w:ascii="Arial" w:cs="Arial" w:eastAsia="Arial" w:hAnsi="Arial"/>
          <w:sz w:val="16"/>
          <w:szCs w:val="16"/>
          <w:color w:val="auto"/>
        </w:rPr>
        <w:t xml:space="preserve">In addition to our wholly-owned antibody programs, multiple AnaptysBio-developed antibody programs have been advanced to preclinical and clinical milestones under our collaborations. We have received to date approximately $90.0 million in cash receipts from collaborations. Our collaborations include an immuno-oncology-focused collaboration with </w:t>
      </w:r>
      <w:r>
        <w:rPr>
          <w:rFonts w:ascii="Arial" w:cs="Arial" w:eastAsia="Arial" w:hAnsi="Arial"/>
          <w:sz w:val="16"/>
          <w:szCs w:val="16"/>
          <w:color w:val="231F20"/>
        </w:rPr>
        <w:t>TESARO, Inc. and TESARO Development, Ltd., or collectively TESARO, now a part of</w:t>
      </w:r>
      <w:r>
        <w:rPr>
          <w:rFonts w:ascii="Arial" w:cs="Arial" w:eastAsia="Arial" w:hAnsi="Arial"/>
          <w:sz w:val="16"/>
          <w:szCs w:val="16"/>
          <w:color w:val="auto"/>
        </w:rPr>
        <w:t xml:space="preserve"> </w:t>
      </w:r>
      <w:r>
        <w:rPr>
          <w:rFonts w:ascii="Arial" w:cs="Arial" w:eastAsia="Arial" w:hAnsi="Arial"/>
          <w:sz w:val="16"/>
          <w:szCs w:val="16"/>
          <w:color w:val="231F20"/>
        </w:rPr>
        <w:t xml:space="preserve">GlaxoSmithKline or “GSK”, </w:t>
      </w:r>
      <w:r>
        <w:rPr>
          <w:rFonts w:ascii="Arial" w:cs="Arial" w:eastAsia="Arial" w:hAnsi="Arial"/>
          <w:sz w:val="16"/>
          <w:szCs w:val="16"/>
          <w:color w:val="000000"/>
        </w:rPr>
        <w:t>and an inflammation-focused collaboration with Celgene Corporation, or Celgene, now part of Bristol-Myers Squibb. A BLA</w:t>
      </w:r>
      <w:r>
        <w:rPr>
          <w:rFonts w:ascii="Arial" w:cs="Arial" w:eastAsia="Arial" w:hAnsi="Arial"/>
          <w:sz w:val="16"/>
          <w:szCs w:val="16"/>
          <w:color w:val="231F20"/>
        </w:rPr>
        <w:t xml:space="preserve"> </w:t>
      </w:r>
      <w:r>
        <w:rPr>
          <w:rFonts w:ascii="Arial" w:cs="Arial" w:eastAsia="Arial" w:hAnsi="Arial"/>
          <w:sz w:val="16"/>
          <w:szCs w:val="16"/>
          <w:color w:val="000000"/>
        </w:rPr>
        <w:t>for our most advanced partnered program, which is an anti-PD-1 antagonist antibody called dostarlimab, was recently submitted by GlaxoSmithKline, and we anticipate US approval in the near-term. For more information about these collaborations, see “- Collaboration Revenue” below.</w:t>
      </w:r>
    </w:p>
    <w:p>
      <w:pPr>
        <w:spacing w:after="0" w:line="165" w:lineRule="exact"/>
        <w:rPr>
          <w:sz w:val="20"/>
          <w:szCs w:val="20"/>
          <w:color w:val="auto"/>
        </w:rPr>
      </w:pPr>
    </w:p>
    <w:p>
      <w:pPr>
        <w:jc w:val="both"/>
        <w:ind w:right="180" w:firstLine="567"/>
        <w:spacing w:after="0" w:line="259" w:lineRule="auto"/>
        <w:rPr>
          <w:sz w:val="20"/>
          <w:szCs w:val="20"/>
          <w:color w:val="auto"/>
        </w:rPr>
      </w:pPr>
      <w:r>
        <w:rPr>
          <w:rFonts w:ascii="Arial" w:cs="Arial" w:eastAsia="Arial" w:hAnsi="Arial"/>
          <w:sz w:val="18"/>
          <w:szCs w:val="18"/>
          <w:color w:val="auto"/>
        </w:rPr>
        <w:t>As of December 31, 2019, we had an accumulated deficit of $244.0 million, primarily as a result of losses incurred since our inception in 2005.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187"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For our discussion related to the results of our operations and liquidity and capital resources for fiscal year ended December 31, 2018 compared to the year ended December 31, 2017, please refer to Part II, Item 7, "Management’s Discussion and Analysis of Financial Condition and Results of Operations" in our Annual Report on Form 10-K for the year ended December 31, 2018.</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ind w:right="140" w:firstLine="567"/>
        <w:spacing w:after="0" w:line="264" w:lineRule="auto"/>
        <w:rPr>
          <w:sz w:val="20"/>
          <w:szCs w:val="20"/>
          <w:color w:val="auto"/>
        </w:rPr>
      </w:pPr>
      <w:r>
        <w:rPr>
          <w:rFonts w:ascii="Arial" w:cs="Arial" w:eastAsia="Arial" w:hAnsi="Arial"/>
          <w:sz w:val="18"/>
          <w:szCs w:val="18"/>
          <w:color w:val="auto"/>
        </w:rPr>
        <w:t>On January 31, 2017, we completed an initial public offering, or IPO, selling 5,750,000 shares of common stock at $15.00 per share, which included 750,000 shares sold pursuant to the exercise of the underwriters’ options to purchase additional shares. Proceeds from our initial public offering net of underwriting discounts and commissions were $80.2 million.</w:t>
      </w:r>
    </w:p>
    <w:p>
      <w:pPr>
        <w:spacing w:after="0" w:line="181" w:lineRule="exact"/>
        <w:rPr>
          <w:sz w:val="20"/>
          <w:szCs w:val="20"/>
          <w:color w:val="auto"/>
        </w:rPr>
      </w:pPr>
    </w:p>
    <w:p>
      <w:pPr>
        <w:ind w:firstLine="567"/>
        <w:spacing w:after="0" w:line="302" w:lineRule="auto"/>
        <w:rPr>
          <w:sz w:val="20"/>
          <w:szCs w:val="20"/>
          <w:color w:val="auto"/>
        </w:rPr>
      </w:pPr>
      <w:r>
        <w:rPr>
          <w:rFonts w:ascii="Arial" w:cs="Arial" w:eastAsia="Arial" w:hAnsi="Arial"/>
          <w:sz w:val="16"/>
          <w:szCs w:val="16"/>
          <w:color w:val="auto"/>
        </w:rPr>
        <w:t>On October 17, 2017, we completed an underwritten public offering of 3,000,000 shares of common stock. All shares were offered by us at a price to the public of $68.50 per share. The aggregate net proceeds received by us from the offering were $194.7 million, net of underwriting discounts and commissions. As part of the underwritten public offering, on November 14, 2017, the underwriters exercised an additional 271,380 shares of common stock at a discounted price to the public of $68.50 per share for aggregate net proceeds of $17.6 million, net of underwriting discounts and commissions.</w:t>
      </w:r>
    </w:p>
    <w:p>
      <w:pPr>
        <w:spacing w:after="0" w:line="154" w:lineRule="exact"/>
        <w:rPr>
          <w:sz w:val="20"/>
          <w:szCs w:val="20"/>
          <w:color w:val="auto"/>
        </w:rPr>
      </w:pPr>
    </w:p>
    <w:p>
      <w:pPr>
        <w:ind w:right="20" w:firstLine="567"/>
        <w:spacing w:after="0" w:line="286" w:lineRule="auto"/>
        <w:rPr>
          <w:sz w:val="20"/>
          <w:szCs w:val="20"/>
          <w:color w:val="auto"/>
        </w:rPr>
      </w:pPr>
      <w:r>
        <w:rPr>
          <w:rFonts w:ascii="Arial" w:cs="Arial" w:eastAsia="Arial" w:hAnsi="Arial"/>
          <w:sz w:val="17"/>
          <w:szCs w:val="17"/>
          <w:color w:val="auto"/>
        </w:rPr>
        <w:t>On September 28, 2018, we completed an underwritten public offering of 2,530,000 shares of common stock, which included the exercise of the underwriters’ option to purchase an additional 330,000 shares of common stock. All shares were offered by us at a price to the public of $94.46 per share. The aggregate net proceeds received by us from the offering were $227.5 million, net of underwriting discounts and commissions.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60" w:firstLine="567"/>
        <w:spacing w:after="0" w:line="264"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license payments, research and development funding and milestone payments under collaboration and license agreements with our collaborators. From inception through December 31, 2019, we have received $89.6 million in cash in non-dilutive funding from our collaborators.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Collaboration and Exclusive License Agreement with TESARO</w:t>
      </w:r>
    </w:p>
    <w:p>
      <w:pPr>
        <w:spacing w:after="0" w:line="117"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In March 2014, we entered into an exclusive worldwide license and collaboration agreement with TESARO, now a part of GlaxoSmithKline, for the development and commercialization of therapeutic monospecific and bispecific antibodies that antagonize PD-1, TIM-3, LAG-3 and/or a fourth undisclosed checkpoint receptor. We received $17.0 million in upfront fees from TESARO in March 2014, and in November 2014, we amended the agreement with TESARO to include the development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73" w:right="239" w:bottom="1440" w:gutter="0" w:footer="0" w:header="0"/>
        </w:sectPr>
      </w:pPr>
    </w:p>
    <w:bookmarkStart w:id="67" w:name="page68"/>
    <w:bookmarkEnd w:id="67"/>
    <w:p>
      <w:pPr>
        <w:jc w:val="both"/>
        <w:ind w:right="100"/>
        <w:spacing w:after="0" w:line="259" w:lineRule="auto"/>
        <w:rPr>
          <w:sz w:val="20"/>
          <w:szCs w:val="20"/>
          <w:color w:val="auto"/>
        </w:rPr>
      </w:pPr>
      <w:r>
        <w:rPr>
          <w:rFonts w:ascii="Arial" w:cs="Arial" w:eastAsia="Arial" w:hAnsi="Arial"/>
          <w:sz w:val="18"/>
          <w:szCs w:val="18"/>
          <w:color w:val="auto"/>
        </w:rPr>
        <w:t>and commercialization of bispecific antibodies to another undisclosed target, for an additional upfront fee of $2.0 million. Both upfront fees were recognized over the same period that our research and development services for which we were reimbursed were performed, which was extended through December 31, 2016 by amendment of the agreement in February 2016. From inception of the agreement through December 31, 2019, we have recognized $67.3 million in total revenue from TESARO.</w:t>
      </w:r>
    </w:p>
    <w:p>
      <w:pPr>
        <w:spacing w:after="0" w:line="187"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royalties, ranging from 4% to 8%, on annualized net sales of each antibody commercialized from the collaboration.</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achieved through December 31, 2019 under the TESARO Agreement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Anti-PD-1</w:t>
            </w:r>
          </w:p>
        </w:tc>
        <w:tc>
          <w:tcPr>
            <w:tcW w:w="2380" w:type="dxa"/>
            <w:vAlign w:val="bottom"/>
            <w:gridSpan w:val="2"/>
          </w:tcPr>
          <w:p>
            <w:pPr>
              <w:jc w:val="center"/>
              <w:ind w:right="46"/>
              <w:spacing w:after="0"/>
              <w:rPr>
                <w:sz w:val="20"/>
                <w:szCs w:val="20"/>
                <w:color w:val="auto"/>
              </w:rPr>
            </w:pPr>
            <w:r>
              <w:rPr>
                <w:rFonts w:ascii="Arial" w:cs="Arial" w:eastAsia="Arial" w:hAnsi="Arial"/>
                <w:sz w:val="14"/>
                <w:szCs w:val="14"/>
                <w:b w:val="1"/>
                <w:bCs w:val="1"/>
                <w:color w:val="auto"/>
              </w:rPr>
              <w:t>Anti-TIM-3</w:t>
            </w: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(TSR042/Dostarlimab)</w:t>
            </w:r>
          </w:p>
        </w:tc>
        <w:tc>
          <w:tcPr>
            <w:tcW w:w="8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846"/>
              <w:spacing w:after="0"/>
              <w:rPr>
                <w:sz w:val="20"/>
                <w:szCs w:val="20"/>
                <w:color w:val="auto"/>
              </w:rPr>
            </w:pPr>
            <w:r>
              <w:rPr>
                <w:rFonts w:ascii="Arial" w:cs="Arial" w:eastAsia="Arial" w:hAnsi="Arial"/>
                <w:sz w:val="14"/>
                <w:szCs w:val="14"/>
                <w:b w:val="1"/>
                <w:bCs w:val="1"/>
                <w:color w:val="auto"/>
                <w:w w:val="95"/>
              </w:rPr>
              <w:t>(TSR022)</w:t>
            </w: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66"/>
              <w:spacing w:after="0"/>
              <w:rPr>
                <w:sz w:val="20"/>
                <w:szCs w:val="20"/>
                <w:color w:val="auto"/>
              </w:rPr>
            </w:pPr>
            <w:r>
              <w:rPr>
                <w:rFonts w:ascii="Arial" w:cs="Arial" w:eastAsia="Arial" w:hAnsi="Arial"/>
                <w:sz w:val="14"/>
                <w:szCs w:val="14"/>
                <w:b w:val="1"/>
                <w:bCs w:val="1"/>
                <w:color w:val="auto"/>
                <w:w w:val="98"/>
              </w:rPr>
              <w:t>(TSR033)</w:t>
            </w:r>
          </w:p>
        </w:tc>
        <w:tc>
          <w:tcPr>
            <w:tcW w:w="0" w:type="dxa"/>
            <w:vAlign w:val="bottom"/>
          </w:tcPr>
          <w:p>
            <w:pPr>
              <w:spacing w:after="0"/>
              <w:rPr>
                <w:sz w:val="1"/>
                <w:szCs w:val="1"/>
                <w:color w:val="auto"/>
              </w:rPr>
            </w:pPr>
          </w:p>
        </w:tc>
      </w:tr>
      <w:tr>
        <w:trPr>
          <w:trHeight w:val="152"/>
        </w:trPr>
        <w:tc>
          <w:tcPr>
            <w:tcW w:w="4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Milestone Event</w:t>
            </w:r>
          </w:p>
        </w:tc>
        <w:tc>
          <w:tcPr>
            <w:tcW w:w="11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4"/>
              </w:rPr>
              <w:t>Amount</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Quarter</w:t>
            </w:r>
          </w:p>
        </w:tc>
        <w:tc>
          <w:tcPr>
            <w:tcW w:w="8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Pr>
          <w:p>
            <w:pPr>
              <w:jc w:val="center"/>
              <w:ind w:left="126"/>
              <w:spacing w:after="0" w:line="153" w:lineRule="exact"/>
              <w:rPr>
                <w:sz w:val="20"/>
                <w:szCs w:val="20"/>
                <w:color w:val="auto"/>
              </w:rPr>
            </w:pPr>
            <w:r>
              <w:rPr>
                <w:rFonts w:ascii="Arial" w:cs="Arial" w:eastAsia="Arial" w:hAnsi="Arial"/>
                <w:sz w:val="14"/>
                <w:szCs w:val="14"/>
                <w:b w:val="1"/>
                <w:bCs w:val="1"/>
                <w:color w:val="auto"/>
                <w:w w:val="98"/>
              </w:rPr>
              <w:t>Quarter</w:t>
            </w:r>
          </w:p>
        </w:tc>
        <w:tc>
          <w:tcPr>
            <w:tcW w:w="8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4"/>
              </w:rPr>
              <w:t>Amount</w:t>
            </w:r>
          </w:p>
        </w:tc>
        <w:tc>
          <w:tcPr>
            <w:tcW w:w="1440" w:type="dxa"/>
            <w:vAlign w:val="bottom"/>
          </w:tcPr>
          <w:p>
            <w:pPr>
              <w:jc w:val="center"/>
              <w:ind w:left="226"/>
              <w:spacing w:after="0" w:line="153"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2"/>
        </w:trPr>
        <w:tc>
          <w:tcPr>
            <w:tcW w:w="42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840" w:type="dxa"/>
            <w:vAlign w:val="bottom"/>
            <w:vMerge w:val="continue"/>
          </w:tcPr>
          <w:p>
            <w:pPr>
              <w:spacing w:after="0"/>
              <w:rPr>
                <w:sz w:val="16"/>
                <w:szCs w:val="16"/>
                <w:color w:val="auto"/>
              </w:rPr>
            </w:pPr>
          </w:p>
        </w:tc>
        <w:tc>
          <w:tcPr>
            <w:tcW w:w="1540" w:type="dxa"/>
            <w:vAlign w:val="bottom"/>
          </w:tcPr>
          <w:p>
            <w:pPr>
              <w:jc w:val="center"/>
              <w:ind w:left="126"/>
              <w:spacing w:after="0"/>
              <w:rPr>
                <w:sz w:val="20"/>
                <w:szCs w:val="20"/>
                <w:color w:val="auto"/>
              </w:rPr>
            </w:pPr>
            <w:r>
              <w:rPr>
                <w:rFonts w:ascii="Arial" w:cs="Arial" w:eastAsia="Arial" w:hAnsi="Arial"/>
                <w:sz w:val="14"/>
                <w:szCs w:val="14"/>
                <w:b w:val="1"/>
                <w:bCs w:val="1"/>
                <w:color w:val="auto"/>
                <w:w w:val="89"/>
              </w:rPr>
              <w:t>Recognized</w:t>
            </w:r>
          </w:p>
        </w:tc>
        <w:tc>
          <w:tcPr>
            <w:tcW w:w="840" w:type="dxa"/>
            <w:vAlign w:val="bottom"/>
            <w:vMerge w:val="continue"/>
          </w:tcPr>
          <w:p>
            <w:pPr>
              <w:spacing w:after="0"/>
              <w:rPr>
                <w:sz w:val="16"/>
                <w:szCs w:val="16"/>
                <w:color w:val="auto"/>
              </w:rPr>
            </w:pPr>
          </w:p>
        </w:tc>
        <w:tc>
          <w:tcPr>
            <w:tcW w:w="1440" w:type="dxa"/>
            <w:vAlign w:val="bottom"/>
          </w:tcPr>
          <w:p>
            <w:pPr>
              <w:jc w:val="center"/>
              <w:ind w:left="226"/>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379"/>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Initiated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good laboratory practices</w:t>
            </w:r>
          </w:p>
        </w:tc>
        <w:tc>
          <w:tcPr>
            <w:tcW w:w="1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(GLPs)</w:t>
            </w:r>
          </w:p>
        </w:tc>
        <w:tc>
          <w:tcPr>
            <w:tcW w:w="118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7"/>
              </w:rPr>
              <w:t>$1.0M</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Q2'15</w:t>
            </w:r>
          </w:p>
        </w:tc>
        <w:tc>
          <w:tcPr>
            <w:tcW w:w="840" w:type="dxa"/>
            <w:vAlign w:val="bottom"/>
            <w:shd w:val="clear" w:color="auto" w:fill="CCEEFF"/>
          </w:tcPr>
          <w:p>
            <w:pPr>
              <w:jc w:val="center"/>
              <w:ind w:left="265"/>
              <w:spacing w:after="0"/>
              <w:rPr>
                <w:sz w:val="20"/>
                <w:szCs w:val="20"/>
                <w:color w:val="auto"/>
              </w:rPr>
            </w:pPr>
            <w:r>
              <w:rPr>
                <w:rFonts w:ascii="Arial" w:cs="Arial" w:eastAsia="Arial" w:hAnsi="Arial"/>
                <w:sz w:val="14"/>
                <w:szCs w:val="14"/>
                <w:color w:val="auto"/>
                <w:w w:val="97"/>
              </w:rPr>
              <w:t>$1.0M</w:t>
            </w:r>
          </w:p>
        </w:tc>
        <w:tc>
          <w:tcPr>
            <w:tcW w:w="1540" w:type="dxa"/>
            <w:vAlign w:val="bottom"/>
            <w:shd w:val="clear" w:color="auto" w:fill="CCEEFF"/>
          </w:tcPr>
          <w:p>
            <w:pPr>
              <w:jc w:val="center"/>
              <w:ind w:left="126"/>
              <w:spacing w:after="0"/>
              <w:rPr>
                <w:sz w:val="20"/>
                <w:szCs w:val="20"/>
                <w:color w:val="auto"/>
              </w:rPr>
            </w:pPr>
            <w:r>
              <w:rPr>
                <w:rFonts w:ascii="Arial" w:cs="Arial" w:eastAsia="Arial" w:hAnsi="Arial"/>
                <w:sz w:val="14"/>
                <w:szCs w:val="14"/>
                <w:color w:val="auto"/>
                <w:w w:val="91"/>
              </w:rPr>
              <w:t>Q4'15</w:t>
            </w:r>
          </w:p>
        </w:tc>
        <w:tc>
          <w:tcPr>
            <w:tcW w:w="840" w:type="dxa"/>
            <w:vAlign w:val="bottom"/>
            <w:shd w:val="clear" w:color="auto" w:fill="CCEEFF"/>
          </w:tcPr>
          <w:p>
            <w:pPr>
              <w:jc w:val="center"/>
              <w:ind w:left="225"/>
              <w:spacing w:after="0"/>
              <w:rPr>
                <w:sz w:val="20"/>
                <w:szCs w:val="20"/>
                <w:color w:val="auto"/>
              </w:rPr>
            </w:pPr>
            <w:r>
              <w:rPr>
                <w:rFonts w:ascii="Arial" w:cs="Arial" w:eastAsia="Arial" w:hAnsi="Arial"/>
                <w:sz w:val="14"/>
                <w:szCs w:val="14"/>
                <w:color w:val="auto"/>
                <w:w w:val="97"/>
              </w:rPr>
              <w:t>$1.0M</w:t>
            </w:r>
          </w:p>
        </w:tc>
        <w:tc>
          <w:tcPr>
            <w:tcW w:w="1440" w:type="dxa"/>
            <w:vAlign w:val="bottom"/>
            <w:shd w:val="clear" w:color="auto" w:fill="CCEEFF"/>
          </w:tcPr>
          <w:p>
            <w:pPr>
              <w:jc w:val="center"/>
              <w:ind w:left="226"/>
              <w:spacing w:after="0"/>
              <w:rPr>
                <w:sz w:val="20"/>
                <w:szCs w:val="20"/>
                <w:color w:val="auto"/>
              </w:rPr>
            </w:pPr>
            <w:r>
              <w:rPr>
                <w:rFonts w:ascii="Arial" w:cs="Arial" w:eastAsia="Arial" w:hAnsi="Arial"/>
                <w:sz w:val="14"/>
                <w:szCs w:val="14"/>
                <w:color w:val="auto"/>
                <w:w w:val="91"/>
              </w:rPr>
              <w:t>Q3'16</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color w:val="auto"/>
              </w:rPr>
              <w:t>IND clearance from the FDA</w:t>
            </w:r>
          </w:p>
        </w:tc>
        <w:tc>
          <w:tcPr>
            <w:tcW w:w="1180" w:type="dxa"/>
            <w:vAlign w:val="bottom"/>
          </w:tcPr>
          <w:p>
            <w:pPr>
              <w:jc w:val="center"/>
              <w:ind w:left="48"/>
              <w:spacing w:after="0"/>
              <w:rPr>
                <w:sz w:val="20"/>
                <w:szCs w:val="20"/>
                <w:color w:val="auto"/>
              </w:rPr>
            </w:pPr>
            <w:r>
              <w:rPr>
                <w:rFonts w:ascii="Arial" w:cs="Arial" w:eastAsia="Arial" w:hAnsi="Arial"/>
                <w:sz w:val="14"/>
                <w:szCs w:val="14"/>
                <w:color w:val="auto"/>
                <w:w w:val="97"/>
              </w:rPr>
              <w:t>$4.0M</w:t>
            </w: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Q1'16</w:t>
            </w:r>
          </w:p>
        </w:tc>
        <w:tc>
          <w:tcPr>
            <w:tcW w:w="840" w:type="dxa"/>
            <w:vAlign w:val="bottom"/>
          </w:tcPr>
          <w:p>
            <w:pPr>
              <w:jc w:val="center"/>
              <w:ind w:left="265"/>
              <w:spacing w:after="0"/>
              <w:rPr>
                <w:sz w:val="20"/>
                <w:szCs w:val="20"/>
                <w:color w:val="auto"/>
              </w:rPr>
            </w:pPr>
            <w:r>
              <w:rPr>
                <w:rFonts w:ascii="Arial" w:cs="Arial" w:eastAsia="Arial" w:hAnsi="Arial"/>
                <w:sz w:val="14"/>
                <w:szCs w:val="14"/>
                <w:color w:val="auto"/>
                <w:w w:val="97"/>
              </w:rPr>
              <w:t>$4.0M</w:t>
            </w:r>
          </w:p>
        </w:tc>
        <w:tc>
          <w:tcPr>
            <w:tcW w:w="1540" w:type="dxa"/>
            <w:vAlign w:val="bottom"/>
          </w:tcPr>
          <w:p>
            <w:pPr>
              <w:jc w:val="center"/>
              <w:ind w:left="126"/>
              <w:spacing w:after="0"/>
              <w:rPr>
                <w:sz w:val="20"/>
                <w:szCs w:val="20"/>
                <w:color w:val="auto"/>
              </w:rPr>
            </w:pPr>
            <w:r>
              <w:rPr>
                <w:rFonts w:ascii="Arial" w:cs="Arial" w:eastAsia="Arial" w:hAnsi="Arial"/>
                <w:sz w:val="14"/>
                <w:szCs w:val="14"/>
                <w:color w:val="auto"/>
                <w:w w:val="91"/>
              </w:rPr>
              <w:t>Q2'16</w:t>
            </w:r>
          </w:p>
        </w:tc>
        <w:tc>
          <w:tcPr>
            <w:tcW w:w="840" w:type="dxa"/>
            <w:vAlign w:val="bottom"/>
          </w:tcPr>
          <w:p>
            <w:pPr>
              <w:jc w:val="center"/>
              <w:ind w:left="225"/>
              <w:spacing w:after="0"/>
              <w:rPr>
                <w:sz w:val="20"/>
                <w:szCs w:val="20"/>
                <w:color w:val="auto"/>
              </w:rPr>
            </w:pPr>
            <w:r>
              <w:rPr>
                <w:rFonts w:ascii="Arial" w:cs="Arial" w:eastAsia="Arial" w:hAnsi="Arial"/>
                <w:sz w:val="14"/>
                <w:szCs w:val="14"/>
                <w:color w:val="auto"/>
                <w:w w:val="97"/>
              </w:rPr>
              <w:t>$4.0M</w:t>
            </w:r>
          </w:p>
        </w:tc>
        <w:tc>
          <w:tcPr>
            <w:tcW w:w="1440" w:type="dxa"/>
            <w:vAlign w:val="bottom"/>
          </w:tcPr>
          <w:p>
            <w:pPr>
              <w:jc w:val="center"/>
              <w:ind w:left="226"/>
              <w:spacing w:after="0"/>
              <w:rPr>
                <w:sz w:val="20"/>
                <w:szCs w:val="20"/>
                <w:color w:val="auto"/>
              </w:rPr>
            </w:pPr>
            <w:r>
              <w:rPr>
                <w:rFonts w:ascii="Arial" w:cs="Arial" w:eastAsia="Arial" w:hAnsi="Arial"/>
                <w:sz w:val="14"/>
                <w:szCs w:val="14"/>
                <w:color w:val="auto"/>
                <w:w w:val="91"/>
              </w:rPr>
              <w:t>Q2'17</w:t>
            </w:r>
          </w:p>
        </w:tc>
        <w:tc>
          <w:tcPr>
            <w:tcW w:w="0" w:type="dxa"/>
            <w:vAlign w:val="bottom"/>
          </w:tcPr>
          <w:p>
            <w:pPr>
              <w:spacing w:after="0"/>
              <w:rPr>
                <w:sz w:val="1"/>
                <w:szCs w:val="1"/>
                <w:color w:val="auto"/>
              </w:rPr>
            </w:pPr>
          </w:p>
        </w:tc>
      </w:tr>
      <w:tr>
        <w:trPr>
          <w:trHeight w:val="276"/>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Phase 2 clinical trial initiation</w:t>
            </w:r>
          </w:p>
        </w:tc>
        <w:tc>
          <w:tcPr>
            <w:tcW w:w="118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7"/>
              </w:rPr>
              <w:t>$3.0M</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Q2'17</w:t>
            </w:r>
          </w:p>
        </w:tc>
        <w:tc>
          <w:tcPr>
            <w:tcW w:w="840" w:type="dxa"/>
            <w:vAlign w:val="bottom"/>
            <w:shd w:val="clear" w:color="auto" w:fill="CCEEFF"/>
          </w:tcPr>
          <w:p>
            <w:pPr>
              <w:jc w:val="center"/>
              <w:ind w:left="265"/>
              <w:spacing w:after="0"/>
              <w:rPr>
                <w:sz w:val="20"/>
                <w:szCs w:val="20"/>
                <w:color w:val="auto"/>
              </w:rPr>
            </w:pPr>
            <w:r>
              <w:rPr>
                <w:rFonts w:ascii="Arial" w:cs="Arial" w:eastAsia="Arial" w:hAnsi="Arial"/>
                <w:sz w:val="14"/>
                <w:szCs w:val="14"/>
                <w:color w:val="auto"/>
                <w:w w:val="97"/>
              </w:rPr>
              <w:t>$3.0M</w:t>
            </w:r>
          </w:p>
        </w:tc>
        <w:tc>
          <w:tcPr>
            <w:tcW w:w="1540" w:type="dxa"/>
            <w:vAlign w:val="bottom"/>
            <w:shd w:val="clear" w:color="auto" w:fill="CCEEFF"/>
          </w:tcPr>
          <w:p>
            <w:pPr>
              <w:jc w:val="center"/>
              <w:ind w:left="126"/>
              <w:spacing w:after="0"/>
              <w:rPr>
                <w:sz w:val="20"/>
                <w:szCs w:val="20"/>
                <w:color w:val="auto"/>
              </w:rPr>
            </w:pPr>
            <w:r>
              <w:rPr>
                <w:rFonts w:ascii="Arial" w:cs="Arial" w:eastAsia="Arial" w:hAnsi="Arial"/>
                <w:sz w:val="14"/>
                <w:szCs w:val="14"/>
                <w:color w:val="auto"/>
                <w:w w:val="91"/>
              </w:rPr>
              <w:t>Q4'17</w:t>
            </w:r>
          </w:p>
        </w:tc>
        <w:tc>
          <w:tcPr>
            <w:tcW w:w="840" w:type="dxa"/>
            <w:vAlign w:val="bottom"/>
            <w:shd w:val="clear" w:color="auto" w:fill="CCEEFF"/>
          </w:tcPr>
          <w:p>
            <w:pPr>
              <w:jc w:val="center"/>
              <w:ind w:left="225"/>
              <w:spacing w:after="0"/>
              <w:rPr>
                <w:sz w:val="20"/>
                <w:szCs w:val="20"/>
                <w:color w:val="auto"/>
              </w:rPr>
            </w:pPr>
            <w:r>
              <w:rPr>
                <w:rFonts w:ascii="Arial" w:cs="Arial" w:eastAsia="Arial" w:hAnsi="Arial"/>
                <w:sz w:val="14"/>
                <w:szCs w:val="14"/>
                <w:color w:val="auto"/>
                <w:w w:val="97"/>
              </w:rPr>
              <w:t>$3.0M</w:t>
            </w:r>
          </w:p>
        </w:tc>
        <w:tc>
          <w:tcPr>
            <w:tcW w:w="1440" w:type="dxa"/>
            <w:vAlign w:val="bottom"/>
            <w:shd w:val="clear" w:color="auto" w:fill="CCEEFF"/>
          </w:tcPr>
          <w:p>
            <w:pPr>
              <w:jc w:val="center"/>
              <w:ind w:left="226"/>
              <w:spacing w:after="0"/>
              <w:rPr>
                <w:sz w:val="20"/>
                <w:szCs w:val="20"/>
                <w:color w:val="auto"/>
              </w:rPr>
            </w:pPr>
            <w:r>
              <w:rPr>
                <w:rFonts w:ascii="Arial" w:cs="Arial" w:eastAsia="Arial" w:hAnsi="Arial"/>
                <w:sz w:val="14"/>
                <w:szCs w:val="14"/>
                <w:color w:val="auto"/>
                <w:w w:val="91"/>
              </w:rPr>
              <w:t>Q4'19</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color w:val="auto"/>
              </w:rPr>
              <w:t>Phase 3 clinical trial initiation - first indication</w:t>
            </w:r>
          </w:p>
        </w:tc>
        <w:tc>
          <w:tcPr>
            <w:tcW w:w="1180" w:type="dxa"/>
            <w:vAlign w:val="bottom"/>
          </w:tcPr>
          <w:p>
            <w:pPr>
              <w:jc w:val="center"/>
              <w:ind w:left="48"/>
              <w:spacing w:after="0"/>
              <w:rPr>
                <w:sz w:val="20"/>
                <w:szCs w:val="20"/>
                <w:color w:val="auto"/>
              </w:rPr>
            </w:pPr>
            <w:r>
              <w:rPr>
                <w:rFonts w:ascii="Arial" w:cs="Arial" w:eastAsia="Arial" w:hAnsi="Arial"/>
                <w:sz w:val="14"/>
                <w:szCs w:val="14"/>
                <w:color w:val="auto"/>
                <w:w w:val="97"/>
              </w:rPr>
              <w:t>$5.0M</w:t>
            </w: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Q3'18</w:t>
            </w:r>
          </w:p>
        </w:tc>
        <w:tc>
          <w:tcPr>
            <w:tcW w:w="840" w:type="dxa"/>
            <w:vAlign w:val="bottom"/>
          </w:tcPr>
          <w:p>
            <w:pPr>
              <w:jc w:val="center"/>
              <w:ind w:left="265"/>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ind w:left="126"/>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ind w:left="225"/>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left="22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6"/>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Phase 3 clinical trial initiation - second indication</w:t>
            </w:r>
          </w:p>
        </w:tc>
        <w:tc>
          <w:tcPr>
            <w:tcW w:w="118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7"/>
              </w:rPr>
              <w:t>$5.0M</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Q2'19</w:t>
            </w:r>
          </w:p>
        </w:tc>
        <w:tc>
          <w:tcPr>
            <w:tcW w:w="840" w:type="dxa"/>
            <w:vAlign w:val="bottom"/>
            <w:shd w:val="clear" w:color="auto" w:fill="CCEEFF"/>
          </w:tcPr>
          <w:p>
            <w:pPr>
              <w:jc w:val="center"/>
              <w:ind w:left="245"/>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center"/>
              <w:ind w:left="126"/>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jc w:val="center"/>
              <w:ind w:left="245"/>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ind w:left="226"/>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were recognized upon determination that a significant reversal of revenue would not be probable. Cash is generally received within 30 days of milestone achievement.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jc w:val="both"/>
        <w:ind w:right="100" w:firstLine="567"/>
        <w:spacing w:after="0" w:line="259" w:lineRule="auto"/>
        <w:rPr>
          <w:sz w:val="20"/>
          <w:szCs w:val="20"/>
          <w:color w:val="auto"/>
        </w:rPr>
      </w:pPr>
      <w:r>
        <w:rPr>
          <w:rFonts w:ascii="Arial" w:cs="Arial" w:eastAsia="Arial" w:hAnsi="Arial"/>
          <w:sz w:val="18"/>
          <w:szCs w:val="18"/>
          <w:color w:val="auto"/>
        </w:rPr>
        <w:t>In December 2011, we entered into a license and collaboration agreement with Celgene, now a part of Bristol-Myers Squibb,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87" w:lineRule="exact"/>
        <w:rPr>
          <w:sz w:val="20"/>
          <w:szCs w:val="20"/>
          <w:color w:val="auto"/>
        </w:rPr>
      </w:pPr>
    </w:p>
    <w:p>
      <w:pPr>
        <w:ind w:right="60" w:firstLine="567"/>
        <w:spacing w:after="0" w:line="286" w:lineRule="auto"/>
        <w:rPr>
          <w:sz w:val="20"/>
          <w:szCs w:val="20"/>
          <w:color w:val="auto"/>
        </w:rPr>
      </w:pPr>
      <w:r>
        <w:rPr>
          <w:rFonts w:ascii="Arial" w:cs="Arial" w:eastAsia="Arial" w:hAnsi="Arial"/>
          <w:sz w:val="17"/>
          <w:szCs w:val="17"/>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December 31, 2019, we have recognized $10.0 million in total revenue from Celgene.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20" w:type="dxa"/>
            <w:vAlign w:val="bottom"/>
          </w:tcPr>
          <w:p>
            <w:pPr>
              <w:jc w:val="center"/>
              <w:ind w:right="848"/>
              <w:spacing w:after="0"/>
              <w:rPr>
                <w:sz w:val="20"/>
                <w:szCs w:val="20"/>
                <w:color w:val="auto"/>
              </w:rPr>
            </w:pPr>
            <w:r>
              <w:rPr>
                <w:rFonts w:ascii="Arial" w:cs="Arial" w:eastAsia="Arial" w:hAnsi="Arial"/>
                <w:sz w:val="14"/>
                <w:szCs w:val="14"/>
                <w:b w:val="1"/>
                <w:bCs w:val="1"/>
                <w:color w:val="auto"/>
                <w:w w:val="97"/>
              </w:rPr>
              <w:t>Anti-PD-1</w:t>
            </w:r>
          </w:p>
        </w:tc>
        <w:tc>
          <w:tcPr>
            <w:tcW w:w="0" w:type="dxa"/>
            <w:vAlign w:val="bottom"/>
          </w:tcPr>
          <w:p>
            <w:pPr>
              <w:spacing w:after="0"/>
              <w:rPr>
                <w:sz w:val="1"/>
                <w:szCs w:val="1"/>
                <w:color w:val="auto"/>
              </w:rPr>
            </w:pPr>
          </w:p>
        </w:tc>
      </w:tr>
      <w:tr>
        <w:trPr>
          <w:trHeight w:val="192"/>
        </w:trPr>
        <w:tc>
          <w:tcPr>
            <w:tcW w:w="63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b w:val="1"/>
                <w:bCs w:val="1"/>
                <w:color w:val="auto"/>
                <w:w w:val="95"/>
              </w:rPr>
              <w:t>(CC-90006)</w:t>
            </w:r>
          </w:p>
        </w:tc>
        <w:tc>
          <w:tcPr>
            <w:tcW w:w="0" w:type="dxa"/>
            <w:vAlign w:val="bottom"/>
          </w:tcPr>
          <w:p>
            <w:pPr>
              <w:spacing w:after="0"/>
              <w:rPr>
                <w:sz w:val="1"/>
                <w:szCs w:val="1"/>
                <w:color w:val="auto"/>
              </w:rPr>
            </w:pPr>
          </w:p>
        </w:tc>
      </w:tr>
      <w:tr>
        <w:trPr>
          <w:trHeight w:val="152"/>
        </w:trPr>
        <w:tc>
          <w:tcPr>
            <w:tcW w:w="6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Milestone Event</w:t>
            </w:r>
          </w:p>
        </w:tc>
        <w:tc>
          <w:tcPr>
            <w:tcW w:w="3480" w:type="dxa"/>
            <w:vAlign w:val="bottom"/>
            <w:vMerge w:val="restart"/>
          </w:tcPr>
          <w:p>
            <w:pPr>
              <w:jc w:val="center"/>
              <w:ind w:left="2908"/>
              <w:spacing w:after="0"/>
              <w:rPr>
                <w:sz w:val="20"/>
                <w:szCs w:val="20"/>
                <w:color w:val="auto"/>
              </w:rPr>
            </w:pPr>
            <w:r>
              <w:rPr>
                <w:rFonts w:ascii="Arial" w:cs="Arial" w:eastAsia="Arial" w:hAnsi="Arial"/>
                <w:sz w:val="14"/>
                <w:szCs w:val="14"/>
                <w:b w:val="1"/>
                <w:bCs w:val="1"/>
                <w:color w:val="auto"/>
                <w:w w:val="94"/>
              </w:rPr>
              <w:t>Amount</w:t>
            </w:r>
          </w:p>
        </w:tc>
        <w:tc>
          <w:tcPr>
            <w:tcW w:w="162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92"/>
        </w:trPr>
        <w:tc>
          <w:tcPr>
            <w:tcW w:w="6320" w:type="dxa"/>
            <w:vAlign w:val="bottom"/>
            <w:vMerge w:val="continue"/>
          </w:tcPr>
          <w:p>
            <w:pPr>
              <w:spacing w:after="0"/>
              <w:rPr>
                <w:sz w:val="16"/>
                <w:szCs w:val="16"/>
                <w:color w:val="auto"/>
              </w:rPr>
            </w:pPr>
          </w:p>
        </w:tc>
        <w:tc>
          <w:tcPr>
            <w:tcW w:w="3480" w:type="dxa"/>
            <w:vAlign w:val="bottom"/>
            <w:vMerge w:val="continue"/>
          </w:tcPr>
          <w:p>
            <w:pPr>
              <w:spacing w:after="0"/>
              <w:rPr>
                <w:sz w:val="16"/>
                <w:szCs w:val="16"/>
                <w:color w:val="auto"/>
              </w:rPr>
            </w:pPr>
          </w:p>
        </w:tc>
        <w:tc>
          <w:tcPr>
            <w:tcW w:w="162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425"/>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Completion of first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GLPs</w:t>
            </w:r>
          </w:p>
        </w:tc>
        <w:tc>
          <w:tcPr>
            <w:tcW w:w="3480" w:type="dxa"/>
            <w:vAlign w:val="bottom"/>
            <w:shd w:val="clear" w:color="auto" w:fill="CCEEFF"/>
          </w:tcPr>
          <w:p>
            <w:pPr>
              <w:jc w:val="center"/>
              <w:ind w:left="2908"/>
              <w:spacing w:after="0"/>
              <w:rPr>
                <w:sz w:val="20"/>
                <w:szCs w:val="20"/>
                <w:color w:val="auto"/>
              </w:rPr>
            </w:pPr>
            <w:r>
              <w:rPr>
                <w:rFonts w:ascii="Arial" w:cs="Arial" w:eastAsia="Arial" w:hAnsi="Arial"/>
                <w:sz w:val="14"/>
                <w:szCs w:val="14"/>
                <w:color w:val="auto"/>
                <w:w w:val="97"/>
              </w:rPr>
              <w:t>$0.5M</w:t>
            </w:r>
          </w:p>
        </w:tc>
        <w:tc>
          <w:tcPr>
            <w:tcW w:w="16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7"/>
              </w:rPr>
              <w:t>Q2'16</w:t>
            </w:r>
          </w:p>
        </w:tc>
        <w:tc>
          <w:tcPr>
            <w:tcW w:w="0" w:type="dxa"/>
            <w:vAlign w:val="bottom"/>
          </w:tcPr>
          <w:p>
            <w:pPr>
              <w:spacing w:after="0"/>
              <w:rPr>
                <w:sz w:val="1"/>
                <w:szCs w:val="1"/>
                <w:color w:val="auto"/>
              </w:rPr>
            </w:pPr>
          </w:p>
        </w:tc>
      </w:tr>
      <w:tr>
        <w:trPr>
          <w:trHeight w:val="191"/>
        </w:trPr>
        <w:tc>
          <w:tcPr>
            <w:tcW w:w="6320" w:type="dxa"/>
            <w:vAlign w:val="bottom"/>
          </w:tcPr>
          <w:p>
            <w:pPr>
              <w:ind w:left="40"/>
              <w:spacing w:after="0"/>
              <w:rPr>
                <w:sz w:val="20"/>
                <w:szCs w:val="20"/>
                <w:color w:val="auto"/>
              </w:rPr>
            </w:pPr>
            <w:r>
              <w:rPr>
                <w:rFonts w:ascii="Arial" w:cs="Arial" w:eastAsia="Arial" w:hAnsi="Arial"/>
                <w:sz w:val="14"/>
                <w:szCs w:val="14"/>
                <w:color w:val="auto"/>
              </w:rPr>
              <w:t>Phase 1 clinical trial initiation</w:t>
            </w:r>
          </w:p>
        </w:tc>
        <w:tc>
          <w:tcPr>
            <w:tcW w:w="3480" w:type="dxa"/>
            <w:vAlign w:val="bottom"/>
          </w:tcPr>
          <w:p>
            <w:pPr>
              <w:jc w:val="center"/>
              <w:ind w:left="2908"/>
              <w:spacing w:after="0"/>
              <w:rPr>
                <w:sz w:val="20"/>
                <w:szCs w:val="20"/>
                <w:color w:val="auto"/>
              </w:rPr>
            </w:pPr>
            <w:r>
              <w:rPr>
                <w:rFonts w:ascii="Arial" w:cs="Arial" w:eastAsia="Arial" w:hAnsi="Arial"/>
                <w:sz w:val="14"/>
                <w:szCs w:val="14"/>
                <w:color w:val="auto"/>
                <w:w w:val="97"/>
              </w:rPr>
              <w:t>$1.0M</w:t>
            </w:r>
          </w:p>
        </w:tc>
        <w:tc>
          <w:tcPr>
            <w:tcW w:w="1620" w:type="dxa"/>
            <w:vAlign w:val="bottom"/>
          </w:tcPr>
          <w:p>
            <w:pPr>
              <w:jc w:val="center"/>
              <w:ind w:left="308"/>
              <w:spacing w:after="0"/>
              <w:rPr>
                <w:sz w:val="20"/>
                <w:szCs w:val="20"/>
                <w:color w:val="auto"/>
              </w:rPr>
            </w:pPr>
            <w:r>
              <w:rPr>
                <w:rFonts w:ascii="Arial" w:cs="Arial" w:eastAsia="Arial" w:hAnsi="Arial"/>
                <w:sz w:val="14"/>
                <w:szCs w:val="14"/>
                <w:color w:val="auto"/>
                <w:w w:val="97"/>
              </w:rPr>
              <w:t>Q4'16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Milestones were recognized as revenue in the period earned. There was no revenue recognized under this agreement during the years ended December 31, 2019 or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29" w:lineRule="exact"/>
        <w:rPr>
          <w:sz w:val="20"/>
          <w:szCs w:val="20"/>
          <w:color w:val="auto"/>
        </w:rPr>
      </w:pPr>
    </w:p>
    <w:p>
      <w:pPr>
        <w:ind w:right="640" w:firstLine="486"/>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65" w:right="239" w:bottom="1440" w:gutter="0" w:footer="0" w:header="0"/>
        </w:sectPr>
      </w:pPr>
    </w:p>
    <w:bookmarkStart w:id="68" w:name="page69"/>
    <w:bookmarkEnd w:id="68"/>
    <w:p>
      <w:pPr>
        <w:ind w:left="660" w:right="300" w:hanging="314"/>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third-parties, such as Contract Research Organizations, or CROs, consultants, members of our scientific and therapeutic advisory boards, and Contract Manufacturing Organizations, or CMOs;</w:t>
      </w:r>
    </w:p>
    <w:p>
      <w:pPr>
        <w:spacing w:after="0" w:line="38" w:lineRule="exact"/>
        <w:rPr>
          <w:rFonts w:ascii="Arial" w:cs="Arial" w:eastAsia="Arial" w:hAnsi="Arial"/>
          <w:sz w:val="17"/>
          <w:szCs w:val="17"/>
          <w:color w:val="auto"/>
        </w:rPr>
      </w:pPr>
    </w:p>
    <w:p>
      <w:pPr>
        <w:ind w:left="660" w:hanging="31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660" w:right="40" w:hanging="31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80" w:firstLine="567"/>
        <w:spacing w:after="0" w:line="308" w:lineRule="auto"/>
        <w:rPr>
          <w:sz w:val="20"/>
          <w:szCs w:val="20"/>
          <w:color w:val="auto"/>
        </w:rPr>
      </w:pPr>
      <w:r>
        <w:rPr>
          <w:rFonts w:ascii="Arial" w:cs="Arial" w:eastAsia="Arial" w:hAnsi="Arial"/>
          <w:sz w:val="17"/>
          <w:szCs w:val="17"/>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147"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173"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and pharmacology studies, drug product manufacturing and clinical trials.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completed Phase 1 and 2a trials for etokimab and Phase 1 trials for ANB019 and have ongoing Phase 2 and 2b clinical trials as well</w:t>
      </w:r>
      <w:r>
        <w:rPr>
          <w:rFonts w:ascii="Arial" w:cs="Arial" w:eastAsia="Arial" w:hAnsi="Arial"/>
          <w:sz w:val="17"/>
          <w:szCs w:val="17"/>
          <w:color w:val="231F20"/>
        </w:rPr>
        <w: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121" w:lineRule="exact"/>
        <w:rPr>
          <w:sz w:val="20"/>
          <w:szCs w:val="20"/>
          <w:color w:val="auto"/>
        </w:rPr>
      </w:pPr>
    </w:p>
    <w:p>
      <w:pPr>
        <w:ind w:right="40" w:firstLine="567"/>
        <w:spacing w:after="0" w:line="286" w:lineRule="auto"/>
        <w:rPr>
          <w:sz w:val="20"/>
          <w:szCs w:val="20"/>
          <w:color w:val="auto"/>
        </w:rPr>
      </w:pPr>
      <w:r>
        <w:rPr>
          <w:rFonts w:ascii="Arial" w:cs="Arial" w:eastAsia="Arial" w:hAnsi="Arial"/>
          <w:sz w:val="17"/>
          <w:szCs w:val="17"/>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540" w:firstLine="567"/>
        <w:spacing w:after="0" w:line="308" w:lineRule="auto"/>
        <w:rPr>
          <w:sz w:val="20"/>
          <w:szCs w:val="20"/>
          <w:color w:val="auto"/>
        </w:rPr>
      </w:pPr>
      <w:r>
        <w:rPr>
          <w:rFonts w:ascii="Arial" w:cs="Arial" w:eastAsia="Arial" w:hAnsi="Arial"/>
          <w:sz w:val="17"/>
          <w:szCs w:val="17"/>
          <w:color w:val="auto"/>
        </w:rPr>
        <w:t>Interest expense consists of floating interest payments and amortization of discounts on our outstanding notes payable relating to our Loan and Security Agreement with Oxford Finance LLC and Silicon Valley Bank, as amended, which we refer to as the Loan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jc w:val="both"/>
        <w:ind w:right="80" w:firstLine="567"/>
        <w:spacing w:after="0" w:line="259" w:lineRule="auto"/>
        <w:rPr>
          <w:sz w:val="20"/>
          <w:szCs w:val="20"/>
          <w:color w:val="auto"/>
        </w:rPr>
      </w:pPr>
      <w:r>
        <w:rPr>
          <w:rFonts w:ascii="Arial" w:cs="Arial" w:eastAsia="Arial" w:hAnsi="Arial"/>
          <w:sz w:val="18"/>
          <w:szCs w:val="18"/>
          <w:color w:val="auto"/>
        </w:rPr>
        <w:t>Since inception, we have accumulated net operating losses, or NOLs in all years except December 31, 2015 and 2014, in which we generated taxable income as a result of our collaboration agreement with TESARO as well as expenses incurred by our Australian subsidiary which are not deductible for U.S. income tax purposes. While we utilized NOLs in 2015 and 2014, we have since incurred losses and therefore continue to have a valuation allowance against our net deferred tax assets due to the uncertainty of the realization of such assets.</w:t>
      </w:r>
    </w:p>
    <w:p>
      <w:pPr>
        <w:spacing w:after="0" w:line="79"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At December 31, 2019, we had federal and state net operating loss carryforwards, or NOLs, of $239.4 million and $64.1 million, respectively. The federal and state NOLs generated prior to 2018 will both begin to expire in 2028, unless previously utilized. The federal NOLs include $179.4 million of net operating losses generated in 2018 and after. Federal net operating losses generated in 2018 and after carryover indefinitely and may generally be used to offset up to 80% of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665" w:right="259" w:bottom="1440" w:gutter="0" w:footer="0" w:header="0"/>
        </w:sectPr>
      </w:pPr>
    </w:p>
    <w:bookmarkStart w:id="69" w:name="page70"/>
    <w:bookmarkEnd w:id="69"/>
    <w:p>
      <w:pPr>
        <w:spacing w:after="0" w:line="264" w:lineRule="auto"/>
        <w:rPr>
          <w:sz w:val="20"/>
          <w:szCs w:val="20"/>
          <w:color w:val="auto"/>
        </w:rPr>
      </w:pPr>
      <w:r>
        <w:rPr>
          <w:rFonts w:ascii="Arial" w:cs="Arial" w:eastAsia="Arial" w:hAnsi="Arial"/>
          <w:sz w:val="18"/>
          <w:szCs w:val="18"/>
          <w:color w:val="auto"/>
        </w:rPr>
        <w:t>taxable income. At December 31, 2019 we had federal and California research tax credit carryforwards of approximately $11.1 million and $7.6 million, respectively. The federal research tax credit carryforwards will begin to expire in 2026 and the California state credits carryforward indefinitely. We also have foreign tax losses of $3.0 million, which will carry forward indefinitely, subject to a continuity of ownership test.</w:t>
      </w:r>
    </w:p>
    <w:p>
      <w:pPr>
        <w:spacing w:after="0" w:line="181"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The NOL carryforward and the research tax credit carryforwards may be subject to an annual limitation under Section 382 and 383 of the Internal Revenue Code of 1986, as amended, or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of the Code, results from transactions increasing ownership of certain stockholders or public groups in the stock of the corporation by more than 50 percentage points over a three-year period. In September 2015, we completed a Section 382 and 383 of the Code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one additional ownership changes during fiscal 2017 that may limit the utilization of Federal and State NOLs. Limitations on our ability to use NOL carryforwards and research and development tax credits to offset future taxable income could require us to pay U.S. federal income tax earlier than would be required if such limitations were not in effect. Similar rules and limitations may apply for state income tax purposes.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3"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i w:val="1"/>
          <w:iCs w:val="1"/>
          <w:color w:val="auto"/>
        </w:rPr>
        <w:t xml:space="preserve">Performance Obligations. </w:t>
      </w:r>
      <w:r>
        <w:rPr>
          <w:rFonts w:ascii="Arial" w:cs="Arial" w:eastAsia="Arial" w:hAnsi="Arial"/>
          <w:sz w:val="18"/>
          <w:szCs w:val="18"/>
          <w:color w:val="auto"/>
        </w:rPr>
        <w:t>We evaluate deliverables on a contract by contract basis to determine whether each deliverable represents a good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performance obligations may include the following:</w:t>
      </w:r>
    </w:p>
    <w:p>
      <w:pPr>
        <w:spacing w:after="0" w:line="117" w:lineRule="exact"/>
        <w:rPr>
          <w:sz w:val="20"/>
          <w:szCs w:val="20"/>
          <w:color w:val="auto"/>
        </w:rPr>
      </w:pPr>
    </w:p>
    <w:p>
      <w:pPr>
        <w:ind w:left="660" w:hanging="314"/>
        <w:spacing w:after="0" w:line="30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6" w:lineRule="exact"/>
        <w:rPr>
          <w:rFonts w:ascii="Arial" w:cs="Arial" w:eastAsia="Arial" w:hAnsi="Arial"/>
          <w:sz w:val="16"/>
          <w:szCs w:val="16"/>
          <w:color w:val="auto"/>
        </w:rPr>
      </w:pPr>
    </w:p>
    <w:p>
      <w:pPr>
        <w:ind w:left="660" w:right="220" w:hanging="314"/>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665" w:right="27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antibodies that require a license to be utilized by a third party, our research and development services are not considered distinct.</w:t>
      </w:r>
    </w:p>
    <w:p>
      <w:pPr>
        <w:spacing w:after="0" w:line="117" w:lineRule="exact"/>
        <w:rPr>
          <w:sz w:val="20"/>
          <w:szCs w:val="20"/>
          <w:color w:val="auto"/>
        </w:rPr>
      </w:pPr>
    </w:p>
    <w:p>
      <w:pPr>
        <w:jc w:val="both"/>
        <w:ind w:left="660" w:right="120" w:hanging="314"/>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in a steering committees, which allows us to direct the progression of our discovery programs. As these steering committees would not occur or benefit the customer without the use of our licenses, these are not considered distinct.</w:t>
      </w:r>
    </w:p>
    <w:p>
      <w:pPr>
        <w:spacing w:after="0" w:line="73"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3" w:lineRule="exact"/>
        <w:rPr>
          <w:sz w:val="20"/>
          <w:szCs w:val="20"/>
          <w:color w:val="auto"/>
        </w:rPr>
      </w:pPr>
    </w:p>
    <w:p>
      <w:pPr>
        <w:ind w:right="140" w:firstLine="567"/>
        <w:spacing w:after="0" w:line="297"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7"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7" w:lineRule="exact"/>
        <w:rPr>
          <w:sz w:val="20"/>
          <w:szCs w:val="20"/>
          <w:color w:val="auto"/>
        </w:rPr>
      </w:pPr>
    </w:p>
    <w:p>
      <w:pPr>
        <w:ind w:right="200" w:firstLine="567"/>
        <w:spacing w:after="0" w:line="312"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33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Prior to January 1, 2019, we recognized our leases in accordance with ASC 840, Leases, and all current leases were classified as operating leases. Rent expense was recognized on a straight-line basis over the terms of the leases and, accordingly, we recorded the cumulative difference between cash rent payments and the recognition of rent expense as a deferred rent liability. When an operating lease included lease incentives, such as a rent abatements or leasehold improvement allowances, or required fixed escalations of the minimum lease payments, the aggregate rental expense, including such incentives or increases, was recognized on a straight-line basis over the term of the lease.</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Effective January 1, 2019, we adopted ASU 2016-02, ASC 842, Leases, under which all outstanding leases continued to be classified as operating leases. Rent expense is recognized on a straight-line basis. When an operating lease includes rent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665" w:right="279" w:bottom="1440" w:gutter="0" w:footer="0" w:header="0"/>
        </w:sectPr>
      </w:pPr>
    </w:p>
    <w:bookmarkStart w:id="71" w:name="page72"/>
    <w:bookmarkEnd w:id="71"/>
    <w:p>
      <w:pPr>
        <w:ind w:right="180"/>
        <w:spacing w:after="0" w:line="255" w:lineRule="auto"/>
        <w:rPr>
          <w:sz w:val="20"/>
          <w:szCs w:val="20"/>
          <w:color w:val="auto"/>
        </w:rPr>
      </w:pPr>
      <w:r>
        <w:rPr>
          <w:rFonts w:ascii="Arial" w:cs="Arial" w:eastAsia="Arial" w:hAnsi="Arial"/>
          <w:sz w:val="18"/>
          <w:szCs w:val="18"/>
          <w:color w:val="auto"/>
        </w:rPr>
        <w:t>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the right-of-use asset “ROU”. Operating lease ROU assets and operating lease liabilities are recognized based on the present value of the future minimum lease payments over the lease term at commencement date. As our leases do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For further information on recently issued accounting pronouncements, see Note 2 — Summary of Significant Accounting Policies in the accompanying notes to the consolidated financial statements included in Part II, Item 8, “Consolidated Financial Statements and Supplementary Data” of this Annual Report on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80" w:firstLine="567"/>
        <w:spacing w:after="0" w:line="277" w:lineRule="auto"/>
        <w:rPr>
          <w:sz w:val="20"/>
          <w:szCs w:val="20"/>
          <w:color w:val="auto"/>
        </w:rPr>
      </w:pPr>
      <w:r>
        <w:rPr>
          <w:rFonts w:ascii="Arial" w:cs="Arial" w:eastAsia="Arial" w:hAnsi="Arial"/>
          <w:sz w:val="18"/>
          <w:szCs w:val="18"/>
          <w:color w:val="auto"/>
        </w:rPr>
        <w:t>Collaboration revenue was $8.0 million compared to $5.0 million for the years ended December 31, 2019 and 2018, respectively. A comparison of revenue by collaborator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6"/>
        </w:trPr>
        <w:tc>
          <w:tcPr>
            <w:tcW w:w="64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TESARO-milestones</w:t>
            </w:r>
          </w:p>
        </w:tc>
        <w:tc>
          <w:tcPr>
            <w:tcW w:w="380" w:type="dxa"/>
            <w:vAlign w:val="bottom"/>
            <w:tcBorders>
              <w:bottom w:val="single" w:sz="8" w:color="CFF0FC"/>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8,000</w:t>
            </w:r>
          </w:p>
        </w:tc>
        <w:tc>
          <w:tcPr>
            <w:tcW w:w="12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7"/>
        </w:trPr>
        <w:tc>
          <w:tcPr>
            <w:tcW w:w="6400" w:type="dxa"/>
            <w:vAlign w:val="bottom"/>
          </w:tcPr>
          <w:p>
            <w:pPr>
              <w:ind w:left="280"/>
              <w:spacing w:after="0"/>
              <w:rPr>
                <w:sz w:val="20"/>
                <w:szCs w:val="20"/>
                <w:color w:val="auto"/>
              </w:rPr>
            </w:pPr>
            <w:r>
              <w:rPr>
                <w:rFonts w:ascii="Arial" w:cs="Arial" w:eastAsia="Arial" w:hAnsi="Arial"/>
                <w:sz w:val="16"/>
                <w:szCs w:val="16"/>
                <w:color w:val="auto"/>
              </w:rPr>
              <w:t>Total collaboration revenue</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8,000</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Collaboration revenue during the year ended December 31, 2019 increased $3.0 million compared to the year ended December 31, 2018 primarily due to the timing of milestones achieved.</w:t>
      </w:r>
    </w:p>
    <w:p>
      <w:pPr>
        <w:spacing w:after="0" w:line="116" w:lineRule="exact"/>
        <w:rPr>
          <w:sz w:val="20"/>
          <w:szCs w:val="20"/>
          <w:color w:val="auto"/>
        </w:rPr>
      </w:pPr>
    </w:p>
    <w:p>
      <w:pPr>
        <w:ind w:right="700" w:firstLine="567"/>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from our existing collaborations.</w:t>
      </w: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60" w:firstLine="567"/>
        <w:spacing w:after="0" w:line="279" w:lineRule="auto"/>
        <w:rPr>
          <w:sz w:val="20"/>
          <w:szCs w:val="20"/>
          <w:color w:val="auto"/>
        </w:rPr>
      </w:pPr>
      <w:r>
        <w:rPr>
          <w:rFonts w:ascii="Arial" w:cs="Arial" w:eastAsia="Arial" w:hAnsi="Arial"/>
          <w:sz w:val="17"/>
          <w:szCs w:val="17"/>
          <w:color w:val="auto"/>
        </w:rPr>
        <w:t>Research and development expenses were $99.3 million during the year ended December 31, 2019 compared to $56.2 million during the year ended December 31, 2018, for an increase of approximately $43.1 million. The increase is primarily attributable to a $20.9 million increase in clinical expenses, a $16.0 million increase in outside services for preclinical and manufacturing expenses, a $5.4 million increase in salaries and related expenses, including stock compensation expense, and a $0.8 million increase in other research and development expenses.</w:t>
      </w:r>
    </w:p>
    <w:p>
      <w:pPr>
        <w:spacing w:after="0" w:line="144"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 do not track fully burdened research and development costs separately for each of our drug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External Costs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Etokimab</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41,872</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20,935</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20,937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ANB019</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18,570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5,832</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ANB030</w:t>
            </w:r>
          </w:p>
        </w:tc>
        <w:tc>
          <w:tcPr>
            <w:tcW w:w="38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9,261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3,137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6,124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Preclinical and other unallocated costs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10,780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5,920</w:t>
            </w:r>
          </w:p>
        </w:tc>
        <w:tc>
          <w:tcPr>
            <w:tcW w:w="100" w:type="dxa"/>
            <w:vAlign w:val="bottom"/>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4,860</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External Costs</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80,483</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42,730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37,753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Internal Costs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18,855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13,466</w:t>
            </w:r>
          </w:p>
        </w:tc>
        <w:tc>
          <w:tcPr>
            <w:tcW w:w="100" w:type="dxa"/>
            <w:vAlign w:val="bottom"/>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5,389</w:t>
            </w:r>
          </w:p>
        </w:tc>
        <w:tc>
          <w:tcPr>
            <w:tcW w:w="0" w:type="dxa"/>
            <w:vAlign w:val="bottom"/>
          </w:tcPr>
          <w:p>
            <w:pPr>
              <w:spacing w:after="0"/>
              <w:rPr>
                <w:sz w:val="1"/>
                <w:szCs w:val="1"/>
                <w:color w:val="auto"/>
              </w:rPr>
            </w:pP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Costs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99,338</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56,196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43,142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7"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557" w:right="239" w:bottom="1440" w:gutter="0" w:footer="0" w:header="0"/>
          <w:type w:val="continuous"/>
        </w:sectPr>
      </w:pPr>
    </w:p>
    <w:bookmarkStart w:id="72" w:name="page73"/>
    <w:bookmarkEnd w:id="72"/>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General and administrative expenses were $16.1 million during the year ended December 31, 2019 compared to $15.5 million during the year ended December 31, 2018, for an increase of approximately $0.6 million. The increase is primarily due to an increase in salaries and related expenses, which includes stock compensation expense, from the prior year.</w:t>
      </w:r>
    </w:p>
    <w:p>
      <w:pPr>
        <w:spacing w:after="0" w:line="18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40" w:firstLine="567"/>
        <w:spacing w:after="0" w:line="279" w:lineRule="auto"/>
        <w:rPr>
          <w:sz w:val="20"/>
          <w:szCs w:val="20"/>
          <w:color w:val="auto"/>
        </w:rPr>
      </w:pPr>
      <w:r>
        <w:rPr>
          <w:rFonts w:ascii="Arial" w:cs="Arial" w:eastAsia="Arial" w:hAnsi="Arial"/>
          <w:sz w:val="17"/>
          <w:szCs w:val="17"/>
          <w:color w:val="auto"/>
        </w:rPr>
        <w:t>Interest expense was $1.0 million during the year ended December 31, 2019 and represents effective interest of approximately 12.67% on our outstanding Term Loans, as defined in Part II Item 8—5. Notes Payable, which have a principal balance of $0.6 million as of December 31, 2019. Interest expense was $1.7 million during the year ended December 31, 2018 and primarily represents effective interest of approximately 13.32% on an outstanding principal balance of $8.1 million. On January 1, 2020, the Term Loans were paid in full, without penalty or premium.</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117"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Interest income and other income (expense), net was $11.0 million during the year ended December 31, 2019 and primarily consisted of interest income from our short-term and long-term investments. Interest income and other income (expense), net was $6.5 million during the year ended December 31, 2018 and primarily consisted of interest income of approximately $6.7 million from our short-term and long-term investments and foreign exchange losses of approximately $0.2 million related to our Australian subsidiary.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right="60" w:firstLine="567"/>
        <w:spacing w:after="0" w:line="279" w:lineRule="auto"/>
        <w:rPr>
          <w:sz w:val="20"/>
          <w:szCs w:val="20"/>
          <w:color w:val="auto"/>
        </w:rPr>
      </w:pPr>
      <w:r>
        <w:rPr>
          <w:rFonts w:ascii="Arial" w:cs="Arial" w:eastAsia="Arial" w:hAnsi="Arial"/>
          <w:sz w:val="17"/>
          <w:szCs w:val="17"/>
          <w:color w:val="auto"/>
        </w:rPr>
        <w:t>The income tax benefit was $0.2 million and $0.2 million during the year ended December 31, 2019 and 2018, respectively. The income tax benefit for the year ended December 31, 2019 is primarily related to the allocation of tax benefit to continuing operations offsetting income tax expense recorded in other comprehensive income that is related to unrealized gains. The income tax benefit for the year ended December 31, 2018 is primarily related to a credit for alternative minimum taxes, or AMT, which is eligible for refund under the Tax Cuts and Jobs Act.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567"/>
        <w:spacing w:after="0" w:line="264" w:lineRule="auto"/>
        <w:rPr>
          <w:sz w:val="20"/>
          <w:szCs w:val="20"/>
          <w:color w:val="auto"/>
        </w:rPr>
      </w:pPr>
      <w:r>
        <w:rPr>
          <w:rFonts w:ascii="Arial" w:cs="Arial" w:eastAsia="Arial" w:hAnsi="Arial"/>
          <w:sz w:val="18"/>
          <w:szCs w:val="18"/>
          <w:color w:val="auto"/>
        </w:rPr>
        <w:t>From our inception through December 31, 2019, we have received an aggregate of $728.5 million to fund our operations which included $619.8 million from the sale of equity securities, $89.6 million from our collaboration agreements and $19.1 million from venture debt. As of December 31, 2019, we had $428.5 million in cash, cash equivalents and investments.</w:t>
      </w:r>
    </w:p>
    <w:p>
      <w:pPr>
        <w:spacing w:after="0" w:line="181"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188"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As of December 31, 2019, the future principal maturities of the Term Loans, as defined in Part II Item 8—5. Notes Payable, were $0.6 million. The effective interest rate on the Term Loans at December 31, 2019 was 12.67%. On January 1, 2020, the Term Loans were paid in full, without penalty or premium.</w:t>
      </w:r>
    </w:p>
    <w:p>
      <w:pPr>
        <w:spacing w:after="0" w:line="181"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240" w:top="881"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40" w:firstLine="567"/>
        <w:spacing w:after="0" w:line="276" w:lineRule="auto"/>
        <w:rPr>
          <w:sz w:val="20"/>
          <w:szCs w:val="20"/>
          <w:color w:val="auto"/>
        </w:rPr>
      </w:pPr>
      <w:r>
        <w:rPr>
          <w:rFonts w:ascii="Arial" w:cs="Arial" w:eastAsia="Arial" w:hAnsi="Arial"/>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173" w:lineRule="exact"/>
        <w:rPr>
          <w:sz w:val="20"/>
          <w:szCs w:val="20"/>
          <w:color w:val="auto"/>
        </w:rPr>
      </w:pPr>
    </w:p>
    <w:p>
      <w:pPr>
        <w:ind w:right="120" w:firstLine="567"/>
        <w:spacing w:after="0" w:line="279" w:lineRule="auto"/>
        <w:rPr>
          <w:sz w:val="20"/>
          <w:szCs w:val="20"/>
          <w:color w:val="auto"/>
        </w:rPr>
      </w:pPr>
      <w:r>
        <w:rPr>
          <w:rFonts w:ascii="Arial" w:cs="Arial" w:eastAsia="Arial" w:hAnsi="Arial"/>
          <w:sz w:val="17"/>
          <w:szCs w:val="17"/>
          <w:color w:val="auto"/>
        </w:rPr>
        <w:t>As a publicly traded company, we incur significant legal, accounting and other expenses that were not required as a private company. In addition, the Sarbanes-Oxley Act of 2002, as well as rules adopted by the SEC and The Nasdaq Global Stock Market, requires public companies to implement specified corporate governance practices that were inapplicable to us as a private company. These rules and regulations have increased our legal and financial compliance costs, have made and will continue to make certain activities more time-consuming and costly.</w:t>
      </w:r>
    </w:p>
    <w:p>
      <w:pPr>
        <w:spacing w:after="0" w:line="17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Cash, cash equivalents and investments totaled $428.5 million as of December 31, 2019, compared to $500.2 million as of December 31, 2018. We believe that our existing cash, cash equivalents and investments will fund our current operating plan at least into 2023.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years ended December 31, 2019, 2018 and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1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7"/>
        </w:trPr>
        <w:tc>
          <w:tcPr>
            <w:tcW w:w="6740" w:type="dxa"/>
            <w:vAlign w:val="bottom"/>
            <w:tcBorders>
              <w:bottom w:val="single" w:sz="8" w:color="CFF0FC"/>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(used in) provided by:</w:t>
            </w:r>
          </w:p>
        </w:tc>
        <w:tc>
          <w:tcPr>
            <w:tcW w:w="3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(69,517)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(48,506)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(19,438)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131,431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(142,451)</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(243,058)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223,364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292,453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57,421</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32,407</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29,957</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40" w:firstLine="567"/>
        <w:spacing w:after="0" w:line="264" w:lineRule="auto"/>
        <w:rPr>
          <w:sz w:val="20"/>
          <w:szCs w:val="20"/>
          <w:color w:val="auto"/>
        </w:rPr>
      </w:pPr>
      <w:r>
        <w:rPr>
          <w:rFonts w:ascii="Arial" w:cs="Arial" w:eastAsia="Arial" w:hAnsi="Arial"/>
          <w:sz w:val="18"/>
          <w:szCs w:val="18"/>
          <w:color w:val="auto"/>
        </w:rPr>
        <w:t>Net cash used in operating activities during the year ended December 31, 2019 of $69.5 million was primarily due to our net loss of $97.3 million, adjusted for addbacks for non-cash items of $11.0 million which includes stock-based compensation and income from marketable securities and increases in working capital of $16.9 million.</w:t>
      </w:r>
    </w:p>
    <w:p>
      <w:pPr>
        <w:spacing w:after="0" w:line="73" w:lineRule="exact"/>
        <w:rPr>
          <w:sz w:val="20"/>
          <w:szCs w:val="20"/>
          <w:color w:val="auto"/>
        </w:rPr>
      </w:pPr>
    </w:p>
    <w:p>
      <w:pPr>
        <w:jc w:val="both"/>
        <w:ind w:right="240" w:firstLine="567"/>
        <w:spacing w:after="0" w:line="264" w:lineRule="auto"/>
        <w:rPr>
          <w:sz w:val="20"/>
          <w:szCs w:val="20"/>
          <w:color w:val="auto"/>
        </w:rPr>
      </w:pPr>
      <w:r>
        <w:rPr>
          <w:rFonts w:ascii="Arial" w:cs="Arial" w:eastAsia="Arial" w:hAnsi="Arial"/>
          <w:sz w:val="18"/>
          <w:szCs w:val="18"/>
          <w:color w:val="auto"/>
        </w:rPr>
        <w:t>Net cash used in operating activities during the year ended December 31, 2018 of $48.5 million was primarily due to our net loss of $61.7 million, adjusted for addbacks for non-cash items of $9.7 million which includes stock-based compensation and income from marketable securities and increases in working capital of $3.3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700" w:firstLine="567"/>
        <w:spacing w:after="0" w:line="277" w:lineRule="auto"/>
        <w:rPr>
          <w:sz w:val="20"/>
          <w:szCs w:val="20"/>
          <w:color w:val="auto"/>
        </w:rPr>
      </w:pPr>
      <w:r>
        <w:rPr>
          <w:rFonts w:ascii="Arial" w:cs="Arial" w:eastAsia="Arial" w:hAnsi="Arial"/>
          <w:sz w:val="18"/>
          <w:szCs w:val="18"/>
          <w:color w:val="auto"/>
        </w:rPr>
        <w:t>Cash provided by and used in investing activities during the year ended December 31, 2019 and 2018 was primarily due to the acquisition of investments upon receipt of the proceeds from our IPO and follow-on public offerings, offset by investment maturities.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567"/>
        <w:spacing w:after="0" w:line="308" w:lineRule="auto"/>
        <w:rPr>
          <w:sz w:val="20"/>
          <w:szCs w:val="20"/>
          <w:color w:val="auto"/>
        </w:rPr>
      </w:pPr>
      <w:r>
        <w:rPr>
          <w:rFonts w:ascii="Arial" w:cs="Arial" w:eastAsia="Arial" w:hAnsi="Arial"/>
          <w:sz w:val="17"/>
          <w:szCs w:val="17"/>
          <w:color w:val="auto"/>
        </w:rPr>
        <w:t>Cash used in financing activities during the year ended December 31, 2019 of $4.5 million was primarily related to $7.5 million in repayments on our outstanding Term Loan, offset by proceeds of $3.0 million from the issuance of common stock as a result of option exercises.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877" w:right="239" w:bottom="1440" w:gutter="0" w:footer="0" w:header="0"/>
        </w:sectPr>
      </w:pPr>
    </w:p>
    <w:bookmarkStart w:id="74" w:name="page75"/>
    <w:bookmarkEnd w:id="74"/>
    <w:p>
      <w:pPr>
        <w:jc w:val="both"/>
        <w:ind w:right="20" w:firstLine="567"/>
        <w:spacing w:after="0" w:line="264" w:lineRule="auto"/>
        <w:rPr>
          <w:sz w:val="20"/>
          <w:szCs w:val="20"/>
          <w:color w:val="auto"/>
        </w:rPr>
      </w:pPr>
      <w:r>
        <w:rPr>
          <w:rFonts w:ascii="Arial" w:cs="Arial" w:eastAsia="Arial" w:hAnsi="Arial"/>
          <w:sz w:val="18"/>
          <w:szCs w:val="18"/>
          <w:color w:val="auto"/>
        </w:rPr>
        <w:t>Cash provided by financing activities during the year ended December 31, 2018 of $223.4 million was primarily related to proceeds of $227.5 million from our follow-on public offering, net of underwriting discounts and commissions, as well as proceeds of $2.9 million from the issuance of common stock as a result of option and warrant exercises, offset by $6.9 million in repayments on our outstanding Term Loan.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Payments Due by Period</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3"/>
                <w:szCs w:val="13"/>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0"/>
                <w:szCs w:val="10"/>
                <w:b w:val="1"/>
                <w:bCs w:val="1"/>
                <w:color w:val="auto"/>
              </w:rPr>
              <w:t>(1)</w:t>
            </w:r>
          </w:p>
        </w:tc>
        <w:tc>
          <w:tcPr>
            <w:tcW w:w="300" w:type="dxa"/>
            <w:vAlign w:val="bottom"/>
          </w:tcPr>
          <w:p>
            <w:pPr>
              <w:spacing w:after="0"/>
              <w:rPr>
                <w:sz w:val="13"/>
                <w:szCs w:val="13"/>
                <w:color w:val="auto"/>
              </w:rPr>
            </w:pPr>
          </w:p>
        </w:tc>
        <w:tc>
          <w:tcPr>
            <w:tcW w:w="14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Less Than</w:t>
            </w:r>
          </w:p>
        </w:tc>
        <w:tc>
          <w:tcPr>
            <w:tcW w:w="380" w:type="dxa"/>
            <w:vAlign w:val="bottom"/>
          </w:tcPr>
          <w:p>
            <w:pPr>
              <w:spacing w:after="0"/>
              <w:rPr>
                <w:sz w:val="13"/>
                <w:szCs w:val="13"/>
                <w:color w:val="auto"/>
              </w:rPr>
            </w:pPr>
          </w:p>
        </w:tc>
        <w:tc>
          <w:tcPr>
            <w:tcW w:w="1200" w:type="dxa"/>
            <w:vAlign w:val="bottom"/>
          </w:tcPr>
          <w:p>
            <w:pPr>
              <w:jc w:val="right"/>
              <w:ind w:right="599"/>
              <w:spacing w:after="0" w:line="153" w:lineRule="exact"/>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3"/>
                <w:szCs w:val="13"/>
                <w:color w:val="auto"/>
              </w:rPr>
            </w:pPr>
          </w:p>
        </w:tc>
        <w:tc>
          <w:tcPr>
            <w:tcW w:w="112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rPr>
              <w:t>3-5</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29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1 Year</w:t>
            </w:r>
          </w:p>
        </w:tc>
        <w:tc>
          <w:tcPr>
            <w:tcW w:w="38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Years</w:t>
            </w:r>
          </w:p>
        </w:tc>
        <w:tc>
          <w:tcPr>
            <w:tcW w:w="1120" w:type="dxa"/>
            <w:vAlign w:val="bottom"/>
          </w:tcPr>
          <w:p>
            <w:pPr>
              <w:jc w:val="right"/>
              <w:ind w:right="79"/>
              <w:spacing w:after="0"/>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5"/>
        </w:trPr>
        <w:tc>
          <w:tcPr>
            <w:tcW w:w="2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Notes payable, including interest and</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final payment fee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lease obligation</w:t>
            </w:r>
            <w:r>
              <w:rPr>
                <w:rFonts w:ascii="Arial" w:cs="Arial" w:eastAsia="Arial" w:hAnsi="Arial"/>
                <w:sz w:val="21"/>
                <w:szCs w:val="21"/>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2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right="160" w:hanging="249"/>
        <w:spacing w:after="0" w:line="256" w:lineRule="auto"/>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Future minimum annual obligations for license payments under all collaborative in-license agreements at December 31, 2019 were $0.2 million in fiscal 2020 and in the years thereafter. These obligations are excluded from the table above as the annual minimum payments are payable through ten years from the first commercial sale, if any, or expiration of the last patent to expire, the dates of which are not determinable at this time.</w:t>
      </w:r>
    </w:p>
    <w:p>
      <w:pPr>
        <w:ind w:left="500" w:hanging="249"/>
        <w:spacing w:after="0" w:line="180" w:lineRule="auto"/>
        <w:tabs>
          <w:tab w:leader="none" w:pos="50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Operating lease obligation includes future rent payments under our office leases, which both expire in 2021.</w:t>
      </w:r>
    </w:p>
    <w:p>
      <w:pPr>
        <w:spacing w:after="0" w:line="202"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cancelable contracts and not included in the table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80" w:firstLine="567"/>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65" w:right="239" w:bottom="1440" w:gutter="0" w:footer="0" w:header="0"/>
        </w:sectPr>
      </w:pPr>
    </w:p>
    <w:bookmarkStart w:id="75" w:name="page76"/>
    <w:bookmarkEnd w:id="75"/>
    <w:p>
      <w:pPr>
        <w:ind w:right="60"/>
        <w:spacing w:after="0" w:line="259" w:lineRule="auto"/>
        <w:rPr>
          <w:sz w:val="20"/>
          <w:szCs w:val="20"/>
          <w:color w:val="auto"/>
        </w:rPr>
      </w:pPr>
      <w:r>
        <w:rPr>
          <w:rFonts w:ascii="Arial" w:cs="Arial" w:eastAsia="Arial" w:hAnsi="Arial"/>
          <w:sz w:val="18"/>
          <w:szCs w:val="18"/>
          <w:color w:val="auto"/>
        </w:rPr>
        <w:t>maturities, we do not believe that an increase or decrease in market rates would have a significant impact on the realized values or the statements of operations and comprehensive loss. As of December 31, 2019, we held $257.5 million in debt securities with for which the accumulated other comprehensive income was $0.3 million. As such, we believe that should a 10.0% change in interest rates were to have occurred on December 31, 2019, this change would not have had a material effect on the fair value of our investment portfolio as of that date.</w:t>
      </w:r>
    </w:p>
    <w:p>
      <w:pPr>
        <w:spacing w:after="0" w:line="187"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We are also subject to interest expense fluctuations through our Term Loans, as discussed in Part II Item 8—5. Notes Payable, which as of December 31, 2019 bear interest equal to the greater of 3-month U.S. LIBOR plus 6.37% or 7.3% and are therefore exposed to changes in interest rates through their maturity date of January 2020. The rate was 8.28% as of December 31, 2019 on a remaining balance of $0.6 million. If interest rates had been 10% higher/lower and all other variables were held constant, operating income would decrease/increase by less than $0.1 million. Therefore we do not believe that our financial condition or results of operations would be materially impacted by an immediate change of 10% in interest rates.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80" w:firstLine="567"/>
        <w:spacing w:after="0" w:line="269" w:lineRule="auto"/>
        <w:rPr>
          <w:sz w:val="20"/>
          <w:szCs w:val="20"/>
          <w:color w:val="auto"/>
        </w:rPr>
      </w:pPr>
      <w:r>
        <w:rPr>
          <w:rFonts w:ascii="Arial" w:cs="Arial" w:eastAsia="Arial" w:hAnsi="Arial"/>
          <w:sz w:val="17"/>
          <w:szCs w:val="17"/>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were less than $0.1 million during the year ended December 31, 2019. We believe that our foreign currency exposure is limited at this time as the value of transactions and the asset and liability balances denominated in foreign currencies are relatively small. Further, we do not believe that our financial condition or results of operations would be materially impacted by an immediate change of 10% in exchange rate of the foreign currencies in which we have transactions denominated, as exchange rates have fluctuated over 10% throughout the year ended December 31, 2019 from a low of 0.6701 to a high of 0.7269 with a net impact of less than $0.1 million to the consolidated statement of operations.</w:t>
      </w:r>
    </w:p>
    <w:p>
      <w:pPr>
        <w:spacing w:after="0" w:line="18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December 31, 2019, we had no accounts payable or receivable denominated in foreign currencies, and a hypothetical 10% change in foreign currency exchange rates applicable to our business would not have had a material impact on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Inflation generally affects us by increasing our clinical trial costs. We do not believe that inflation has had a material effect on our business, financial condition or results of operations during the years ended December 31, 2019, 2018 or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73"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AUDITED CONSOLIDATED FINANCIAL STATEMENTS</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80" w:type="dxa"/>
            <w:vAlign w:val="bottom"/>
          </w:tcPr>
          <w:p>
            <w:pPr>
              <w:jc w:val="right"/>
              <w:ind w:right="153"/>
              <w:spacing w:after="0"/>
              <w:rPr>
                <w:sz w:val="20"/>
                <w:szCs w:val="20"/>
                <w:color w:val="auto"/>
              </w:rPr>
            </w:pPr>
            <w:r>
              <w:rPr>
                <w:rFonts w:ascii="Arial" w:cs="Arial" w:eastAsia="Arial" w:hAnsi="Arial"/>
                <w:sz w:val="14"/>
                <w:szCs w:val="14"/>
                <w:b w:val="1"/>
                <w:bCs w:val="1"/>
                <w:color w:val="auto"/>
              </w:rPr>
              <w:t>Page</w:t>
            </w:r>
          </w:p>
        </w:tc>
      </w:tr>
      <w:tr>
        <w:trPr>
          <w:trHeight w:val="215"/>
        </w:trPr>
        <w:tc>
          <w:tcPr>
            <w:tcW w:w="42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Report of Independent Registered Public Accounting Firm</w:t>
              </w:r>
            </w:hyperlink>
          </w:p>
        </w:tc>
        <w:tc>
          <w:tcPr>
            <w:tcW w:w="4660" w:type="dxa"/>
            <w:vAlign w:val="bottom"/>
            <w:gridSpan w:val="3"/>
          </w:tcPr>
          <w:p>
            <w:pPr>
              <w:spacing w:after="0"/>
              <w:rPr>
                <w:sz w:val="18"/>
                <w:szCs w:val="18"/>
                <w:color w:val="auto"/>
              </w:rPr>
            </w:pPr>
          </w:p>
        </w:tc>
        <w:tc>
          <w:tcPr>
            <w:tcW w:w="248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75</w:t>
              </w:r>
            </w:hyperlink>
          </w:p>
        </w:tc>
      </w:tr>
      <w:tr>
        <w:trPr>
          <w:trHeight w:val="250"/>
        </w:trPr>
        <w:tc>
          <w:tcPr>
            <w:tcW w:w="25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Financial Statements</w:t>
              </w:r>
            </w:hyperlink>
          </w:p>
        </w:tc>
        <w:tc>
          <w:tcPr>
            <w:tcW w:w="6380" w:type="dxa"/>
            <w:vAlign w:val="bottom"/>
            <w:gridSpan w:val="6"/>
          </w:tcPr>
          <w:p>
            <w:pPr>
              <w:spacing w:after="0"/>
              <w:rPr>
                <w:sz w:val="21"/>
                <w:szCs w:val="21"/>
                <w:color w:val="auto"/>
              </w:rPr>
            </w:pPr>
          </w:p>
        </w:tc>
        <w:tc>
          <w:tcPr>
            <w:tcW w:w="248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Consolidated Balance Sheets</w:t>
              </w:r>
            </w:hyperlink>
          </w:p>
        </w:tc>
        <w:tc>
          <w:tcPr>
            <w:tcW w:w="6440" w:type="dxa"/>
            <w:vAlign w:val="bottom"/>
            <w:gridSpan w:val="7"/>
          </w:tcPr>
          <w:p>
            <w:pPr>
              <w:spacing w:after="0"/>
              <w:rPr>
                <w:sz w:val="21"/>
                <w:szCs w:val="21"/>
                <w:color w:val="auto"/>
              </w:rPr>
            </w:pPr>
          </w:p>
        </w:tc>
        <w:tc>
          <w:tcPr>
            <w:tcW w:w="248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77</w:t>
              </w:r>
            </w:hyperlink>
          </w:p>
        </w:tc>
      </w:tr>
      <w:tr>
        <w:trPr>
          <w:trHeight w:val="250"/>
        </w:trPr>
        <w:tc>
          <w:tcPr>
            <w:tcW w:w="340" w:type="dxa"/>
            <w:vAlign w:val="bottom"/>
          </w:tcPr>
          <w:p>
            <w:pPr>
              <w:spacing w:after="0"/>
              <w:rPr>
                <w:sz w:val="21"/>
                <w:szCs w:val="21"/>
                <w:color w:val="auto"/>
              </w:rPr>
            </w:pPr>
          </w:p>
        </w:tc>
        <w:tc>
          <w:tcPr>
            <w:tcW w:w="8540" w:type="dxa"/>
            <w:vAlign w:val="bottom"/>
            <w:gridSpan w:val="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Statements of Operations and Comprehensive Loss</w:t>
              </w:r>
            </w:hyperlink>
          </w:p>
        </w:tc>
        <w:tc>
          <w:tcPr>
            <w:tcW w:w="248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78</w:t>
              </w:r>
            </w:hyperlink>
          </w:p>
        </w:tc>
      </w:tr>
      <w:tr>
        <w:trPr>
          <w:trHeight w:val="20"/>
        </w:trPr>
        <w:tc>
          <w:tcPr>
            <w:tcW w:w="34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540" w:type="dxa"/>
            <w:vAlign w:val="bottom"/>
            <w:gridSpan w:val="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Convertible Preferred Stock and Stockholders’ Equity (Deficit)</w:t>
              </w:r>
            </w:hyperlink>
          </w:p>
        </w:tc>
        <w:tc>
          <w:tcPr>
            <w:tcW w:w="248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79</w:t>
              </w:r>
            </w:hyperlink>
          </w:p>
        </w:tc>
      </w:tr>
      <w:tr>
        <w:trPr>
          <w:trHeight w:val="250"/>
        </w:trPr>
        <w:tc>
          <w:tcPr>
            <w:tcW w:w="340" w:type="dxa"/>
            <w:vAlign w:val="bottom"/>
          </w:tcPr>
          <w:p>
            <w:pPr>
              <w:spacing w:after="0"/>
              <w:rPr>
                <w:sz w:val="21"/>
                <w:szCs w:val="21"/>
                <w:color w:val="auto"/>
              </w:rPr>
            </w:pPr>
          </w:p>
        </w:tc>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Cash Flows</w:t>
              </w:r>
            </w:hyperlink>
          </w:p>
        </w:tc>
        <w:tc>
          <w:tcPr>
            <w:tcW w:w="3700" w:type="dxa"/>
            <w:vAlign w:val="bottom"/>
            <w:tcBorders>
              <w:top w:val="single" w:sz="8" w:color="0000EE"/>
            </w:tcBorders>
            <w:gridSpan w:val="4"/>
          </w:tcPr>
          <w:p>
            <w:pPr>
              <w:spacing w:after="0"/>
              <w:rPr>
                <w:sz w:val="21"/>
                <w:szCs w:val="21"/>
                <w:color w:val="auto"/>
              </w:rPr>
            </w:pPr>
          </w:p>
        </w:tc>
        <w:tc>
          <w:tcPr>
            <w:tcW w:w="1960" w:type="dxa"/>
            <w:vAlign w:val="bottom"/>
          </w:tcPr>
          <w:p>
            <w:pPr>
              <w:spacing w:after="0"/>
              <w:rPr>
                <w:sz w:val="21"/>
                <w:szCs w:val="21"/>
                <w:color w:val="auto"/>
              </w:rPr>
            </w:pPr>
          </w:p>
        </w:tc>
        <w:tc>
          <w:tcPr>
            <w:tcW w:w="248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80</w:t>
              </w:r>
            </w:hyperlink>
          </w:p>
        </w:tc>
      </w:tr>
      <w:tr>
        <w:trPr>
          <w:trHeight w:val="250"/>
        </w:trPr>
        <w:tc>
          <w:tcPr>
            <w:tcW w:w="340" w:type="dxa"/>
            <w:vAlign w:val="bottom"/>
          </w:tcPr>
          <w:p>
            <w:pPr>
              <w:spacing w:after="0"/>
              <w:rPr>
                <w:sz w:val="21"/>
                <w:szCs w:val="21"/>
                <w:color w:val="auto"/>
              </w:rPr>
            </w:pPr>
          </w:p>
        </w:tc>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Notes to Consolidated Financial Statements</w:t>
              </w:r>
            </w:hyperlink>
          </w:p>
        </w:tc>
        <w:tc>
          <w:tcPr>
            <w:tcW w:w="5380" w:type="dxa"/>
            <w:vAlign w:val="bottom"/>
            <w:gridSpan w:val="4"/>
          </w:tcPr>
          <w:p>
            <w:pPr>
              <w:spacing w:after="0"/>
              <w:rPr>
                <w:sz w:val="21"/>
                <w:szCs w:val="21"/>
                <w:color w:val="auto"/>
              </w:rPr>
            </w:pPr>
          </w:p>
        </w:tc>
        <w:tc>
          <w:tcPr>
            <w:tcW w:w="248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81</w:t>
              </w:r>
            </w:hyperlink>
          </w:p>
        </w:tc>
      </w:tr>
      <w:tr>
        <w:trPr>
          <w:trHeight w:val="696"/>
        </w:trPr>
        <w:tc>
          <w:tcPr>
            <w:tcW w:w="6920" w:type="dxa"/>
            <w:vAlign w:val="bottom"/>
            <w:gridSpan w:val="8"/>
          </w:tcPr>
          <w:p>
            <w:pPr>
              <w:jc w:val="right"/>
              <w:ind w:right="1160"/>
              <w:spacing w:after="0"/>
              <w:rPr>
                <w:sz w:val="20"/>
                <w:szCs w:val="20"/>
                <w:color w:val="auto"/>
              </w:rPr>
            </w:pPr>
            <w:r>
              <w:rPr>
                <w:rFonts w:ascii="Arial" w:cs="Arial" w:eastAsia="Arial" w:hAnsi="Arial"/>
                <w:sz w:val="18"/>
                <w:szCs w:val="18"/>
                <w:color w:val="auto"/>
              </w:rPr>
              <w:t>74</w:t>
            </w:r>
          </w:p>
        </w:tc>
        <w:tc>
          <w:tcPr>
            <w:tcW w:w="196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1400"/>
          </w:cols>
          <w:pgMar w:left="240" w:top="553" w:right="25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have audited the accompanying consolidated balance sheets of AnaptysBio, Inc. and subsidiary (the Company) as of December 31, 2019 and 2018, the related consolidated statements of operations and comprehensive loss, convertible preferred stock and stockholders’ equity (deficit),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in conformity with U.S. generally accepted accounting principles.</w:t>
      </w:r>
    </w:p>
    <w:p>
      <w:pPr>
        <w:spacing w:after="0" w:line="1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2, 2020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Evaluation of Research and Development Costs</w:t>
      </w:r>
    </w:p>
    <w:p>
      <w:pPr>
        <w:spacing w:after="0" w:line="90" w:lineRule="exact"/>
        <w:rPr>
          <w:sz w:val="20"/>
          <w:szCs w:val="20"/>
          <w:color w:val="auto"/>
        </w:rPr>
      </w:pPr>
    </w:p>
    <w:p>
      <w:pPr>
        <w:ind w:left="660" w:right="100"/>
        <w:spacing w:after="0" w:line="254" w:lineRule="auto"/>
        <w:rPr>
          <w:sz w:val="20"/>
          <w:szCs w:val="20"/>
          <w:color w:val="auto"/>
        </w:rPr>
      </w:pPr>
      <w:r>
        <w:rPr>
          <w:rFonts w:ascii="Arial" w:cs="Arial" w:eastAsia="Arial" w:hAnsi="Arial"/>
          <w:sz w:val="18"/>
          <w:szCs w:val="18"/>
          <w:color w:val="auto"/>
        </w:rPr>
        <w:t>As discussed in Note 2 to the consolidated financial statements, the Company has entered into various contracts with third parties to perform research and development, including clinical manufacturing. When billing terms under these contracts do not coincide with the timing of when the work is performed, the Company makes estimates of the costs incurred by third parties during the period and the outstanding obligations to those third parties as of period end. Estimates of costs incurred during the period that are included in period-end prepaid or accrued expense balances are based on a number of factors, including the Company’s knowledge of the research and development programs and clinical manufacturing activities associated with project status and milestones, invoicing to date, and the provisions in the contract. Significant judgments and estimates are made by the Company in determining the costs incurred during the period that are included in prepaid or accrued expense balances at the end of each reporting period.</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553" w:right="279" w:bottom="1440" w:gutter="0" w:footer="0" w:header="0"/>
        </w:sectPr>
      </w:pPr>
    </w:p>
    <w:bookmarkStart w:id="78" w:name="page79"/>
    <w:bookmarkEnd w:id="78"/>
    <w:p>
      <w:pPr>
        <w:ind w:left="660" w:right="40"/>
        <w:spacing w:after="0" w:line="302" w:lineRule="auto"/>
        <w:rPr>
          <w:sz w:val="20"/>
          <w:szCs w:val="20"/>
          <w:color w:val="auto"/>
        </w:rPr>
      </w:pPr>
      <w:r>
        <w:rPr>
          <w:rFonts w:ascii="Arial" w:cs="Arial" w:eastAsia="Arial" w:hAnsi="Arial"/>
          <w:sz w:val="16"/>
          <w:szCs w:val="16"/>
          <w:color w:val="auto"/>
        </w:rPr>
        <w:t>We identified the evaluation of research and development costs as a critical audit matter. These estimates are based on a number of factors that can be challenging to assess, including the Company’s knowledge of the status of research and development programs and associated completion status, project milestones achieved, raw materials used in manufacturing, and, for larger clinical trials, per patient costs, patient enrollment status, project costs, and site costs. Significant auditor judgment, subjectivity, and effort were required to evaluate the assumptions and inputs to these estimates.</w:t>
      </w:r>
    </w:p>
    <w:p>
      <w:pPr>
        <w:spacing w:after="0" w:line="114"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The primary procedures we performed to address this critical audit matter included the following. We tested certain internal controls over the Company’s process to estimate the research and development costs incurred during the period, including controls related to the determination of the assumptions and inputs to the estimate. On a sample basis, we examined underlying documentation and third-party confirmations and compared them to the assumptions and inputs that are described above. We assessed the Company’s estimate of costs incurred as of December 31, 2019, which included examining invoices received after December 31, 2019, but prior to the issuance of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557" w:right="29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w:t>
      </w:r>
    </w:p>
    <w:p>
      <w:pPr>
        <w:spacing w:after="0" w:line="216" w:lineRule="exact"/>
        <w:rPr>
          <w:sz w:val="20"/>
          <w:szCs w:val="20"/>
          <w:color w:val="auto"/>
        </w:rPr>
      </w:pPr>
    </w:p>
    <w:p>
      <w:pPr>
        <w:jc w:val="right"/>
        <w:ind w:right="200"/>
        <w:spacing w:after="0"/>
        <w:tabs>
          <w:tab w:leader="none" w:pos="1140" w:val="left"/>
        </w:tabs>
        <w:rPr>
          <w:sz w:val="20"/>
          <w:szCs w:val="20"/>
          <w:color w:val="auto"/>
        </w:rPr>
      </w:pPr>
      <w:r>
        <w:rPr>
          <w:rFonts w:ascii="Arial" w:cs="Arial" w:eastAsia="Arial" w:hAnsi="Arial"/>
          <w:sz w:val="14"/>
          <w:szCs w:val="14"/>
          <w:b w:val="1"/>
          <w:bCs w:val="1"/>
          <w:color w:val="auto"/>
        </w:rPr>
        <w:t>December 31, 2019</w:t>
      </w:r>
      <w:r>
        <w:rPr>
          <w:sz w:val="20"/>
          <w:szCs w:val="20"/>
          <w:color w:val="auto"/>
        </w:rPr>
        <w:tab/>
      </w:r>
      <w:r>
        <w:rPr>
          <w:rFonts w:ascii="Arial" w:cs="Arial" w:eastAsia="Arial" w:hAnsi="Arial"/>
          <w:sz w:val="12"/>
          <w:szCs w:val="12"/>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23495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380"/>
          </w:cols>
          <w:pgMar w:left="280" w:top="553" w:right="239" w:bottom="1440" w:gutter="0" w:footer="0" w:header="0"/>
        </w:sectPr>
      </w:pPr>
    </w:p>
    <w:p>
      <w:pPr>
        <w:spacing w:after="0" w:line="50"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8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Australian tax incentive receivable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Other long-term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spacing w:after="0"/>
              <w:rPr>
                <w:sz w:val="20"/>
                <w:szCs w:val="20"/>
                <w:color w:val="auto"/>
              </w:rPr>
            </w:pPr>
            <w:r>
              <w:rPr>
                <w:rFonts w:ascii="Arial" w:cs="Arial" w:eastAsia="Arial" w:hAnsi="Arial"/>
                <w:sz w:val="16"/>
                <w:szCs w:val="16"/>
                <w:color w:val="auto"/>
              </w:rPr>
              <w:t>Accounts payable</w:t>
            </w:r>
          </w:p>
        </w:tc>
        <w:tc>
          <w:tcPr>
            <w:tcW w:w="3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140" w:type="dxa"/>
            <w:vAlign w:val="bottom"/>
          </w:tcPr>
          <w:p>
            <w:pPr>
              <w:spacing w:after="0"/>
              <w:rPr>
                <w:sz w:val="20"/>
                <w:szCs w:val="20"/>
                <w:color w:val="auto"/>
              </w:rPr>
            </w:pPr>
            <w:r>
              <w:rPr>
                <w:rFonts w:ascii="Arial" w:cs="Arial" w:eastAsia="Arial" w:hAnsi="Arial"/>
                <w:sz w:val="16"/>
                <w:szCs w:val="16"/>
                <w:color w:val="auto"/>
              </w:rPr>
              <w:t>Accrued expenses</w:t>
            </w:r>
          </w:p>
        </w:tc>
        <w:tc>
          <w:tcPr>
            <w:tcW w:w="3040" w:type="dxa"/>
            <w:vAlign w:val="bottom"/>
          </w:tcPr>
          <w:p>
            <w:pPr>
              <w:spacing w:after="0"/>
              <w:rPr>
                <w:sz w:val="22"/>
                <w:szCs w:val="22"/>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6"/>
                <w:szCs w:val="16"/>
                <w:color w:val="auto"/>
              </w:rPr>
              <w:t>Notes payable, current portion</w:t>
            </w:r>
          </w:p>
        </w:tc>
        <w:tc>
          <w:tcPr>
            <w:tcW w:w="3040" w:type="dxa"/>
            <w:vAlign w:val="bottom"/>
          </w:tcPr>
          <w:p>
            <w:pPr>
              <w:spacing w:after="0"/>
              <w:rPr>
                <w:sz w:val="23"/>
                <w:szCs w:val="23"/>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3040" w:type="dxa"/>
            <w:vAlign w:val="bottom"/>
          </w:tcPr>
          <w:p>
            <w:pPr>
              <w:spacing w:after="0"/>
              <w:rPr>
                <w:sz w:val="23"/>
                <w:szCs w:val="23"/>
                <w:color w:val="auto"/>
              </w:rPr>
            </w:pPr>
          </w:p>
        </w:tc>
      </w:tr>
      <w:tr>
        <w:trPr>
          <w:trHeight w:val="270"/>
        </w:trPr>
        <w:tc>
          <w:tcPr>
            <w:tcW w:w="514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3040" w:type="dxa"/>
            <w:vAlign w:val="bottom"/>
          </w:tcPr>
          <w:p>
            <w:pPr>
              <w:spacing w:after="0"/>
              <w:rPr>
                <w:sz w:val="23"/>
                <w:szCs w:val="23"/>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0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-827405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-484505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-141605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Preferred stock, $0.001 par value, 10,000 shares authorized and no shares, issued or outstanding at December 31, 2019 and December 31, 2018, respectively</w:t>
      </w:r>
    </w:p>
    <w:p>
      <w:pPr>
        <w:spacing w:after="0" w:line="23"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Common stock, $0.001 par value, 500,000 shares authorized, 27,255 shares and 26,922 shares issued and outstanding at December 31, 2019 and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Additional paid in capital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liabilities, preferred stock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171,017</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113,596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203,210</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313,486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3,506</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6,960</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377,733</w:t>
            </w: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434,216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1,618</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1,445</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54,305</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73,128</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1,481</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148</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435,197</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508,997</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31"/>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16,237</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5,443</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11,052</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8,761</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1,375</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7,574</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871</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29,535</w:t>
            </w: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21,836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654</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796</w:t>
            </w:r>
          </w:p>
        </w:tc>
      </w:tr>
      <w:tr>
        <w:trPr>
          <w:trHeight w:val="743"/>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3"/>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5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648,669</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633,251</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338</w:t>
            </w: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(244,026)</w:t>
            </w: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(146,690)</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405,008</w:t>
            </w: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486,365</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435,197</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508,997</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-8255</wp:posOffset>
            </wp:positionV>
            <wp:extent cx="1029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-368300</wp:posOffset>
            </wp:positionV>
            <wp:extent cx="1029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-1997710</wp:posOffset>
            </wp:positionV>
            <wp:extent cx="1029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-3018155</wp:posOffset>
            </wp:positionV>
            <wp:extent cx="1029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-4064000</wp:posOffset>
            </wp:positionV>
            <wp:extent cx="1029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720"/>
            <w:col w:w="2400"/>
          </w:cols>
          <w:pgMar w:left="280" w:top="553" w:right="239" w:bottom="1440" w:gutter="0" w:footer="0" w:header="0"/>
          <w:type w:val="continuous"/>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80" w:top="553"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8"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13335</wp:posOffset>
            </wp:positionV>
            <wp:extent cx="2529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56"/>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Collaboration revenue</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8,000</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10,000</w:t>
            </w:r>
          </w:p>
        </w:tc>
      </w:tr>
      <w:tr>
        <w:trPr>
          <w:trHeight w:val="204"/>
        </w:trPr>
        <w:tc>
          <w:tcPr>
            <w:tcW w:w="74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60"/>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99,338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56,196</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29,443</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16,094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15,526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9,338</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115,432</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71,722</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38,781</w:t>
            </w:r>
          </w:p>
        </w:tc>
      </w:tr>
      <w:tr>
        <w:trPr>
          <w:trHeight w:val="217"/>
        </w:trPr>
        <w:tc>
          <w:tcPr>
            <w:tcW w:w="744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(107,432)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(66,722)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(28,781)</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744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60"/>
        </w:trPr>
        <w:tc>
          <w:tcPr>
            <w:tcW w:w="744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(1,775)</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(1,366)</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10,984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6,685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1,623</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Other (expense) income, net</w:t>
            </w: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229</w:t>
            </w:r>
          </w:p>
        </w:tc>
      </w:tr>
      <w:tr>
        <w:trPr>
          <w:trHeight w:val="217"/>
        </w:trPr>
        <w:tc>
          <w:tcPr>
            <w:tcW w:w="7440" w:type="dxa"/>
            <w:vAlign w:val="bottom"/>
          </w:tcPr>
          <w:p>
            <w:pPr>
              <w:ind w:left="5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9,944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4,874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(1,289)</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(97,488)</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(61,848)</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(30,070)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(97,336)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(61,656)</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(30,070)</w:t>
            </w:r>
          </w:p>
        </w:tc>
      </w:tr>
      <w:tr>
        <w:trPr>
          <w:trHeight w:val="204"/>
        </w:trPr>
        <w:tc>
          <w:tcPr>
            <w:tcW w:w="74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60"/>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7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w w:val="99"/>
              </w:rPr>
              <w:t>Unrealized income (loss) on available for sale securities, net of tax of $153, $55, and $0, respectively</w:t>
            </w: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(426)</w:t>
            </w:r>
          </w:p>
        </w:tc>
      </w:tr>
      <w:tr>
        <w:trPr>
          <w:trHeight w:val="217"/>
        </w:trPr>
        <w:tc>
          <w:tcPr>
            <w:tcW w:w="7440" w:type="dxa"/>
            <w:vAlign w:val="bottom"/>
          </w:tcPr>
          <w:p>
            <w:pPr>
              <w:ind w:left="760"/>
              <w:spacing w:after="0"/>
              <w:rPr>
                <w:sz w:val="20"/>
                <w:szCs w:val="20"/>
                <w:color w:val="auto"/>
              </w:rPr>
            </w:pPr>
            <w:r>
              <w:rPr>
                <w:rFonts w:ascii="Arial" w:cs="Arial" w:eastAsia="Arial" w:hAnsi="Arial"/>
                <w:sz w:val="16"/>
                <w:szCs w:val="16"/>
                <w:color w:val="auto"/>
              </w:rPr>
              <w:t>Comprehensive loss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(96,775)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(61,453)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(30,496)</w:t>
            </w:r>
          </w:p>
        </w:tc>
      </w:tr>
      <w:tr>
        <w:trPr>
          <w:trHeight w:val="73"/>
        </w:trPr>
        <w:tc>
          <w:tcPr>
            <w:tcW w:w="744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77"/>
        </w:trPr>
        <w:tc>
          <w:tcPr>
            <w:tcW w:w="7440" w:type="dxa"/>
            <w:vAlign w:val="bottom"/>
            <w:shd w:val="clear" w:color="auto" w:fill="CFF0FC"/>
          </w:tcPr>
          <w:p>
            <w:pPr>
              <w:ind w:left="40"/>
              <w:spacing w:after="0" w:line="177" w:lineRule="exact"/>
              <w:rPr>
                <w:sz w:val="20"/>
                <w:szCs w:val="20"/>
                <w:color w:val="auto"/>
              </w:rPr>
            </w:pPr>
            <w:r>
              <w:rPr>
                <w:rFonts w:ascii="Arial" w:cs="Arial" w:eastAsia="Arial" w:hAnsi="Arial"/>
                <w:sz w:val="16"/>
                <w:szCs w:val="16"/>
                <w:color w:val="auto"/>
              </w:rPr>
              <w:t>Net loss per common share:</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74"/>
        </w:trPr>
        <w:tc>
          <w:tcPr>
            <w:tcW w:w="744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73"/>
        </w:trPr>
        <w:tc>
          <w:tcPr>
            <w:tcW w:w="744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77"/>
        </w:trPr>
        <w:tc>
          <w:tcPr>
            <w:tcW w:w="7440" w:type="dxa"/>
            <w:vAlign w:val="bottom"/>
            <w:shd w:val="clear" w:color="auto" w:fill="CFF0FC"/>
          </w:tcPr>
          <w:p>
            <w:pPr>
              <w:ind w:left="4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74"/>
        </w:trPr>
        <w:tc>
          <w:tcPr>
            <w:tcW w:w="744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27,059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24,673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19,782</w:t>
            </w:r>
          </w:p>
        </w:tc>
      </w:tr>
      <w:tr>
        <w:trPr>
          <w:trHeight w:val="33"/>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53"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CONVERTIBLE PREFERRED STOCK AND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00" w:type="dxa"/>
            <w:vAlign w:val="bottom"/>
          </w:tcPr>
          <w:p>
            <w:pPr>
              <w:spacing w:after="0"/>
              <w:rPr>
                <w:sz w:val="10"/>
                <w:szCs w:val="10"/>
                <w:color w:val="auto"/>
              </w:rPr>
            </w:pPr>
          </w:p>
        </w:tc>
        <w:tc>
          <w:tcPr>
            <w:tcW w:w="14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6"/>
              </w:rPr>
              <w:t>Series B</w:t>
            </w:r>
          </w:p>
        </w:tc>
        <w:tc>
          <w:tcPr>
            <w:tcW w:w="140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6"/>
              </w:rPr>
              <w:t>Series C</w:t>
            </w:r>
          </w:p>
        </w:tc>
        <w:tc>
          <w:tcPr>
            <w:tcW w:w="136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89"/>
              </w:rPr>
              <w:t>Series C-1</w:t>
            </w:r>
          </w:p>
        </w:tc>
        <w:tc>
          <w:tcPr>
            <w:tcW w:w="132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6"/>
              </w:rPr>
              <w:t>Series 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420" w:type="dxa"/>
            <w:vAlign w:val="bottom"/>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400" w:type="dxa"/>
            <w:vAlign w:val="bottom"/>
            <w:gridSpan w:val="5"/>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360" w:type="dxa"/>
            <w:vAlign w:val="bottom"/>
            <w:gridSpan w:val="5"/>
          </w:tcPr>
          <w:p>
            <w:pPr>
              <w:jc w:val="center"/>
              <w:ind w:right="6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320" w:type="dxa"/>
            <w:vAlign w:val="bottom"/>
            <w:gridSpan w:val="5"/>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142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1400" w:type="dxa"/>
            <w:vAlign w:val="bottom"/>
            <w:gridSpan w:val="5"/>
            <w:vMerge w:val="restart"/>
          </w:tcPr>
          <w:p>
            <w:pPr>
              <w:jc w:val="center"/>
              <w:ind w:right="100"/>
              <w:spacing w:after="0"/>
              <w:rPr>
                <w:sz w:val="20"/>
                <w:szCs w:val="20"/>
                <w:color w:val="auto"/>
              </w:rPr>
            </w:pPr>
            <w:r>
              <w:rPr>
                <w:rFonts w:ascii="Arial" w:cs="Arial" w:eastAsia="Arial" w:hAnsi="Arial"/>
                <w:sz w:val="11"/>
                <w:szCs w:val="11"/>
                <w:b w:val="1"/>
                <w:bCs w:val="1"/>
                <w:color w:val="auto"/>
                <w:w w:val="90"/>
              </w:rPr>
              <w:t>Preferred Stock</w:t>
            </w:r>
          </w:p>
        </w:tc>
        <w:tc>
          <w:tcPr>
            <w:tcW w:w="1360" w:type="dxa"/>
            <w:vAlign w:val="bottom"/>
            <w:gridSpan w:val="5"/>
            <w:vMerge w:val="restart"/>
          </w:tcPr>
          <w:p>
            <w:pPr>
              <w:jc w:val="center"/>
              <w:ind w:right="60"/>
              <w:spacing w:after="0"/>
              <w:rPr>
                <w:sz w:val="20"/>
                <w:szCs w:val="20"/>
                <w:color w:val="auto"/>
              </w:rPr>
            </w:pPr>
            <w:r>
              <w:rPr>
                <w:rFonts w:ascii="Arial" w:cs="Arial" w:eastAsia="Arial" w:hAnsi="Arial"/>
                <w:sz w:val="11"/>
                <w:szCs w:val="11"/>
                <w:b w:val="1"/>
                <w:bCs w:val="1"/>
                <w:color w:val="auto"/>
                <w:w w:val="90"/>
              </w:rPr>
              <w:t>Preferred Stock</w:t>
            </w:r>
          </w:p>
        </w:tc>
        <w:tc>
          <w:tcPr>
            <w:tcW w:w="132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320" w:type="dxa"/>
            <w:vAlign w:val="bottom"/>
            <w:gridSpan w:val="5"/>
            <w:vMerge w:val="restart"/>
          </w:tcPr>
          <w:p>
            <w:pPr>
              <w:ind w:left="26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1400" w:type="dxa"/>
            <w:vAlign w:val="bottom"/>
            <w:gridSpan w:val="5"/>
            <w:vMerge w:val="continue"/>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Additional</w:t>
            </w: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01"/>
        </w:trPr>
        <w:tc>
          <w:tcPr>
            <w:tcW w:w="15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87"/>
              </w:rPr>
              <w:t>Paid-in</w:t>
            </w:r>
          </w:p>
        </w:tc>
        <w:tc>
          <w:tcPr>
            <w:tcW w:w="86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78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8"/>
                <w:szCs w:val="8"/>
                <w:color w:val="auto"/>
              </w:rPr>
            </w:pPr>
          </w:p>
        </w:tc>
        <w:tc>
          <w:tcPr>
            <w:tcW w:w="560" w:type="dxa"/>
            <w:vAlign w:val="bottom"/>
          </w:tcPr>
          <w:p>
            <w:pPr>
              <w:jc w:val="center"/>
              <w:ind w:right="46"/>
              <w:spacing w:after="0" w:line="102"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40"/>
        </w:trPr>
        <w:tc>
          <w:tcPr>
            <w:tcW w:w="1500" w:type="dxa"/>
            <w:vAlign w:val="bottom"/>
          </w:tcPr>
          <w:p>
            <w:pPr>
              <w:spacing w:after="0"/>
              <w:rPr>
                <w:sz w:val="12"/>
                <w:szCs w:val="12"/>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8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56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50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b w:val="1"/>
                <w:bCs w:val="1"/>
                <w:color w:val="auto"/>
              </w:rPr>
              <w:t>Balance, January 1, 2017</w:t>
            </w:r>
          </w:p>
        </w:tc>
        <w:tc>
          <w:tcPr>
            <w:tcW w:w="58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3,963</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FF0FC"/>
            </w:tcBorders>
            <w:shd w:val="clear" w:color="auto" w:fill="CFF0FC"/>
          </w:tcPr>
          <w:p>
            <w:pPr>
              <w:jc w:val="right"/>
              <w:ind w:right="86"/>
              <w:spacing w:after="0"/>
              <w:rPr>
                <w:sz w:val="20"/>
                <w:szCs w:val="20"/>
                <w:color w:val="auto"/>
              </w:rPr>
            </w:pPr>
            <w:r>
              <w:rPr>
                <w:rFonts w:ascii="Arial" w:cs="Arial" w:eastAsia="Arial" w:hAnsi="Arial"/>
                <w:sz w:val="11"/>
                <w:szCs w:val="11"/>
                <w:color w:val="auto"/>
              </w:rPr>
              <w:t>28,220</w:t>
            </w:r>
          </w:p>
        </w:tc>
        <w:tc>
          <w:tcPr>
            <w:tcW w:w="1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1,593</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6,452</w:t>
            </w:r>
          </w:p>
        </w:tc>
        <w:tc>
          <w:tcPr>
            <w:tcW w:w="1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ind w:right="86"/>
              <w:spacing w:after="0"/>
              <w:rPr>
                <w:sz w:val="20"/>
                <w:szCs w:val="20"/>
                <w:color w:val="auto"/>
              </w:rPr>
            </w:pPr>
            <w:r>
              <w:rPr>
                <w:rFonts w:ascii="Arial" w:cs="Arial" w:eastAsia="Arial" w:hAnsi="Arial"/>
                <w:sz w:val="11"/>
                <w:szCs w:val="11"/>
                <w:color w:val="auto"/>
              </w:rPr>
              <w:t>474</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2,156</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5,491</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40,688</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2,651</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16,672</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(54,923)</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(38,248)</w:t>
            </w:r>
          </w:p>
        </w:tc>
        <w:tc>
          <w:tcPr>
            <w:tcW w:w="0" w:type="dxa"/>
            <w:vAlign w:val="bottom"/>
          </w:tcPr>
          <w:p>
            <w:pPr>
              <w:spacing w:after="0"/>
              <w:rPr>
                <w:sz w:val="1"/>
                <w:szCs w:val="1"/>
                <w:color w:val="auto"/>
              </w:rPr>
            </w:pPr>
          </w:p>
        </w:tc>
      </w:tr>
      <w:tr>
        <w:trPr>
          <w:trHeight w:val="139"/>
        </w:trPr>
        <w:tc>
          <w:tcPr>
            <w:tcW w:w="1500" w:type="dxa"/>
            <w:vAlign w:val="bottom"/>
          </w:tcPr>
          <w:p>
            <w:pPr>
              <w:ind w:left="40"/>
              <w:spacing w:after="0"/>
              <w:rPr>
                <w:sz w:val="20"/>
                <w:szCs w:val="20"/>
                <w:color w:val="auto"/>
              </w:rPr>
            </w:pPr>
            <w:r>
              <w:rPr>
                <w:rFonts w:ascii="Arial" w:cs="Arial" w:eastAsia="Arial" w:hAnsi="Arial"/>
                <w:sz w:val="11"/>
                <w:szCs w:val="11"/>
                <w:color w:val="auto"/>
              </w:rPr>
              <w:t>Shares issued for public</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40"/>
              <w:spacing w:after="0" w:line="122" w:lineRule="exact"/>
              <w:rPr>
                <w:sz w:val="20"/>
                <w:szCs w:val="20"/>
                <w:color w:val="auto"/>
              </w:rPr>
            </w:pPr>
            <w:r>
              <w:rPr>
                <w:rFonts w:ascii="Arial" w:cs="Arial" w:eastAsia="Arial" w:hAnsi="Arial"/>
                <w:sz w:val="11"/>
                <w:szCs w:val="11"/>
                <w:color w:val="auto"/>
              </w:rPr>
              <w:t>offerings, net of underwriters'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500" w:type="dxa"/>
            <w:vAlign w:val="bottom"/>
          </w:tcPr>
          <w:p>
            <w:pPr>
              <w:ind w:left="40"/>
              <w:spacing w:after="0"/>
              <w:rPr>
                <w:sz w:val="20"/>
                <w:szCs w:val="20"/>
                <w:color w:val="auto"/>
              </w:rPr>
            </w:pPr>
            <w:r>
              <w:rPr>
                <w:rFonts w:ascii="Arial" w:cs="Arial" w:eastAsia="Arial" w:hAnsi="Arial"/>
                <w:sz w:val="11"/>
                <w:szCs w:val="11"/>
                <w:color w:val="auto"/>
              </w:rPr>
              <w:t>fees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9,021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292,528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292,537</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shd w:val="clear" w:color="auto" w:fill="CFF0FC"/>
          </w:tcPr>
          <w:p>
            <w:pPr>
              <w:ind w:left="40"/>
              <w:spacing w:after="0"/>
              <w:rPr>
                <w:sz w:val="20"/>
                <w:szCs w:val="20"/>
                <w:color w:val="auto"/>
              </w:rPr>
            </w:pPr>
            <w:r>
              <w:rPr>
                <w:rFonts w:ascii="Arial" w:cs="Arial" w:eastAsia="Arial" w:hAnsi="Arial"/>
                <w:sz w:val="11"/>
                <w:szCs w:val="11"/>
                <w:color w:val="auto"/>
              </w:rPr>
              <w:t>Total offering costs</w:t>
            </w: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(4,228)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(4,228)</w:t>
            </w:r>
          </w:p>
        </w:tc>
        <w:tc>
          <w:tcPr>
            <w:tcW w:w="0" w:type="dxa"/>
            <w:vAlign w:val="bottom"/>
          </w:tcPr>
          <w:p>
            <w:pPr>
              <w:spacing w:after="0"/>
              <w:rPr>
                <w:sz w:val="1"/>
                <w:szCs w:val="1"/>
                <w:color w:val="auto"/>
              </w:rPr>
            </w:pPr>
          </w:p>
        </w:tc>
      </w:tr>
      <w:tr>
        <w:trPr>
          <w:trHeight w:val="56"/>
        </w:trPr>
        <w:tc>
          <w:tcPr>
            <w:tcW w:w="1500" w:type="dxa"/>
            <w:vAlign w:val="bottom"/>
            <w:tcBorders>
              <w:bottom w:val="single" w:sz="8" w:color="CFF0FC"/>
            </w:tcBorders>
            <w:shd w:val="clear" w:color="auto" w:fill="CFF0FC"/>
          </w:tcPr>
          <w:p>
            <w:pPr>
              <w:spacing w:after="0"/>
              <w:rPr>
                <w:sz w:val="4"/>
                <w:szCs w:val="4"/>
                <w:color w:val="auto"/>
              </w:rPr>
            </w:pPr>
          </w:p>
        </w:tc>
        <w:tc>
          <w:tcPr>
            <w:tcW w:w="58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0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58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50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60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48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48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48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vMerge w:val="continue"/>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160" w:type="dxa"/>
            <w:vAlign w:val="bottom"/>
            <w:tcBorders>
              <w:bottom w:val="single" w:sz="8" w:color="CFF0FC"/>
            </w:tcBorders>
            <w:shd w:val="clear" w:color="auto" w:fill="CFF0FC"/>
          </w:tcPr>
          <w:p>
            <w:pPr>
              <w:spacing w:after="0"/>
              <w:rPr>
                <w:sz w:val="4"/>
                <w:szCs w:val="4"/>
                <w:color w:val="auto"/>
              </w:rPr>
            </w:pPr>
          </w:p>
        </w:tc>
        <w:tc>
          <w:tcPr>
            <w:tcW w:w="60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54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500" w:type="dxa"/>
            <w:vAlign w:val="bottom"/>
          </w:tcPr>
          <w:p>
            <w:pPr>
              <w:ind w:left="40"/>
              <w:spacing w:after="0"/>
              <w:rPr>
                <w:sz w:val="20"/>
                <w:szCs w:val="20"/>
                <w:color w:val="auto"/>
              </w:rPr>
            </w:pPr>
            <w:r>
              <w:rPr>
                <w:rFonts w:ascii="Arial" w:cs="Arial" w:eastAsia="Arial" w:hAnsi="Arial"/>
                <w:sz w:val="11"/>
                <w:szCs w:val="11"/>
                <w:color w:val="auto"/>
                <w:w w:val="94"/>
              </w:rPr>
              <w:t>Shares issued under employee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00" w:type="dxa"/>
            <w:vAlign w:val="bottom"/>
          </w:tcPr>
          <w:p>
            <w:pPr>
              <w:ind w:left="120"/>
              <w:spacing w:after="0"/>
              <w:rPr>
                <w:sz w:val="20"/>
                <w:szCs w:val="20"/>
                <w:color w:val="auto"/>
              </w:rPr>
            </w:pPr>
            <w:r>
              <w:rPr>
                <w:rFonts w:ascii="Arial" w:cs="Arial" w:eastAsia="Arial" w:hAnsi="Arial"/>
                <w:sz w:val="11"/>
                <w:szCs w:val="11"/>
                <w:color w:val="auto"/>
              </w:rPr>
              <w:t>stock plans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199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979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979</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shd w:val="clear" w:color="auto" w:fill="CFF0FC"/>
          </w:tcPr>
          <w:p>
            <w:pPr>
              <w:ind w:left="40"/>
              <w:spacing w:after="0"/>
              <w:rPr>
                <w:sz w:val="20"/>
                <w:szCs w:val="20"/>
                <w:color w:val="auto"/>
              </w:rPr>
            </w:pPr>
            <w:r>
              <w:rPr>
                <w:rFonts w:ascii="Arial" w:cs="Arial" w:eastAsia="Arial" w:hAnsi="Arial"/>
                <w:sz w:val="11"/>
                <w:szCs w:val="11"/>
                <w:color w:val="auto"/>
                <w:w w:val="99"/>
              </w:rPr>
              <w:t>Conversion of preferred stock</w:t>
            </w:r>
          </w:p>
        </w:tc>
        <w:tc>
          <w:tcPr>
            <w:tcW w:w="58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(3,963)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w w:val="92"/>
              </w:rPr>
              <w:t>(28,220)</w:t>
            </w:r>
          </w:p>
        </w:tc>
        <w:tc>
          <w:tcPr>
            <w:tcW w:w="120" w:type="dxa"/>
            <w:vAlign w:val="bottom"/>
            <w:shd w:val="clear" w:color="auto" w:fill="CFF0FC"/>
          </w:tcPr>
          <w:p>
            <w:pPr>
              <w:spacing w:after="0"/>
              <w:rPr>
                <w:sz w:val="16"/>
                <w:szCs w:val="16"/>
                <w:color w:val="auto"/>
              </w:rPr>
            </w:pPr>
          </w:p>
        </w:tc>
        <w:tc>
          <w:tcPr>
            <w:tcW w:w="58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(1,593)</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vMerge w:val="restart"/>
            <w:shd w:val="clear" w:color="auto" w:fill="CFF0FC"/>
          </w:tcPr>
          <w:p>
            <w:pPr>
              <w:jc w:val="right"/>
              <w:ind w:right="26"/>
              <w:spacing w:after="0"/>
              <w:rPr>
                <w:sz w:val="20"/>
                <w:szCs w:val="20"/>
                <w:color w:val="auto"/>
              </w:rPr>
            </w:pPr>
            <w:r>
              <w:rPr>
                <w:rFonts w:ascii="Arial" w:cs="Arial" w:eastAsia="Arial" w:hAnsi="Arial"/>
                <w:sz w:val="11"/>
                <w:szCs w:val="11"/>
                <w:color w:val="auto"/>
              </w:rPr>
              <w:t>(6,452)</w:t>
            </w:r>
          </w:p>
        </w:tc>
        <w:tc>
          <w:tcPr>
            <w:tcW w:w="120" w:type="dxa"/>
            <w:vAlign w:val="bottom"/>
            <w:shd w:val="clear" w:color="auto" w:fill="CFF0FC"/>
          </w:tcPr>
          <w:p>
            <w:pPr>
              <w:spacing w:after="0"/>
              <w:rPr>
                <w:sz w:val="16"/>
                <w:szCs w:val="16"/>
                <w:color w:val="auto"/>
              </w:rPr>
            </w:pPr>
          </w:p>
        </w:tc>
        <w:tc>
          <w:tcPr>
            <w:tcW w:w="60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(474)</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26"/>
              <w:spacing w:after="0"/>
              <w:rPr>
                <w:sz w:val="20"/>
                <w:szCs w:val="20"/>
                <w:color w:val="auto"/>
              </w:rPr>
            </w:pPr>
            <w:r>
              <w:rPr>
                <w:rFonts w:ascii="Arial" w:cs="Arial" w:eastAsia="Arial" w:hAnsi="Arial"/>
                <w:sz w:val="11"/>
                <w:szCs w:val="11"/>
                <w:color w:val="auto"/>
              </w:rPr>
              <w:t>(2,156)</w:t>
            </w:r>
          </w:p>
        </w:tc>
        <w:tc>
          <w:tcPr>
            <w:tcW w:w="10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6"/>
              <w:spacing w:after="0"/>
              <w:rPr>
                <w:sz w:val="20"/>
                <w:szCs w:val="20"/>
                <w:color w:val="auto"/>
              </w:rPr>
            </w:pPr>
            <w:r>
              <w:rPr>
                <w:rFonts w:ascii="Arial" w:cs="Arial" w:eastAsia="Arial" w:hAnsi="Arial"/>
                <w:sz w:val="11"/>
                <w:szCs w:val="11"/>
                <w:color w:val="auto"/>
              </w:rPr>
              <w:t>(5,491)</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26"/>
              <w:spacing w:after="0"/>
              <w:rPr>
                <w:sz w:val="20"/>
                <w:szCs w:val="20"/>
                <w:color w:val="auto"/>
              </w:rPr>
            </w:pPr>
            <w:r>
              <w:rPr>
                <w:rFonts w:ascii="Arial" w:cs="Arial" w:eastAsia="Arial" w:hAnsi="Arial"/>
                <w:sz w:val="11"/>
                <w:szCs w:val="11"/>
                <w:color w:val="auto"/>
                <w:w w:val="92"/>
              </w:rPr>
              <w:t>(40,688)</w:t>
            </w:r>
          </w:p>
        </w:tc>
        <w:tc>
          <w:tcPr>
            <w:tcW w:w="10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66"/>
              <w:spacing w:after="0"/>
              <w:rPr>
                <w:sz w:val="20"/>
                <w:szCs w:val="20"/>
                <w:color w:val="auto"/>
              </w:rPr>
            </w:pPr>
            <w:r>
              <w:rPr>
                <w:rFonts w:ascii="Arial" w:cs="Arial" w:eastAsia="Arial" w:hAnsi="Arial"/>
                <w:sz w:val="11"/>
                <w:szCs w:val="11"/>
                <w:color w:val="auto"/>
              </w:rPr>
              <w:t>11,521</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77,504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77,516</w:t>
            </w:r>
          </w:p>
        </w:tc>
        <w:tc>
          <w:tcPr>
            <w:tcW w:w="0" w:type="dxa"/>
            <w:vAlign w:val="bottom"/>
          </w:tcPr>
          <w:p>
            <w:pPr>
              <w:spacing w:after="0"/>
              <w:rPr>
                <w:sz w:val="1"/>
                <w:szCs w:val="1"/>
                <w:color w:val="auto"/>
              </w:rPr>
            </w:pPr>
          </w:p>
        </w:tc>
      </w:tr>
      <w:tr>
        <w:trPr>
          <w:trHeight w:val="56"/>
        </w:trPr>
        <w:tc>
          <w:tcPr>
            <w:tcW w:w="1500" w:type="dxa"/>
            <w:vAlign w:val="bottom"/>
            <w:tcBorders>
              <w:bottom w:val="single" w:sz="8" w:color="CFF0FC"/>
            </w:tcBorders>
            <w:shd w:val="clear" w:color="auto" w:fill="CFF0FC"/>
          </w:tcPr>
          <w:p>
            <w:pPr>
              <w:spacing w:after="0"/>
              <w:rPr>
                <w:sz w:val="4"/>
                <w:szCs w:val="4"/>
                <w:color w:val="auto"/>
              </w:rPr>
            </w:pPr>
          </w:p>
        </w:tc>
        <w:tc>
          <w:tcPr>
            <w:tcW w:w="580" w:type="dxa"/>
            <w:vAlign w:val="bottom"/>
            <w:tcBorders>
              <w:bottom w:val="single" w:sz="8" w:color="CFF0FC"/>
            </w:tcBorders>
            <w:vMerge w:val="continue"/>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00" w:type="dxa"/>
            <w:vAlign w:val="bottom"/>
            <w:tcBorders>
              <w:bottom w:val="single" w:sz="8" w:color="CFF0FC"/>
            </w:tcBorders>
            <w:vMerge w:val="continue"/>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580" w:type="dxa"/>
            <w:vAlign w:val="bottom"/>
            <w:tcBorders>
              <w:bottom w:val="single" w:sz="8" w:color="CFF0FC"/>
            </w:tcBorders>
            <w:vMerge w:val="continue"/>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500" w:type="dxa"/>
            <w:vAlign w:val="bottom"/>
            <w:tcBorders>
              <w:bottom w:val="single" w:sz="8" w:color="CFF0FC"/>
            </w:tcBorders>
            <w:vMerge w:val="continue"/>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600" w:type="dxa"/>
            <w:vAlign w:val="bottom"/>
            <w:tcBorders>
              <w:bottom w:val="single" w:sz="8" w:color="CFF0FC"/>
            </w:tcBorders>
            <w:vMerge w:val="continue"/>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480" w:type="dxa"/>
            <w:vAlign w:val="bottom"/>
            <w:tcBorders>
              <w:bottom w:val="single" w:sz="8" w:color="CFF0FC"/>
            </w:tcBorders>
            <w:vMerge w:val="continue"/>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vMerge w:val="continue"/>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480" w:type="dxa"/>
            <w:vAlign w:val="bottom"/>
            <w:tcBorders>
              <w:bottom w:val="single" w:sz="8" w:color="CFF0FC"/>
            </w:tcBorders>
            <w:vMerge w:val="continue"/>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vMerge w:val="continue"/>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480" w:type="dxa"/>
            <w:vAlign w:val="bottom"/>
            <w:tcBorders>
              <w:bottom w:val="single" w:sz="8" w:color="CFF0FC"/>
            </w:tcBorders>
            <w:vMerge w:val="continue"/>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vMerge w:val="continue"/>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160" w:type="dxa"/>
            <w:vAlign w:val="bottom"/>
            <w:tcBorders>
              <w:bottom w:val="single" w:sz="8" w:color="CFF0FC"/>
            </w:tcBorders>
            <w:shd w:val="clear" w:color="auto" w:fill="CFF0FC"/>
          </w:tcPr>
          <w:p>
            <w:pPr>
              <w:spacing w:after="0"/>
              <w:rPr>
                <w:sz w:val="4"/>
                <w:szCs w:val="4"/>
                <w:color w:val="auto"/>
              </w:rPr>
            </w:pPr>
          </w:p>
        </w:tc>
        <w:tc>
          <w:tcPr>
            <w:tcW w:w="60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54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40"/>
              <w:spacing w:after="0"/>
              <w:rPr>
                <w:sz w:val="20"/>
                <w:szCs w:val="20"/>
                <w:color w:val="auto"/>
              </w:rPr>
            </w:pPr>
            <w:r>
              <w:rPr>
                <w:rFonts w:ascii="Arial" w:cs="Arial" w:eastAsia="Arial" w:hAnsi="Arial"/>
                <w:sz w:val="11"/>
                <w:szCs w:val="11"/>
                <w:color w:val="auto"/>
              </w:rPr>
              <w:t>Warrants exercised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color w:val="auto"/>
              </w:rPr>
              <w:t>399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46"/>
              <w:spacing w:after="0"/>
              <w:rPr>
                <w:sz w:val="20"/>
                <w:szCs w:val="20"/>
                <w:color w:val="auto"/>
              </w:rPr>
            </w:pPr>
            <w:r>
              <w:rPr>
                <w:rFonts w:ascii="Arial" w:cs="Arial" w:eastAsia="Arial" w:hAnsi="Arial"/>
                <w:sz w:val="11"/>
                <w:szCs w:val="11"/>
                <w:color w:val="auto"/>
              </w:rPr>
              <w:t>536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46"/>
              <w:spacing w:after="0"/>
              <w:rPr>
                <w:sz w:val="20"/>
                <w:szCs w:val="20"/>
                <w:color w:val="auto"/>
              </w:rPr>
            </w:pPr>
            <w:r>
              <w:rPr>
                <w:rFonts w:ascii="Arial" w:cs="Arial" w:eastAsia="Arial" w:hAnsi="Arial"/>
                <w:sz w:val="11"/>
                <w:szCs w:val="11"/>
                <w:color w:val="auto"/>
              </w:rPr>
              <w:t>536</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shd w:val="clear" w:color="auto" w:fill="CFF0FC"/>
          </w:tcPr>
          <w:p>
            <w:pPr>
              <w:ind w:left="40"/>
              <w:spacing w:after="0"/>
              <w:rPr>
                <w:sz w:val="20"/>
                <w:szCs w:val="20"/>
                <w:color w:val="auto"/>
              </w:rPr>
            </w:pPr>
            <w:r>
              <w:rPr>
                <w:rFonts w:ascii="Arial" w:cs="Arial" w:eastAsia="Arial" w:hAnsi="Arial"/>
                <w:sz w:val="11"/>
                <w:szCs w:val="11"/>
                <w:color w:val="auto"/>
              </w:rPr>
              <w:t>Reclassification of warrants</w:t>
            </w: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4,607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4,607</w:t>
            </w:r>
          </w:p>
        </w:tc>
        <w:tc>
          <w:tcPr>
            <w:tcW w:w="0" w:type="dxa"/>
            <w:vAlign w:val="bottom"/>
          </w:tcPr>
          <w:p>
            <w:pPr>
              <w:spacing w:after="0"/>
              <w:rPr>
                <w:sz w:val="1"/>
                <w:szCs w:val="1"/>
                <w:color w:val="auto"/>
              </w:rPr>
            </w:pPr>
          </w:p>
        </w:tc>
      </w:tr>
      <w:tr>
        <w:trPr>
          <w:trHeight w:val="56"/>
        </w:trPr>
        <w:tc>
          <w:tcPr>
            <w:tcW w:w="1500" w:type="dxa"/>
            <w:vAlign w:val="bottom"/>
            <w:tcBorders>
              <w:bottom w:val="single" w:sz="8" w:color="CFF0FC"/>
            </w:tcBorders>
            <w:shd w:val="clear" w:color="auto" w:fill="CFF0FC"/>
          </w:tcPr>
          <w:p>
            <w:pPr>
              <w:spacing w:after="0"/>
              <w:rPr>
                <w:sz w:val="4"/>
                <w:szCs w:val="4"/>
                <w:color w:val="auto"/>
              </w:rPr>
            </w:pPr>
          </w:p>
        </w:tc>
        <w:tc>
          <w:tcPr>
            <w:tcW w:w="58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0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58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50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60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48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48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48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vMerge w:val="continue"/>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160" w:type="dxa"/>
            <w:vAlign w:val="bottom"/>
            <w:tcBorders>
              <w:bottom w:val="single" w:sz="8" w:color="CFF0FC"/>
            </w:tcBorders>
            <w:shd w:val="clear" w:color="auto" w:fill="CFF0FC"/>
          </w:tcPr>
          <w:p>
            <w:pPr>
              <w:spacing w:after="0"/>
              <w:rPr>
                <w:sz w:val="4"/>
                <w:szCs w:val="4"/>
                <w:color w:val="auto"/>
              </w:rPr>
            </w:pPr>
          </w:p>
        </w:tc>
        <w:tc>
          <w:tcPr>
            <w:tcW w:w="60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54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560" w:type="dxa"/>
            <w:vAlign w:val="bottom"/>
            <w:tcBorders>
              <w:bottom w:val="single" w:sz="8" w:color="CFF0FC"/>
            </w:tcBorders>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40"/>
              <w:spacing w:after="0"/>
              <w:rPr>
                <w:sz w:val="20"/>
                <w:szCs w:val="20"/>
                <w:color w:val="auto"/>
              </w:rPr>
            </w:pPr>
            <w:r>
              <w:rPr>
                <w:rFonts w:ascii="Arial" w:cs="Arial" w:eastAsia="Arial" w:hAnsi="Arial"/>
                <w:sz w:val="11"/>
                <w:szCs w:val="11"/>
                <w:color w:val="auto"/>
              </w:rPr>
              <w:t>Forfeiture rate adjustment</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Stock-based compensation</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4,378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4,378</w:t>
            </w:r>
          </w:p>
        </w:tc>
        <w:tc>
          <w:tcPr>
            <w:tcW w:w="0" w:type="dxa"/>
            <w:vAlign w:val="bottom"/>
          </w:tcPr>
          <w:p>
            <w:pPr>
              <w:spacing w:after="0"/>
              <w:rPr>
                <w:sz w:val="1"/>
                <w:szCs w:val="1"/>
                <w:color w:val="auto"/>
              </w:rPr>
            </w:pPr>
          </w:p>
        </w:tc>
      </w:tr>
      <w:tr>
        <w:trPr>
          <w:trHeight w:val="194"/>
        </w:trPr>
        <w:tc>
          <w:tcPr>
            <w:tcW w:w="1500" w:type="dxa"/>
            <w:vAlign w:val="bottom"/>
          </w:tcPr>
          <w:p>
            <w:pPr>
              <w:ind w:left="40"/>
              <w:spacing w:after="0"/>
              <w:rPr>
                <w:sz w:val="20"/>
                <w:szCs w:val="20"/>
                <w:color w:val="auto"/>
              </w:rPr>
            </w:pPr>
            <w:r>
              <w:rPr>
                <w:rFonts w:ascii="Arial" w:cs="Arial" w:eastAsia="Arial" w:hAnsi="Arial"/>
                <w:sz w:val="11"/>
                <w:szCs w:val="11"/>
                <w:color w:val="auto"/>
              </w:rPr>
              <w:t>Comprehensive loss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restart"/>
          </w:tcPr>
          <w:p>
            <w:pPr>
              <w:jc w:val="right"/>
              <w:ind w:right="46"/>
              <w:spacing w:after="0"/>
              <w:rPr>
                <w:sz w:val="20"/>
                <w:szCs w:val="20"/>
                <w:color w:val="auto"/>
              </w:rPr>
            </w:pPr>
            <w:r>
              <w:rPr>
                <w:rFonts w:ascii="Arial" w:cs="Arial" w:eastAsia="Arial" w:hAnsi="Arial"/>
                <w:sz w:val="11"/>
                <w:szCs w:val="11"/>
                <w:color w:val="auto"/>
              </w:rPr>
              <w:t>(426)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(426)</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Net loss</w:t>
            </w:r>
          </w:p>
        </w:tc>
        <w:tc>
          <w:tcPr>
            <w:tcW w:w="5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(30,070)</w:t>
            </w: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(30,070)</w:t>
            </w:r>
          </w:p>
        </w:tc>
        <w:tc>
          <w:tcPr>
            <w:tcW w:w="0" w:type="dxa"/>
            <w:vAlign w:val="bottom"/>
          </w:tcPr>
          <w:p>
            <w:pPr>
              <w:spacing w:after="0"/>
              <w:rPr>
                <w:sz w:val="1"/>
                <w:szCs w:val="1"/>
                <w:color w:val="auto"/>
              </w:rPr>
            </w:pPr>
          </w:p>
        </w:tc>
      </w:tr>
      <w:tr>
        <w:trPr>
          <w:trHeight w:val="228"/>
        </w:trPr>
        <w:tc>
          <w:tcPr>
            <w:tcW w:w="1500" w:type="dxa"/>
            <w:vAlign w:val="bottom"/>
          </w:tcPr>
          <w:p>
            <w:pPr>
              <w:ind w:left="40"/>
              <w:spacing w:after="0"/>
              <w:rPr>
                <w:sz w:val="20"/>
                <w:szCs w:val="20"/>
                <w:color w:val="auto"/>
              </w:rPr>
            </w:pPr>
            <w:r>
              <w:rPr>
                <w:rFonts w:ascii="Arial" w:cs="Arial" w:eastAsia="Arial" w:hAnsi="Arial"/>
                <w:sz w:val="11"/>
                <w:szCs w:val="11"/>
                <w:b w:val="1"/>
                <w:bCs w:val="1"/>
                <w:color w:val="auto"/>
                <w:w w:val="97"/>
              </w:rPr>
              <w:t>Balance, December 31, 2017</w:t>
            </w: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23,791</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393,017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(85,034)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307,581</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00" w:type="dxa"/>
            <w:vAlign w:val="bottom"/>
            <w:shd w:val="clear" w:color="auto" w:fill="CFF0FC"/>
          </w:tcPr>
          <w:p>
            <w:pPr>
              <w:ind w:left="40"/>
              <w:spacing w:after="0"/>
              <w:rPr>
                <w:sz w:val="20"/>
                <w:szCs w:val="20"/>
                <w:color w:val="auto"/>
              </w:rPr>
            </w:pPr>
            <w:r>
              <w:rPr>
                <w:rFonts w:ascii="Arial" w:cs="Arial" w:eastAsia="Arial" w:hAnsi="Arial"/>
                <w:sz w:val="11"/>
                <w:szCs w:val="11"/>
                <w:color w:val="auto"/>
              </w:rPr>
              <w:t>Shares issued for public</w:t>
            </w: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w w:val="95"/>
              </w:rPr>
              <w:t>offerings, net of underwriters’</w:t>
            </w: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fees</w:t>
            </w: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2,530</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227,473</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227,476</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rPr>
              <w:t>Total offering costs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00" w:type="dxa"/>
            <w:vAlign w:val="bottom"/>
            <w:shd w:val="clear" w:color="auto" w:fill="CFF0FC"/>
          </w:tcPr>
          <w:p>
            <w:pPr>
              <w:ind w:left="40"/>
              <w:spacing w:after="0"/>
              <w:rPr>
                <w:sz w:val="20"/>
                <w:szCs w:val="20"/>
                <w:color w:val="auto"/>
              </w:rPr>
            </w:pPr>
            <w:r>
              <w:rPr>
                <w:rFonts w:ascii="Arial" w:cs="Arial" w:eastAsia="Arial" w:hAnsi="Arial"/>
                <w:sz w:val="11"/>
                <w:szCs w:val="11"/>
                <w:color w:val="auto"/>
                <w:w w:val="94"/>
              </w:rPr>
              <w:t>Shares issued under employee</w:t>
            </w: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stock plans</w:t>
            </w: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584</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2,869</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2,869</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rPr>
              <w:t>Warrants exercised</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Stock-based compensation</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9,961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9,961</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rPr>
              <w:t>Comprehensive income</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203</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Net loss</w:t>
            </w:r>
          </w:p>
        </w:tc>
        <w:tc>
          <w:tcPr>
            <w:tcW w:w="5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(61,656)</w:t>
            </w: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(61,656)</w:t>
            </w:r>
          </w:p>
        </w:tc>
        <w:tc>
          <w:tcPr>
            <w:tcW w:w="0" w:type="dxa"/>
            <w:vAlign w:val="bottom"/>
          </w:tcPr>
          <w:p>
            <w:pPr>
              <w:spacing w:after="0"/>
              <w:rPr>
                <w:sz w:val="1"/>
                <w:szCs w:val="1"/>
                <w:color w:val="auto"/>
              </w:rPr>
            </w:pPr>
          </w:p>
        </w:tc>
      </w:tr>
      <w:tr>
        <w:trPr>
          <w:trHeight w:val="228"/>
        </w:trPr>
        <w:tc>
          <w:tcPr>
            <w:tcW w:w="1500" w:type="dxa"/>
            <w:vAlign w:val="bottom"/>
          </w:tcPr>
          <w:p>
            <w:pPr>
              <w:ind w:left="40"/>
              <w:spacing w:after="0"/>
              <w:rPr>
                <w:sz w:val="20"/>
                <w:szCs w:val="20"/>
                <w:color w:val="auto"/>
              </w:rPr>
            </w:pPr>
            <w:r>
              <w:rPr>
                <w:rFonts w:ascii="Arial" w:cs="Arial" w:eastAsia="Arial" w:hAnsi="Arial"/>
                <w:sz w:val="11"/>
                <w:szCs w:val="11"/>
                <w:b w:val="1"/>
                <w:bCs w:val="1"/>
                <w:color w:val="auto"/>
                <w:w w:val="97"/>
              </w:rPr>
              <w:t>Balance, December 31, 2018</w:t>
            </w: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26,922</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633,251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(223)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(146,690)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486,365</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00" w:type="dxa"/>
            <w:vAlign w:val="bottom"/>
            <w:shd w:val="clear" w:color="auto" w:fill="CFF0FC"/>
          </w:tcPr>
          <w:p>
            <w:pPr>
              <w:ind w:left="40"/>
              <w:spacing w:after="0"/>
              <w:rPr>
                <w:sz w:val="20"/>
                <w:szCs w:val="20"/>
                <w:color w:val="auto"/>
              </w:rPr>
            </w:pPr>
            <w:r>
              <w:rPr>
                <w:rFonts w:ascii="Arial" w:cs="Arial" w:eastAsia="Arial" w:hAnsi="Arial"/>
                <w:sz w:val="11"/>
                <w:szCs w:val="11"/>
                <w:color w:val="auto"/>
                <w:w w:val="94"/>
              </w:rPr>
              <w:t>Shares issued under employee</w:t>
            </w: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stock plans</w:t>
            </w: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333</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3,007</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3,007</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rPr>
              <w:t>Stock-based compensation</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12,411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12,411</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Comprehensive income</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561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561</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rPr>
              <w:t>Net loss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(97,336)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(97,336)</w:t>
            </w:r>
          </w:p>
        </w:tc>
        <w:tc>
          <w:tcPr>
            <w:tcW w:w="0" w:type="dxa"/>
            <w:vAlign w:val="bottom"/>
          </w:tcPr>
          <w:p>
            <w:pPr>
              <w:spacing w:after="0"/>
              <w:rPr>
                <w:sz w:val="1"/>
                <w:szCs w:val="1"/>
                <w:color w:val="auto"/>
              </w:rPr>
            </w:pPr>
          </w:p>
        </w:tc>
      </w:tr>
      <w:tr>
        <w:trPr>
          <w:trHeight w:val="22"/>
        </w:trPr>
        <w:tc>
          <w:tcPr>
            <w:tcW w:w="150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1500" w:type="dxa"/>
            <w:vAlign w:val="bottom"/>
            <w:shd w:val="clear" w:color="auto" w:fill="CFF0FC"/>
          </w:tcPr>
          <w:p>
            <w:pPr>
              <w:ind w:left="40"/>
              <w:spacing w:after="0"/>
              <w:rPr>
                <w:sz w:val="20"/>
                <w:szCs w:val="20"/>
                <w:color w:val="auto"/>
              </w:rPr>
            </w:pPr>
            <w:r>
              <w:rPr>
                <w:rFonts w:ascii="Arial" w:cs="Arial" w:eastAsia="Arial" w:hAnsi="Arial"/>
                <w:sz w:val="11"/>
                <w:szCs w:val="11"/>
                <w:b w:val="1"/>
                <w:bCs w:val="1"/>
                <w:color w:val="auto"/>
                <w:w w:val="97"/>
              </w:rPr>
              <w:t>Balance, December 31, 2019</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27,255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648,669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338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(244,026)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405,008</w:t>
            </w: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553" w:right="2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13335</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10"/>
        </w:trPr>
        <w:tc>
          <w:tcPr>
            <w:tcW w:w="744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60"/>
        </w:trPr>
        <w:tc>
          <w:tcPr>
            <w:tcW w:w="744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(97,336)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(61,656)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(30,070)</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183</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Stock-based compensation</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12,411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9,961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4,378</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1,366</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Accretion/amortization of investments, net</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(2,633)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(1,233)</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Non-cash interest expense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619</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7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Receivable from collaborative partners</w:t>
            </w: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1,225</w:t>
            </w:r>
          </w:p>
        </w:tc>
      </w:tr>
      <w:tr>
        <w:trPr>
          <w:trHeight w:val="237"/>
        </w:trPr>
        <w:tc>
          <w:tcPr>
            <w:tcW w:w="7440" w:type="dxa"/>
            <w:vAlign w:val="bottom"/>
          </w:tcPr>
          <w:p>
            <w:pPr>
              <w:ind w:left="520"/>
              <w:spacing w:after="0"/>
              <w:rPr>
                <w:sz w:val="20"/>
                <w:szCs w:val="20"/>
                <w:color w:val="auto"/>
              </w:rPr>
            </w:pPr>
            <w:r>
              <w:rPr>
                <w:rFonts w:ascii="Arial" w:cs="Arial" w:eastAsia="Arial" w:hAnsi="Arial"/>
                <w:sz w:val="16"/>
                <w:szCs w:val="16"/>
                <w:color w:val="auto"/>
              </w:rPr>
              <w:t>Australian tax incentive receivable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2,517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2,178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(5,188)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(1,885)</w:t>
            </w:r>
          </w:p>
        </w:tc>
      </w:tr>
      <w:tr>
        <w:trPr>
          <w:trHeight w:val="237"/>
        </w:trPr>
        <w:tc>
          <w:tcPr>
            <w:tcW w:w="7440" w:type="dxa"/>
            <w:vAlign w:val="bottom"/>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14,499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2,218</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(69,517)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(48,506)</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(19,438)</w:t>
            </w:r>
          </w:p>
        </w:tc>
      </w:tr>
      <w:tr>
        <w:trPr>
          <w:trHeight w:val="20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60"/>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Acquisition of investments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(251,815)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(347,537)</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(290,905)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Sales and maturities of investments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384,051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206,149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48,137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(1,063)</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(290)</w:t>
            </w:r>
          </w:p>
        </w:tc>
      </w:tr>
      <w:tr>
        <w:trPr>
          <w:trHeight w:val="217"/>
        </w:trPr>
        <w:tc>
          <w:tcPr>
            <w:tcW w:w="7440" w:type="dxa"/>
            <w:vAlign w:val="bottom"/>
          </w:tcPr>
          <w:p>
            <w:pPr>
              <w:ind w:left="76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131,431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(142,451)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(243,058)</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744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60"/>
        </w:trPr>
        <w:tc>
          <w:tcPr>
            <w:tcW w:w="744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Proceeds from public offerings, net of underwriters' fees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227,476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292,537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3,007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2,869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979</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Proceeds from issuance of common stock, upon the exercise of warrants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536</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Payments on notes payable</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(7,500)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(6,875)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Payments for offering costs, net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(1,599)</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(4,493)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223,364</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292,453</w:t>
            </w:r>
          </w:p>
        </w:tc>
      </w:tr>
      <w:tr>
        <w:trPr>
          <w:trHeight w:val="217"/>
        </w:trPr>
        <w:tc>
          <w:tcPr>
            <w:tcW w:w="7440" w:type="dxa"/>
            <w:vAlign w:val="bottom"/>
          </w:tcPr>
          <w:p>
            <w:pPr>
              <w:ind w:left="102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57,421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32,407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29,957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113,656</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81,249</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51,292</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171,077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113,656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81,249</w:t>
            </w:r>
          </w:p>
        </w:tc>
      </w:tr>
      <w:tr>
        <w:trPr>
          <w:trHeight w:val="73"/>
        </w:trPr>
        <w:tc>
          <w:tcPr>
            <w:tcW w:w="744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91"/>
        </w:trPr>
        <w:tc>
          <w:tcPr>
            <w:tcW w:w="744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60"/>
        </w:trPr>
        <w:tc>
          <w:tcPr>
            <w:tcW w:w="744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1,089</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Amounts accrued for property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191</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Amounts accrued for offering costs</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Reclassification of warrants to equity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4,607</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53"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20" w:firstLine="567"/>
        <w:spacing w:after="0" w:line="255"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clinical stage biotechnology company developing first-in-class immunology therapeutic product candidates to patients. We are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We currently generate revenue from milestones achieved under our collaborative research and development arrangements.</w:t>
      </w:r>
    </w:p>
    <w:p>
      <w:pPr>
        <w:spacing w:after="0" w:line="8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Since our inception, we have devoted our primary effort to raising capital and research and development activities. Our financial support has been provided primarily from the sale of our common and preferred stock,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Management believes its currently available resources will provide sufficient funds to enable the Company to meet its operating plans for at least the next twelve months. The accompanying consolidated financial statements do not include any adjustments that might be necessary if we are unable to continue as a going concern.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Offerings and Related Transactions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On January 31, 2017, we completed an initial public offering, or IPO, selling 5,750,000 shares, which included the exercise of the underwriters’ option to purchase an additional 750,000 shares of common stock, at $15.00 per share. Proceeds from our initial public offering net of underwriting discounts and commissions were $80.2 million.</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each of the following occurred in connection with the completion of the IPO on January 31, 2017:</w:t>
      </w:r>
    </w:p>
    <w:p>
      <w:pPr>
        <w:spacing w:after="0" w:line="117" w:lineRule="exact"/>
        <w:rPr>
          <w:sz w:val="20"/>
          <w:szCs w:val="20"/>
          <w:color w:val="auto"/>
        </w:rPr>
      </w:pPr>
    </w:p>
    <w:p>
      <w:pPr>
        <w:ind w:left="760" w:hanging="185"/>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11,520,698 shares of common stock; and</w:t>
      </w:r>
    </w:p>
    <w:p>
      <w:pPr>
        <w:spacing w:after="0" w:line="117" w:lineRule="exact"/>
        <w:rPr>
          <w:rFonts w:ascii="Arial" w:cs="Arial" w:eastAsia="Arial" w:hAnsi="Arial"/>
          <w:sz w:val="18"/>
          <w:szCs w:val="18"/>
          <w:color w:val="auto"/>
        </w:rPr>
      </w:pPr>
    </w:p>
    <w:p>
      <w:pPr>
        <w:ind w:left="580" w:right="280" w:hanging="5"/>
        <w:spacing w:after="0" w:line="277" w:lineRule="auto"/>
        <w:tabs>
          <w:tab w:leader="none" w:pos="7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conversion of warrants to purchase 377,195 shares of convertible preferred stock into warrants to purchase 377,195 shares of common stock and the resultant reclassification of the warrant liability to additional paid-in capital.</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117" w:lineRule="exact"/>
        <w:rPr>
          <w:sz w:val="20"/>
          <w:szCs w:val="20"/>
          <w:color w:val="auto"/>
        </w:rPr>
      </w:pPr>
    </w:p>
    <w:p>
      <w:pPr>
        <w:ind w:firstLine="567"/>
        <w:spacing w:after="0" w:line="302" w:lineRule="auto"/>
        <w:rPr>
          <w:sz w:val="20"/>
          <w:szCs w:val="20"/>
          <w:color w:val="auto"/>
        </w:rPr>
      </w:pPr>
      <w:r>
        <w:rPr>
          <w:rFonts w:ascii="Arial" w:cs="Arial" w:eastAsia="Arial" w:hAnsi="Arial"/>
          <w:sz w:val="16"/>
          <w:szCs w:val="16"/>
          <w:color w:val="auto"/>
        </w:rPr>
        <w:t>On October 17, 2017, we completed an underwritten public offering selling 3,000,000 shares of common stock. All shares were offered by us at a price to the public of $68.50 per share. The aggregate net proceeds received by us from the offering were $194.7 million, net of underwriting discounts and commissions. As part of the underwritten public offering, on November 14, 2017, the underwriters exercised an additional 271,380 shares of common stock at a discounted price to the public of $68.50 per share for aggregate net proceeds of $17.6 million, net of underwriting discounts and commissions.</w:t>
      </w:r>
    </w:p>
    <w:p>
      <w:pPr>
        <w:spacing w:after="0" w:line="46" w:lineRule="exact"/>
        <w:rPr>
          <w:sz w:val="20"/>
          <w:szCs w:val="20"/>
          <w:color w:val="auto"/>
        </w:rPr>
      </w:pPr>
    </w:p>
    <w:p>
      <w:pPr>
        <w:ind w:right="20" w:firstLine="567"/>
        <w:spacing w:after="0" w:line="286" w:lineRule="auto"/>
        <w:rPr>
          <w:sz w:val="20"/>
          <w:szCs w:val="20"/>
          <w:color w:val="auto"/>
        </w:rPr>
      </w:pPr>
      <w:r>
        <w:rPr>
          <w:rFonts w:ascii="Arial" w:cs="Arial" w:eastAsia="Arial" w:hAnsi="Arial"/>
          <w:sz w:val="17"/>
          <w:szCs w:val="17"/>
          <w:color w:val="auto"/>
        </w:rPr>
        <w:t>On September 28, 2018, we completed an underwritten public offering of 2,530,000 shares of common stock, which included the exercise of the underwriters’ option to purchase an additional 330,000 shares of common stock. All shares were offered by us at a price to the public of $94.46 per share. The aggregate net proceeds received by us from the offering were $227.5 million, net of underwriting discounts and commissions.</w:t>
      </w:r>
    </w:p>
    <w:p>
      <w:pPr>
        <w:spacing w:after="0" w:line="270" w:lineRule="exact"/>
        <w:rPr>
          <w:sz w:val="20"/>
          <w:szCs w:val="20"/>
          <w:color w:val="auto"/>
        </w:rPr>
      </w:pPr>
    </w:p>
    <w:p>
      <w:pPr>
        <w:ind w:left="260" w:right="7860" w:hanging="252"/>
        <w:spacing w:after="0" w:line="378" w:lineRule="auto"/>
        <w:tabs>
          <w:tab w:leader="none" w:pos="197"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right="580" w:firstLine="567"/>
        <w:spacing w:after="0" w:line="264" w:lineRule="auto"/>
        <w:rPr>
          <w:sz w:val="20"/>
          <w:szCs w:val="20"/>
          <w:color w:val="auto"/>
        </w:rPr>
      </w:pPr>
      <w:r>
        <w:rPr>
          <w:rFonts w:ascii="Arial" w:cs="Arial" w:eastAsia="Arial" w:hAnsi="Arial"/>
          <w:sz w:val="18"/>
          <w:szCs w:val="18"/>
          <w:color w:val="auto"/>
        </w:rPr>
        <w:t>The accompanying consolidated financial statements have been prepared pursuant to the rules and regulations of the Securities and Exchange Commission, or the SEC. The accompanying consolidated financial statements have been prepared in conformity with accounting principles generally accepted in the United States of America, or U.S. GAAP.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53" w:right="239" w:bottom="1440" w:gutter="0" w:footer="0" w:header="0"/>
        </w:sectPr>
      </w:pPr>
    </w:p>
    <w:bookmarkStart w:id="84" w:name="page85"/>
    <w:bookmarkEnd w:id="84"/>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jc w:val="both"/>
        <w:ind w:right="620" w:firstLine="567"/>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67"/>
        <w:spacing w:after="0" w:line="297"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40" w:firstLine="567"/>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We held restricted cash of $60,000 at December 31, 2019 and 2018, respectively, which we used to secure a letter of credit provided as security for the operating lease for our corporate headquarters.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 Term and Long Term Investments</w:t>
      </w:r>
    </w:p>
    <w:p>
      <w:pPr>
        <w:spacing w:after="0" w:line="117" w:lineRule="exact"/>
        <w:rPr>
          <w:sz w:val="20"/>
          <w:szCs w:val="20"/>
          <w:color w:val="auto"/>
        </w:rPr>
      </w:pPr>
    </w:p>
    <w:p>
      <w:pPr>
        <w:ind w:right="140" w:firstLine="567"/>
        <w:spacing w:after="0" w:line="272" w:lineRule="auto"/>
        <w:rPr>
          <w:sz w:val="20"/>
          <w:szCs w:val="20"/>
          <w:color w:val="auto"/>
        </w:rPr>
      </w:pPr>
      <w:r>
        <w:rPr>
          <w:rFonts w:ascii="Arial" w:cs="Arial" w:eastAsia="Arial" w:hAnsi="Arial"/>
          <w:sz w:val="17"/>
          <w:szCs w:val="17"/>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Unrealized gains and losses, deemed temporary in nature, are reported as a component of accumulated other comprehensive income (loss). A decline in the fair value of any security below cost that is deemed other than temporary results in a charge to earnings and the corresponding establishment of a new cost basis for the security. Dividend and interest income are recognized when earned. Realized gains and losses are included in earnings and are derived using the specific identification method for determining the cost of securities sold.</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60" w:firstLine="567"/>
        <w:spacing w:after="0" w:line="276" w:lineRule="auto"/>
        <w:rPr>
          <w:sz w:val="20"/>
          <w:szCs w:val="20"/>
          <w:color w:val="auto"/>
        </w:rPr>
      </w:pPr>
      <w:r>
        <w:rPr>
          <w:rFonts w:ascii="Arial" w:cs="Arial" w:eastAsia="Arial" w:hAnsi="Arial"/>
          <w:sz w:val="17"/>
          <w:szCs w:val="17"/>
          <w:color w:val="auto"/>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 line method over the term of the lease. Upon sale or retirement of property and equipment, the related cost and accumulated depreciation are removed from the accounts and any gain or loss is reflected in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881" w:right="239" w:bottom="1440" w:gutter="0" w:footer="0" w:header="0"/>
        </w:sectPr>
      </w:pPr>
    </w:p>
    <w:bookmarkStart w:id="85" w:name="page86"/>
    <w:bookmarkEnd w:id="85"/>
    <w:p>
      <w:pPr>
        <w:ind w:left="22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2019, 2018, or 2017.</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380" w:firstLine="486"/>
        <w:spacing w:after="0" w:line="259" w:lineRule="auto"/>
        <w:rPr>
          <w:sz w:val="20"/>
          <w:szCs w:val="20"/>
          <w:color w:val="auto"/>
        </w:rPr>
      </w:pPr>
      <w:r>
        <w:rPr>
          <w:rFonts w:ascii="Arial" w:cs="Arial" w:eastAsia="Arial" w:hAnsi="Arial"/>
          <w:sz w:val="18"/>
          <w:szCs w:val="18"/>
          <w:color w:val="auto"/>
        </w:rPr>
        <w:t xml:space="preserve">On January 1, 2019, we adopted Accounting Standards Update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using the modified retrospective transition approach by applying the new standard to all leases existing at the date of initial application. Results and disclosure requirements for reporting periods beginning after January 1, 2019 are presented under Topic 842, while prior period amounts have not been adjusted and continue to be reported in accordance with our historical accounting under </w:t>
      </w:r>
      <w:r>
        <w:rPr>
          <w:rFonts w:ascii="Arial" w:cs="Arial" w:eastAsia="Arial" w:hAnsi="Arial"/>
          <w:sz w:val="18"/>
          <w:szCs w:val="18"/>
          <w:i w:val="1"/>
          <w:iCs w:val="1"/>
          <w:color w:val="auto"/>
        </w:rPr>
        <w:t>Topic 840</w:t>
      </w:r>
      <w:r>
        <w:rPr>
          <w:rFonts w:ascii="Arial" w:cs="Arial" w:eastAsia="Arial" w:hAnsi="Arial"/>
          <w:sz w:val="18"/>
          <w:szCs w:val="18"/>
          <w:color w:val="auto"/>
        </w:rPr>
        <w:t>.</w:t>
      </w:r>
    </w:p>
    <w:p>
      <w:pPr>
        <w:spacing w:after="0" w:line="7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elected the package of practical expedients permitted under the transition guidance, which allowed us to carryforward our historical lease classification, our assessment on whether a contract was, or contains a lease, and our initial direct costs for any leases that existed prior to January 1, 2019. We also elected to keep leases with an initial term of 12 months or less off the balance sheet and recognize the associated lease payments in the consolidated statements of income on a straight-line basis over the lease term.</w:t>
      </w:r>
    </w:p>
    <w:p>
      <w:pPr>
        <w:spacing w:after="0" w:line="79"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212529"/>
        </w:rPr>
        <w:t xml:space="preserve">Upon adoption, we recognized total </w:t>
      </w:r>
      <w:r>
        <w:rPr>
          <w:rFonts w:ascii="Arial" w:cs="Arial" w:eastAsia="Arial" w:hAnsi="Arial"/>
          <w:sz w:val="18"/>
          <w:szCs w:val="18"/>
          <w:color w:val="000000"/>
        </w:rPr>
        <w:t>right-of-use, or “ROU”,</w:t>
      </w:r>
      <w:r>
        <w:rPr>
          <w:rFonts w:ascii="Arial" w:cs="Arial" w:eastAsia="Arial" w:hAnsi="Arial"/>
          <w:sz w:val="18"/>
          <w:szCs w:val="18"/>
          <w:color w:val="212529"/>
        </w:rPr>
        <w:t xml:space="preserve"> assets of </w:t>
      </w:r>
      <w:r>
        <w:rPr>
          <w:rFonts w:ascii="Arial" w:cs="Arial" w:eastAsia="Arial" w:hAnsi="Arial"/>
          <w:sz w:val="18"/>
          <w:szCs w:val="18"/>
          <w:color w:val="000000"/>
        </w:rPr>
        <w:t>$2.1 million</w:t>
      </w:r>
      <w:r>
        <w:rPr>
          <w:rFonts w:ascii="Arial" w:cs="Arial" w:eastAsia="Arial" w:hAnsi="Arial"/>
          <w:sz w:val="18"/>
          <w:szCs w:val="18"/>
          <w:color w:val="212529"/>
        </w:rPr>
        <w:t xml:space="preserve">, with corresponding lease liabilities of </w:t>
      </w:r>
      <w:r>
        <w:rPr>
          <w:rFonts w:ascii="Arial" w:cs="Arial" w:eastAsia="Arial" w:hAnsi="Arial"/>
          <w:sz w:val="18"/>
          <w:szCs w:val="18"/>
          <w:color w:val="000000"/>
        </w:rPr>
        <w:t>$2.3 million</w:t>
      </w:r>
      <w:r>
        <w:rPr>
          <w:rFonts w:ascii="Arial" w:cs="Arial" w:eastAsia="Arial" w:hAnsi="Arial"/>
          <w:sz w:val="18"/>
          <w:szCs w:val="18"/>
          <w:color w:val="212529"/>
        </w:rPr>
        <w:t xml:space="preserve"> on the consolidated balance sheets. The ROU assets include adjustments for prepayments and accrued lease payments. The adoption did not impact our beginning accumulated deficit, or our prior year consolidated statements of operations and statements of cash flows.</w:t>
      </w:r>
    </w:p>
    <w:p>
      <w:pPr>
        <w:spacing w:after="0" w:line="7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 xml:space="preserve">Under </w:t>
      </w:r>
      <w:r>
        <w:rPr>
          <w:rFonts w:ascii="Arial" w:cs="Arial" w:eastAsia="Arial" w:hAnsi="Arial"/>
          <w:sz w:val="17"/>
          <w:szCs w:val="17"/>
          <w:i w:val="1"/>
          <w:iCs w:val="1"/>
          <w:color w:val="auto"/>
        </w:rPr>
        <w:t>Topic 842,</w:t>
      </w:r>
      <w:r>
        <w:rPr>
          <w:rFonts w:ascii="Arial" w:cs="Arial" w:eastAsia="Arial" w:hAnsi="Arial"/>
          <w:sz w:val="17"/>
          <w:szCs w:val="17"/>
          <w:color w:val="auto"/>
        </w:rPr>
        <w:t xml:space="preserve"> we determine if an arrangement is a lease at inception. All outstanding leases continued to be classified as operating leases.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the ROU asset. Operating lease ROU assets and operating lease liabilities are recognized based on the present value of the future minimum lease payments over the lease term at the date of adoption of ASC 842, or the lease commencement date. For this purpose, we consider only payments that are fixed and determinable at the time of commencement. As our leases do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7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 xml:space="preserve">Under </w:t>
      </w:r>
      <w:r>
        <w:rPr>
          <w:rFonts w:ascii="Arial" w:cs="Arial" w:eastAsia="Arial" w:hAnsi="Arial"/>
          <w:sz w:val="16"/>
          <w:szCs w:val="16"/>
          <w:i w:val="1"/>
          <w:iCs w:val="1"/>
          <w:color w:val="auto"/>
        </w:rPr>
        <w:t>Topic 840</w:t>
      </w:r>
      <w:r>
        <w:rPr>
          <w:rFonts w:ascii="Arial" w:cs="Arial" w:eastAsia="Arial" w:hAnsi="Arial"/>
          <w:sz w:val="16"/>
          <w:szCs w:val="16"/>
          <w:color w:val="auto"/>
        </w:rPr>
        <w:t>, all current leases were classified as operating leases. Rent expense was recognized on a straight-line basis over the terms of the leases and, accordingly, we recorded the cumulative difference between cash rent payments and the recognition of rent expense as a deferred rent liability. When an operating lease included lease incentives, such as a rent abatements or leasehold improvement allowances, or required fixed escalations of the minimum lease payments, the aggregate rental expense, including such incentives or increases, was recognized on a straight-line basis over the term of the lease.</w:t>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jc w:val="both"/>
        <w:ind w:right="40" w:firstLine="567"/>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3"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i w:val="1"/>
          <w:iCs w:val="1"/>
          <w:color w:val="auto"/>
        </w:rPr>
        <w:t xml:space="preserve">Performance Obligations. </w:t>
      </w:r>
      <w:r>
        <w:rPr>
          <w:rFonts w:ascii="Arial" w:cs="Arial" w:eastAsia="Arial" w:hAnsi="Arial"/>
          <w:sz w:val="16"/>
          <w:szCs w:val="16"/>
          <w:color w:val="auto"/>
        </w:rPr>
        <w:t>We evaluate deliverables on a contract by contract basis to determine whether each deliverable represents a good or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881" w:right="259" w:bottom="1440" w:gutter="0" w:footer="0" w:header="0"/>
        </w:sectPr>
      </w:pPr>
    </w:p>
    <w:bookmarkStart w:id="86" w:name="page87"/>
    <w:bookmarkEnd w:id="86"/>
    <w:p>
      <w:pPr>
        <w:ind w:right="480"/>
        <w:spacing w:after="0" w:line="277" w:lineRule="auto"/>
        <w:rPr>
          <w:sz w:val="20"/>
          <w:szCs w:val="20"/>
          <w:color w:val="auto"/>
        </w:rPr>
      </w:pPr>
      <w:r>
        <w:rPr>
          <w:rFonts w:ascii="Arial" w:cs="Arial" w:eastAsia="Arial" w:hAnsi="Arial"/>
          <w:sz w:val="18"/>
          <w:szCs w:val="18"/>
          <w:color w:val="auto"/>
        </w:rPr>
        <w:t>distinct, we combine such deliverables and account for them as a single performance obligation. We allocate the consideration to each deliverable at the inception of the arrangement based on the transaction price.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performance obligations may include the following:</w:t>
      </w:r>
    </w:p>
    <w:p>
      <w:pPr>
        <w:spacing w:after="0" w:line="225" w:lineRule="exact"/>
        <w:rPr>
          <w:sz w:val="20"/>
          <w:szCs w:val="20"/>
          <w:color w:val="auto"/>
        </w:rPr>
      </w:pPr>
    </w:p>
    <w:p>
      <w:pPr>
        <w:ind w:left="660" w:right="40" w:hanging="314"/>
        <w:spacing w:after="0" w:line="30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6" w:lineRule="exact"/>
        <w:rPr>
          <w:rFonts w:ascii="Arial" w:cs="Arial" w:eastAsia="Arial" w:hAnsi="Arial"/>
          <w:sz w:val="16"/>
          <w:szCs w:val="16"/>
          <w:color w:val="auto"/>
        </w:rPr>
      </w:pPr>
    </w:p>
    <w:p>
      <w:pPr>
        <w:ind w:left="660" w:right="260" w:hanging="314"/>
        <w:spacing w:after="0" w:line="25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80" w:lineRule="exact"/>
        <w:rPr>
          <w:rFonts w:ascii="Arial" w:cs="Arial" w:eastAsia="Arial" w:hAnsi="Arial"/>
          <w:sz w:val="18"/>
          <w:szCs w:val="18"/>
          <w:color w:val="auto"/>
        </w:rPr>
      </w:pPr>
    </w:p>
    <w:p>
      <w:pPr>
        <w:jc w:val="both"/>
        <w:ind w:left="660" w:right="160" w:hanging="314"/>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in a steering committees, which allows us to direct the progression of our discovery programs. As these steering committees would not occur or benefit the customer without the use of our licenses, these are not considered distinct.</w:t>
      </w:r>
    </w:p>
    <w:p>
      <w:pPr>
        <w:spacing w:after="0" w:line="7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 for</w:t>
      </w:r>
      <w:r>
        <w:rPr>
          <w:rFonts w:ascii="Arial" w:cs="Arial" w:eastAsia="Arial" w:hAnsi="Arial"/>
          <w:sz w:val="16"/>
          <w:szCs w:val="16"/>
          <w:i w:val="1"/>
          <w:iCs w:val="1"/>
          <w:color w:val="auto"/>
        </w:rPr>
        <w:t xml:space="preserve"> </w:t>
      </w:r>
      <w:r>
        <w:rPr>
          <w:rFonts w:ascii="Arial" w:cs="Arial" w:eastAsia="Arial" w:hAnsi="Arial"/>
          <w:sz w:val="16"/>
          <w:szCs w:val="16"/>
          <w:color w:val="auto"/>
        </w:rPr>
        <w:t>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w:t>
      </w:r>
    </w:p>
    <w:p>
      <w:pPr>
        <w:ind w:right="560"/>
        <w:spacing w:after="0" w:line="290" w:lineRule="auto"/>
        <w:rPr>
          <w:sz w:val="20"/>
          <w:szCs w:val="20"/>
          <w:color w:val="auto"/>
        </w:rPr>
      </w:pPr>
      <w:r>
        <w:rPr>
          <w:rFonts w:ascii="Arial" w:cs="Arial" w:eastAsia="Arial" w:hAnsi="Arial"/>
          <w:sz w:val="17"/>
          <w:szCs w:val="17"/>
          <w:color w:val="auto"/>
        </w:rPr>
        <w:t>Research and development services are updated for actual invoices. Given the nature of our agreements, milestones are estimated using the most likely amount and are evaluated on a quarterly basis. Upon commercialization, royalty payments will be recognized in the period incurred.</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460" w:firstLine="567"/>
        <w:spacing w:after="0" w:line="264" w:lineRule="auto"/>
        <w:rPr>
          <w:sz w:val="20"/>
          <w:szCs w:val="20"/>
          <w:color w:val="auto"/>
        </w:rPr>
      </w:pPr>
      <w:r>
        <w:rPr>
          <w:rFonts w:ascii="Arial" w:cs="Arial" w:eastAsia="Arial" w:hAnsi="Arial"/>
          <w:sz w:val="18"/>
          <w:szCs w:val="18"/>
          <w:color w:val="auto"/>
        </w:rPr>
        <w:t>Research and development costs primarily include third-party clinical and preclinical research and development services such as manufacturing, laboratory and related supplies, salaries and personnel-related costs, in-licensing fees, outside services, and an allocation of information technology, and facility overhead costs.</w:t>
      </w:r>
    </w:p>
    <w:p>
      <w:pPr>
        <w:spacing w:after="0" w:line="181"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Costs associated with research and development activities are expensed as incurred. We account for nonrefundable advance payments for goods and services that will be used in future research and development activities as expense when the service has been performed or when the goods have been received. We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78" w:lineRule="exact"/>
        <w:rPr>
          <w:sz w:val="20"/>
          <w:szCs w:val="20"/>
          <w:color w:val="auto"/>
        </w:rPr>
      </w:pPr>
    </w:p>
    <w:p>
      <w:pPr>
        <w:ind w:right="480" w:firstLine="446"/>
        <w:spacing w:after="0" w:line="277" w:lineRule="auto"/>
        <w:rPr>
          <w:sz w:val="20"/>
          <w:szCs w:val="20"/>
          <w:color w:val="auto"/>
        </w:rPr>
      </w:pPr>
      <w:r>
        <w:rPr>
          <w:rFonts w:ascii="Arial" w:cs="Arial" w:eastAsia="Arial" w:hAnsi="Arial"/>
          <w:sz w:val="18"/>
          <w:szCs w:val="18"/>
          <w:color w:val="auto"/>
        </w:rPr>
        <w:t>Upfront and milestone payments incurred under our in-licensing agreements are expensed as acquired in-process research and development in the period in which they are incurred, provided that the technology or method has no alternative future use.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665" w:right="239" w:bottom="1440" w:gutter="0" w:footer="0" w:header="0"/>
        </w:sectPr>
      </w:pPr>
    </w:p>
    <w:bookmarkStart w:id="87" w:name="page88"/>
    <w:bookmarkEnd w:id="87"/>
    <w:p>
      <w:pPr>
        <w:ind w:left="220"/>
        <w:spacing w:after="0"/>
        <w:rPr>
          <w:sz w:val="20"/>
          <w:szCs w:val="20"/>
          <w:color w:val="auto"/>
        </w:rPr>
      </w:pPr>
      <w:r>
        <w:rPr>
          <w:rFonts w:ascii="Arial" w:cs="Arial" w:eastAsia="Arial" w:hAnsi="Arial"/>
          <w:sz w:val="18"/>
          <w:szCs w:val="18"/>
          <w:b w:val="1"/>
          <w:bCs w:val="1"/>
          <w:i w:val="1"/>
          <w:iCs w:val="1"/>
          <w:color w:val="auto"/>
        </w:rPr>
        <w:t>Australian Research and Development Tax Incentive</w:t>
      </w:r>
    </w:p>
    <w:p>
      <w:pPr>
        <w:spacing w:after="0" w:line="117"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We are eligible under the Australian Research and Development Tax Incentive Program, or the Tax Incentive, to obtain a cash refund from the Australian Taxation Office for eligible research and development expenditures. However, we must have revenue of less than AUD $20.0 million during the reimbursable period and cannot be controlled by income tax exempt entities. The Tax Incentive is recognized as a reduction to research and development expense when there is reasonable assurance that the Tax Incentive will be received, the relevant expenditure has been incurred, and the amount can be reliably measured. The Tax Incentive is denominated in Australian dollars and, therefore, the related receivable is remeasured into U.S. dollars as of each reporting date.</w:t>
      </w: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567"/>
        <w:spacing w:after="0" w:line="257" w:lineRule="auto"/>
        <w:rPr>
          <w:sz w:val="20"/>
          <w:szCs w:val="20"/>
          <w:color w:val="auto"/>
        </w:rPr>
      </w:pPr>
      <w:r>
        <w:rPr>
          <w:rFonts w:ascii="Arial" w:cs="Arial" w:eastAsia="Arial" w:hAnsi="Arial"/>
          <w:sz w:val="18"/>
          <w:szCs w:val="18"/>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recognize forfeitures in the period in which forfeiture occur and record stock-based compensation expense as though all awards are expected to vest.</w:t>
      </w:r>
    </w:p>
    <w:p>
      <w:pPr>
        <w:spacing w:after="0" w:line="188" w:lineRule="exact"/>
        <w:rPr>
          <w:sz w:val="20"/>
          <w:szCs w:val="20"/>
          <w:color w:val="auto"/>
        </w:rPr>
      </w:pPr>
    </w:p>
    <w:p>
      <w:pPr>
        <w:ind w:right="160" w:firstLine="567"/>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jc w:val="both"/>
        <w:ind w:right="100" w:firstLine="567"/>
        <w:spacing w:after="0" w:line="259" w:lineRule="auto"/>
        <w:rPr>
          <w:sz w:val="20"/>
          <w:szCs w:val="20"/>
          <w:color w:val="auto"/>
        </w:rPr>
      </w:pPr>
      <w:r>
        <w:rPr>
          <w:rFonts w:ascii="Arial" w:cs="Arial" w:eastAsia="Arial" w:hAnsi="Arial"/>
          <w:sz w:val="18"/>
          <w:szCs w:val="18"/>
          <w:color w:val="auto"/>
        </w:rPr>
        <w:t>In January 2017, upon completion of our IPO, all warrants were reclassified to additional paid-in capital. Prior to this, we accounted for warrants for shares of preferred stock with conversion features that provide for reductions in the warrant price as derivative liabilities in the accompanying balance sheets at their fair value on the date of issuance. The derivative liabilities were revalued at each balance sheet date, with changes in the fair value between reporting periods recorded as other income or expense in the consolidated statement of operations.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567"/>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120" w:firstLine="567"/>
        <w:spacing w:after="0" w:line="297" w:lineRule="auto"/>
        <w:rPr>
          <w:sz w:val="20"/>
          <w:szCs w:val="20"/>
          <w:color w:val="auto"/>
        </w:rPr>
      </w:pPr>
      <w:r>
        <w:rPr>
          <w:rFonts w:ascii="Arial" w:cs="Arial" w:eastAsia="Arial" w:hAnsi="Arial"/>
          <w:sz w:val="16"/>
          <w:szCs w:val="16"/>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882" w:right="259" w:bottom="1440" w:gutter="0" w:footer="0" w:header="0"/>
        </w:sectPr>
      </w:pPr>
    </w:p>
    <w:bookmarkStart w:id="88" w:name="page89"/>
    <w:bookmarkEnd w:id="88"/>
    <w:p>
      <w:pPr>
        <w:ind w:right="120" w:firstLine="567"/>
        <w:spacing w:after="0" w:line="264" w:lineRule="auto"/>
        <w:rPr>
          <w:sz w:val="20"/>
          <w:szCs w:val="20"/>
          <w:color w:val="auto"/>
        </w:rPr>
      </w:pPr>
      <w:r>
        <w:rPr>
          <w:rFonts w:ascii="Arial" w:cs="Arial" w:eastAsia="Arial" w:hAnsi="Arial"/>
          <w:sz w:val="18"/>
          <w:szCs w:val="18"/>
          <w:color w:val="auto"/>
        </w:rPr>
        <w:t>Comprehensive income (loss) represents all changes in stockholders’ equity except those resulting from distributions to stockholders. Our unrealized gain and losses on available for sale investments represent the only component of other comprehensive income (loss) that is excluded from the reported net income (loss).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79"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12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7"/>
        </w:trPr>
        <w:tc>
          <w:tcPr>
            <w:tcW w:w="7440" w:type="dxa"/>
            <w:vAlign w:val="bottom"/>
            <w:tcBorders>
              <w:bottom w:val="single" w:sz="8" w:color="CCEEFF"/>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Warrants to purchase common 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FF0FC"/>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2,451</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 xml:space="preserve">On January 1, 2019, we adopted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as amended, which supersedes the lease accounting guidance under </w:t>
      </w:r>
      <w:r>
        <w:rPr>
          <w:rFonts w:ascii="Arial" w:cs="Arial" w:eastAsia="Arial" w:hAnsi="Arial"/>
          <w:sz w:val="16"/>
          <w:szCs w:val="16"/>
          <w:i w:val="1"/>
          <w:iCs w:val="1"/>
          <w:color w:val="212529"/>
        </w:rPr>
        <w:t>Topic 840</w:t>
      </w:r>
      <w:r>
        <w:rPr>
          <w:rFonts w:ascii="Arial" w:cs="Arial" w:eastAsia="Arial" w:hAnsi="Arial"/>
          <w:sz w:val="16"/>
          <w:szCs w:val="16"/>
          <w:color w:val="212529"/>
        </w:rPr>
        <w:t>,</w:t>
      </w:r>
      <w:r>
        <w:rPr>
          <w:rFonts w:ascii="Arial" w:cs="Arial" w:eastAsia="Arial" w:hAnsi="Arial"/>
          <w:sz w:val="16"/>
          <w:szCs w:val="16"/>
          <w:color w:val="auto"/>
        </w:rPr>
        <w:t xml:space="preserve"> and generally requires lessees to recognize operating and financing lease liabilities and corresponding ROU assets on the balance sheet and to provide enhanced disclosures surrounding the amount, timing and uncertainty of cash flows arising from leasing arrangements. We adopted the new guidance using the modified retrospective transition approach by applying the new standard to all leases existing at the date of initial application and not restating comparative periods. The most significant impact was the recognition of ROU assets and lease liabilities for operating leases. For information regarding the impact of </w:t>
      </w:r>
      <w:r>
        <w:rPr>
          <w:rFonts w:ascii="Arial" w:cs="Arial" w:eastAsia="Arial" w:hAnsi="Arial"/>
          <w:sz w:val="16"/>
          <w:szCs w:val="16"/>
          <w:i w:val="1"/>
          <w:iCs w:val="1"/>
          <w:color w:val="auto"/>
        </w:rPr>
        <w:t>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842 </w:t>
      </w:r>
      <w:r>
        <w:rPr>
          <w:rFonts w:ascii="Arial" w:cs="Arial" w:eastAsia="Arial" w:hAnsi="Arial"/>
          <w:sz w:val="16"/>
          <w:szCs w:val="16"/>
          <w:color w:val="auto"/>
        </w:rPr>
        <w:t>adoption,</w:t>
      </w:r>
      <w:r>
        <w:rPr>
          <w:rFonts w:ascii="Arial" w:cs="Arial" w:eastAsia="Arial" w:hAnsi="Arial"/>
          <w:sz w:val="16"/>
          <w:szCs w:val="16"/>
          <w:i w:val="1"/>
          <w:iCs w:val="1"/>
          <w:color w:val="auto"/>
        </w:rPr>
        <w:t xml:space="preserve"> </w:t>
      </w:r>
      <w:r>
        <w:rPr>
          <w:rFonts w:ascii="Arial" w:cs="Arial" w:eastAsia="Arial" w:hAnsi="Arial"/>
          <w:sz w:val="16"/>
          <w:szCs w:val="16"/>
          <w:color w:val="212529"/>
        </w:rPr>
        <w:t>see</w:t>
      </w:r>
      <w:r>
        <w:rPr>
          <w:rFonts w:ascii="Arial" w:cs="Arial" w:eastAsia="Arial" w:hAnsi="Arial"/>
          <w:sz w:val="16"/>
          <w:szCs w:val="16"/>
          <w:i w:val="1"/>
          <w:iCs w:val="1"/>
          <w:color w:val="auto"/>
        </w:rPr>
        <w:t xml:space="preserve"> Significant Accounting Policies - Leases </w:t>
      </w:r>
      <w:r>
        <w:rPr>
          <w:rFonts w:ascii="Arial" w:cs="Arial" w:eastAsia="Arial" w:hAnsi="Arial"/>
          <w:sz w:val="16"/>
          <w:szCs w:val="16"/>
          <w:color w:val="auto"/>
        </w:rPr>
        <w:t>above and Note 11 - Commitments and Contingencies.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567"/>
        <w:spacing w:after="0" w:line="267" w:lineRule="auto"/>
        <w:rPr>
          <w:sz w:val="20"/>
          <w:szCs w:val="20"/>
          <w:color w:val="auto"/>
        </w:rPr>
      </w:pPr>
      <w:r>
        <w:rPr>
          <w:rFonts w:ascii="Arial" w:cs="Arial" w:eastAsia="Arial" w:hAnsi="Arial"/>
          <w:sz w:val="17"/>
          <w:szCs w:val="17"/>
          <w:color w:val="auto"/>
        </w:rPr>
        <w:t xml:space="preserve">In December 2019, the Financial Accounting Standards Board “FASB” issued ASU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intended to simplify the accounting for income taxes. The guidance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Additionally, the guidance simplifies the accounting for income taxes by: 1) requiring that an entity recognize a franchise tax (or similar tax) that is partially based on income as an income-based tax and account for any incremental amount incurred as a non-income-based tax, 2) requiring that an entity evaluate when a step up in the tax basis of goodwill should be considered part of the business combination in which the book goodwill was originally recognized and when it should be considered a separate transaction, 3) specifying that an entity is not required to allocate the consolidated amount of current and deferred tax expense to a legal entity that is not subject to tax in its separate financial statements (although the entity may elect to do so (on an entity-by-entity basis) for a legal entity that is both not subject to tax and disregarded by the taxing authority), 4) requiring that an entity reflect the effect of an enacted change in tax laws or rates in the annual effective tax rate computation in the interim period that includes the enactment date and 5) making minor improvements for income tax accounting related to employee stock ownership plans and investments in qualified affordable housing projects accounted for using the equity method. The guidance will be effective for fiscal years and interim periods beginning after December 15, 2020. Different components of the guidance require retrospective, modified retrospective or prospective adoption, and early adoption is permitted. We are currently assessing the impact that this standard will have on our consolidated financial statements.</w:t>
      </w:r>
    </w:p>
    <w:p>
      <w:pPr>
        <w:spacing w:after="0" w:line="220"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 Instruments (Topic</w:t>
      </w:r>
      <w:r>
        <w:rPr>
          <w:rFonts w:ascii="Arial" w:cs="Arial" w:eastAsia="Arial" w:hAnsi="Arial"/>
          <w:sz w:val="18"/>
          <w:szCs w:val="18"/>
          <w:color w:val="auto"/>
        </w:rPr>
        <w:t xml:space="preserve"> </w:t>
      </w:r>
      <w:r>
        <w:rPr>
          <w:rFonts w:ascii="Arial" w:cs="Arial" w:eastAsia="Arial" w:hAnsi="Arial"/>
          <w:sz w:val="18"/>
          <w:szCs w:val="18"/>
          <w:i w:val="1"/>
          <w:iCs w:val="1"/>
          <w:color w:val="auto"/>
        </w:rPr>
        <w:t>326)</w:t>
      </w:r>
      <w:r>
        <w:rPr>
          <w:rFonts w:ascii="Arial" w:cs="Arial" w:eastAsia="Arial" w:hAnsi="Arial"/>
          <w:sz w:val="18"/>
          <w:szCs w:val="18"/>
          <w:color w:val="auto"/>
        </w:rPr>
        <w:t>, which changes the accounting treatment for recognizing the impairment of financial assets. Under the new guidance, credit losses for certain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will be estimated based on expected losses. The new guidance also eliminates the other-than-temporary impairment model for available-for-sale (AFS) debt securities. Entities will begin to recognize credit losses on AFS debt securities as allowances rather than as reductions in the carrying value of the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625" w:right="239" w:bottom="1440" w:gutter="0" w:footer="0" w:header="0"/>
        </w:sectPr>
      </w:pPr>
    </w:p>
    <w:bookmarkStart w:id="89" w:name="page90"/>
    <w:bookmarkEnd w:id="89"/>
    <w:p>
      <w:pPr>
        <w:jc w:val="both"/>
        <w:ind w:right="20"/>
        <w:spacing w:after="0" w:line="259" w:lineRule="auto"/>
        <w:rPr>
          <w:sz w:val="20"/>
          <w:szCs w:val="20"/>
          <w:color w:val="auto"/>
        </w:rPr>
      </w:pPr>
      <w:r>
        <w:rPr>
          <w:rFonts w:ascii="Arial" w:cs="Arial" w:eastAsia="Arial" w:hAnsi="Arial"/>
          <w:sz w:val="18"/>
          <w:szCs w:val="18"/>
          <w:color w:val="auto"/>
        </w:rPr>
        <w:t>securities. Impairment that is not credit-related impairment will continue to be recognized in other comprehensive income and entities will no longer consider the length of time a security has been in an unrealized loss position when determining whether a credit loss exists. ASU 2016-13 becomes effective for annual and interim periods beginning after December 15, 2019; early adoption is permitted. We are currently assessing the impact that this standard will have on our consolidated financial statements.</w:t>
      </w:r>
    </w:p>
    <w:p>
      <w:pPr>
        <w:spacing w:after="0" w:line="200" w:lineRule="exact"/>
        <w:rPr>
          <w:sz w:val="20"/>
          <w:szCs w:val="20"/>
          <w:color w:val="auto"/>
        </w:rPr>
      </w:pPr>
    </w:p>
    <w:p>
      <w:pPr>
        <w:spacing w:after="0" w:line="226" w:lineRule="exact"/>
        <w:rPr>
          <w:sz w:val="20"/>
          <w:szCs w:val="20"/>
          <w:color w:val="auto"/>
        </w:rPr>
      </w:pPr>
    </w:p>
    <w:p>
      <w:pPr>
        <w:ind w:left="260" w:right="7040" w:hanging="252"/>
        <w:spacing w:after="0" w:line="378" w:lineRule="auto"/>
        <w:tabs>
          <w:tab w:leader="none" w:pos="197"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Laboratory equipment</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4,911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Property and equipment, gross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00"/>
              <w:spacing w:after="0"/>
              <w:rPr>
                <w:sz w:val="20"/>
                <w:szCs w:val="20"/>
                <w:color w:val="auto"/>
              </w:rPr>
            </w:pPr>
            <w:r>
              <w:rPr>
                <w:rFonts w:ascii="Arial" w:cs="Arial" w:eastAsia="Arial" w:hAnsi="Arial"/>
                <w:sz w:val="18"/>
                <w:szCs w:val="18"/>
                <w:b w:val="1"/>
                <w:bCs w:val="1"/>
                <w:i w:val="1"/>
                <w:iCs w:val="1"/>
                <w:color w:val="auto"/>
              </w:rPr>
              <w:t>Accrued Expenses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ind w:left="580"/>
              <w:spacing w:after="0"/>
              <w:rPr>
                <w:sz w:val="20"/>
                <w:szCs w:val="20"/>
                <w:color w:val="auto"/>
              </w:rPr>
            </w:pPr>
            <w:r>
              <w:rPr>
                <w:rFonts w:ascii="Arial" w:cs="Arial" w:eastAsia="Arial" w:hAnsi="Arial"/>
                <w:sz w:val="18"/>
                <w:szCs w:val="18"/>
                <w:color w:val="auto"/>
              </w:rPr>
              <w:t>Accrued expenses consist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Accrued research and development expenses</w:t>
            </w: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8,196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11,052</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 w:right="7240" w:hanging="252"/>
        <w:spacing w:after="0" w:line="375" w:lineRule="auto"/>
        <w:tabs>
          <w:tab w:leader="none" w:pos="197"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Collaborative Research and Development Agreements TESARO Collaboration</w:t>
      </w:r>
    </w:p>
    <w:p>
      <w:pPr>
        <w:spacing w:after="0" w:line="1" w:lineRule="exact"/>
        <w:rPr>
          <w:sz w:val="20"/>
          <w:szCs w:val="20"/>
          <w:color w:val="auto"/>
        </w:rPr>
      </w:pPr>
    </w:p>
    <w:p>
      <w:pPr>
        <w:ind w:right="240" w:firstLine="567"/>
        <w:spacing w:after="0" w:line="291" w:lineRule="auto"/>
        <w:rPr>
          <w:sz w:val="20"/>
          <w:szCs w:val="20"/>
          <w:color w:val="auto"/>
        </w:rPr>
      </w:pPr>
      <w:r>
        <w:rPr>
          <w:rFonts w:ascii="Arial" w:cs="Arial" w:eastAsia="Arial" w:hAnsi="Arial"/>
          <w:sz w:val="16"/>
          <w:szCs w:val="16"/>
          <w:color w:val="auto"/>
        </w:rPr>
        <w:t>In March 2014, we entered into a Collaboration and Exclusive License Agreement, or the TESARO Agreement, with TESARO, Inc. and TESARO Development, Inc., or collectively, TESARO, an oncology-focused biopharmaceutical company now a part of GlaxoSmithKline.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Amendment No. 1 to the Agreement to add an antibody discovery program against an undisclosed fourth target for an upfront license fee of $2.0 million.</w:t>
      </w:r>
    </w:p>
    <w:p>
      <w:pPr>
        <w:spacing w:after="0" w:line="167"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 xml:space="preserve">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Prior to the adoption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665" w:right="239" w:bottom="1440" w:gutter="0" w:footer="0" w:header="0"/>
        </w:sectPr>
      </w:pPr>
    </w:p>
    <w:bookmarkStart w:id="90" w:name="page91"/>
    <w:bookmarkEnd w:id="90"/>
    <w:p>
      <w:pPr>
        <w:ind w:right="240"/>
        <w:spacing w:after="0" w:line="277" w:lineRule="auto"/>
        <w:rPr>
          <w:sz w:val="20"/>
          <w:szCs w:val="20"/>
          <w:color w:val="auto"/>
        </w:rPr>
      </w:pPr>
      <w:r>
        <w:rPr>
          <w:rFonts w:ascii="Arial" w:cs="Arial" w:eastAsia="Arial" w:hAnsi="Arial"/>
          <w:sz w:val="18"/>
          <w:szCs w:val="18"/>
          <w:color w:val="auto"/>
        </w:rPr>
        <w:t>December 31, 2016. As a result, the period over which the unrecognized license fees and milestones were recognized was extended through December 31, 2016, and have since been recognized in full.</w:t>
      </w:r>
    </w:p>
    <w:p>
      <w:pPr>
        <w:spacing w:after="0" w:line="1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assessed this arrangement in accordance with ASC 606 and concluded that the contract counterparty, TESARO, is a customer. We identified the following material promises under the TESARO Agreement: (1) the licenses under certain patent rights relating to six discovery programs (four targets) and transfer of certain development and regulatory information, (2) R&amp;D services and (3) Joint Steering Committee meetings. We considered the research and discovery capabilities of TESARO for these specific programs, TESARO’s inability to sub-license,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December 31, 2019, the transaction price includes the upfront payment, research reimbursement revenue, and milestones earned to date, which are allocated in their entirety to the single performance obligation. We earned and recognized two clinical milestones for $8.0 million during the year ended December 31, 2019.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the licensees’ efforts. Any consideration related to sales-based milestones, including royalties, will be recognized when the related sales occur as they were determined to relate predominantly to the IP license granted to TESARO and therefore have also been excluded from the transaction price. We will re-evaluate the variable transaction price in each reporting period and as uncertain events are resolved or other changes in circumstances occur.</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recognized through December 31, 2019 under the TESARO Agreement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2380" w:type="dxa"/>
            <w:vAlign w:val="bottom"/>
            <w:gridSpan w:val="3"/>
          </w:tcPr>
          <w:p>
            <w:pPr>
              <w:ind w:left="760"/>
              <w:spacing w:after="0"/>
              <w:rPr>
                <w:sz w:val="20"/>
                <w:szCs w:val="20"/>
                <w:color w:val="auto"/>
              </w:rPr>
            </w:pPr>
            <w:r>
              <w:rPr>
                <w:rFonts w:ascii="Arial" w:cs="Arial" w:eastAsia="Arial" w:hAnsi="Arial"/>
                <w:sz w:val="16"/>
                <w:szCs w:val="16"/>
                <w:b w:val="1"/>
                <w:bCs w:val="1"/>
                <w:color w:val="auto"/>
              </w:rPr>
              <w:t>Anti-PD-1</w:t>
            </w:r>
          </w:p>
        </w:tc>
        <w:tc>
          <w:tcPr>
            <w:tcW w:w="2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Anti-TIM-3</w:t>
            </w: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Anti-LAG-3</w:t>
            </w:r>
          </w:p>
        </w:tc>
      </w:tr>
      <w:tr>
        <w:trPr>
          <w:trHeight w:val="210"/>
        </w:trPr>
        <w:tc>
          <w:tcPr>
            <w:tcW w:w="4320" w:type="dxa"/>
            <w:vAlign w:val="bottom"/>
          </w:tcPr>
          <w:p>
            <w:pPr>
              <w:spacing w:after="0"/>
              <w:rPr>
                <w:sz w:val="18"/>
                <w:szCs w:val="18"/>
                <w:color w:val="auto"/>
              </w:rPr>
            </w:pPr>
          </w:p>
        </w:tc>
        <w:tc>
          <w:tcPr>
            <w:tcW w:w="2380" w:type="dxa"/>
            <w:vAlign w:val="bottom"/>
            <w:gridSpan w:val="3"/>
          </w:tcPr>
          <w:p>
            <w:pPr>
              <w:ind w:left="360"/>
              <w:spacing w:after="0"/>
              <w:rPr>
                <w:sz w:val="20"/>
                <w:szCs w:val="20"/>
                <w:color w:val="auto"/>
              </w:rPr>
            </w:pPr>
            <w:r>
              <w:rPr>
                <w:rFonts w:ascii="Arial" w:cs="Arial" w:eastAsia="Arial" w:hAnsi="Arial"/>
                <w:sz w:val="16"/>
                <w:szCs w:val="16"/>
                <w:b w:val="1"/>
                <w:bCs w:val="1"/>
                <w:color w:val="auto"/>
              </w:rPr>
              <w:t>(TSR042/Dostarlimab)</w:t>
            </w:r>
          </w:p>
        </w:tc>
        <w:tc>
          <w:tcPr>
            <w:tcW w:w="2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(TSR022)</w:t>
            </w: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(TSR033)</w:t>
            </w:r>
          </w:p>
        </w:tc>
      </w:tr>
      <w:tr>
        <w:trPr>
          <w:trHeight w:val="33"/>
        </w:trPr>
        <w:tc>
          <w:tcPr>
            <w:tcW w:w="4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Quarter</w:t>
            </w:r>
          </w:p>
        </w:tc>
        <w:tc>
          <w:tcPr>
            <w:tcW w:w="1080" w:type="dxa"/>
            <w:vAlign w:val="bottom"/>
          </w:tcPr>
          <w:p>
            <w:pPr>
              <w:spacing w:after="0"/>
              <w:rPr>
                <w:sz w:val="18"/>
                <w:szCs w:val="18"/>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Quarter</w:t>
            </w:r>
          </w:p>
        </w:tc>
        <w:tc>
          <w:tcPr>
            <w:tcW w:w="10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6"/>
              </w:rPr>
              <w:t>Quarter</w:t>
            </w:r>
          </w:p>
        </w:tc>
      </w:tr>
      <w:tr>
        <w:trPr>
          <w:trHeight w:val="210"/>
        </w:trPr>
        <w:tc>
          <w:tcPr>
            <w:tcW w:w="4320" w:type="dxa"/>
            <w:vAlign w:val="bottom"/>
          </w:tcPr>
          <w:p>
            <w:pPr>
              <w:ind w:left="40"/>
              <w:spacing w:after="0"/>
              <w:rPr>
                <w:sz w:val="20"/>
                <w:szCs w:val="20"/>
                <w:color w:val="auto"/>
              </w:rPr>
            </w:pPr>
            <w:r>
              <w:rPr>
                <w:rFonts w:ascii="Arial" w:cs="Arial" w:eastAsia="Arial" w:hAnsi="Arial"/>
                <w:sz w:val="16"/>
                <w:szCs w:val="16"/>
                <w:b w:val="1"/>
                <w:bCs w:val="1"/>
                <w:color w:val="auto"/>
              </w:rPr>
              <w:t>Milestone Event</w:t>
            </w:r>
          </w:p>
        </w:tc>
        <w:tc>
          <w:tcPr>
            <w:tcW w:w="1080" w:type="dxa"/>
            <w:vAlign w:val="bottom"/>
          </w:tcPr>
          <w:p>
            <w:pPr>
              <w:ind w:left="300"/>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Recognized</w:t>
            </w:r>
          </w:p>
        </w:tc>
        <w:tc>
          <w:tcPr>
            <w:tcW w:w="1080" w:type="dxa"/>
            <w:vAlign w:val="bottom"/>
          </w:tcPr>
          <w:p>
            <w:pPr>
              <w:ind w:left="300"/>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Recognized</w:t>
            </w:r>
          </w:p>
        </w:tc>
        <w:tc>
          <w:tcPr>
            <w:tcW w:w="1080" w:type="dxa"/>
            <w:vAlign w:val="bottom"/>
          </w:tcPr>
          <w:p>
            <w:pPr>
              <w:ind w:left="280"/>
              <w:spacing w:after="0"/>
              <w:rPr>
                <w:sz w:val="20"/>
                <w:szCs w:val="20"/>
                <w:color w:val="auto"/>
              </w:rPr>
            </w:pPr>
            <w:r>
              <w:rPr>
                <w:rFonts w:ascii="Arial" w:cs="Arial" w:eastAsia="Arial" w:hAnsi="Arial"/>
                <w:sz w:val="16"/>
                <w:szCs w:val="16"/>
                <w:b w:val="1"/>
                <w:bCs w:val="1"/>
                <w:color w:val="auto"/>
              </w:rPr>
              <w:t>Amount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Recognized</w:t>
            </w:r>
          </w:p>
        </w:tc>
      </w:tr>
      <w:tr>
        <w:trPr>
          <w:trHeight w:val="33"/>
        </w:trPr>
        <w:tc>
          <w:tcPr>
            <w:tcW w:w="4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436"/>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good laboratory</w:t>
            </w:r>
          </w:p>
        </w:tc>
        <w:tc>
          <w:tcPr>
            <w:tcW w:w="10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19"/>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practices (GLPs)</w:t>
            </w:r>
          </w:p>
        </w:tc>
        <w:tc>
          <w:tcPr>
            <w:tcW w:w="1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$1.0M</w:t>
            </w:r>
          </w:p>
        </w:tc>
        <w:tc>
          <w:tcPr>
            <w:tcW w:w="13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Q2'15</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$1.0M</w:t>
            </w:r>
          </w:p>
        </w:tc>
        <w:tc>
          <w:tcPr>
            <w:tcW w:w="13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Q4'15</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$1.0M</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Q3'16</w:t>
            </w: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IND clearance from the FDA</w:t>
            </w:r>
          </w:p>
        </w:tc>
        <w:tc>
          <w:tcPr>
            <w:tcW w:w="1080" w:type="dxa"/>
            <w:vAlign w:val="bottom"/>
          </w:tcPr>
          <w:p>
            <w:pPr>
              <w:ind w:left="360"/>
              <w:spacing w:after="0"/>
              <w:rPr>
                <w:sz w:val="20"/>
                <w:szCs w:val="20"/>
                <w:color w:val="auto"/>
              </w:rPr>
            </w:pPr>
            <w:r>
              <w:rPr>
                <w:rFonts w:ascii="Arial" w:cs="Arial" w:eastAsia="Arial" w:hAnsi="Arial"/>
                <w:sz w:val="16"/>
                <w:szCs w:val="16"/>
                <w:color w:val="auto"/>
              </w:rPr>
              <w:t>$4.0M</w:t>
            </w:r>
          </w:p>
        </w:tc>
        <w:tc>
          <w:tcPr>
            <w:tcW w:w="130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Q1'16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$4.0M</w:t>
            </w:r>
          </w:p>
        </w:tc>
        <w:tc>
          <w:tcPr>
            <w:tcW w:w="130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Q2'16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$4.0M</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Q2'17</w:t>
            </w:r>
          </w:p>
        </w:tc>
      </w:tr>
      <w:tr>
        <w:trPr>
          <w:trHeight w:val="33"/>
        </w:trPr>
        <w:tc>
          <w:tcPr>
            <w:tcW w:w="4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Phase 2 clinical trial initiation</w:t>
            </w:r>
          </w:p>
        </w:tc>
        <w:tc>
          <w:tcPr>
            <w:tcW w:w="1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$3.0M</w:t>
            </w:r>
          </w:p>
        </w:tc>
        <w:tc>
          <w:tcPr>
            <w:tcW w:w="13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Q2'17</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$3.0M</w:t>
            </w:r>
          </w:p>
        </w:tc>
        <w:tc>
          <w:tcPr>
            <w:tcW w:w="13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Q4'17</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$3.0M</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Q4'19</w:t>
            </w: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Phase 3 clinical trial initiation - first indication</w:t>
            </w:r>
          </w:p>
        </w:tc>
        <w:tc>
          <w:tcPr>
            <w:tcW w:w="1080" w:type="dxa"/>
            <w:vAlign w:val="bottom"/>
          </w:tcPr>
          <w:p>
            <w:pPr>
              <w:ind w:left="360"/>
              <w:spacing w:after="0"/>
              <w:rPr>
                <w:sz w:val="20"/>
                <w:szCs w:val="20"/>
                <w:color w:val="auto"/>
              </w:rPr>
            </w:pPr>
            <w:r>
              <w:rPr>
                <w:rFonts w:ascii="Arial" w:cs="Arial" w:eastAsia="Arial" w:hAnsi="Arial"/>
                <w:sz w:val="16"/>
                <w:szCs w:val="16"/>
                <w:color w:val="auto"/>
              </w:rPr>
              <w:t>$5.0M</w:t>
            </w:r>
          </w:p>
        </w:tc>
        <w:tc>
          <w:tcPr>
            <w:tcW w:w="130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Q3'18</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4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Phase 3 clinical trial initiation - second indication</w:t>
            </w:r>
          </w:p>
        </w:tc>
        <w:tc>
          <w:tcPr>
            <w:tcW w:w="1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$5.0M</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Q2'19</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4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166" w:lineRule="exact"/>
        <w:rPr>
          <w:sz w:val="20"/>
          <w:szCs w:val="20"/>
          <w:color w:val="auto"/>
        </w:rPr>
      </w:pPr>
    </w:p>
    <w:p>
      <w:pPr>
        <w:jc w:val="both"/>
        <w:ind w:right="40" w:firstLine="567"/>
        <w:spacing w:after="0" w:line="264" w:lineRule="auto"/>
        <w:rPr>
          <w:sz w:val="20"/>
          <w:szCs w:val="20"/>
          <w:color w:val="auto"/>
        </w:rPr>
      </w:pPr>
      <w:r>
        <w:rPr>
          <w:rFonts w:ascii="Arial" w:cs="Arial" w:eastAsia="Arial" w:hAnsi="Arial"/>
          <w:sz w:val="18"/>
          <w:szCs w:val="18"/>
          <w:color w:val="auto"/>
        </w:rPr>
        <w:t>We recognized $8.0 million in revenue under this agreement during the year ended December 31, 2019 related to two milestones and recognized $5.0 million during the year ended December 31, 2018 related to one milestone. We recognized aggregated revenue under this agreement of $10.0 million during the year ended December 31, 2017 related to three milestones.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90"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In December 2011, we entered into a license and collaboration agreement with Celgene, now a part of Bristol-Myers Squibb, or the Celgene Agreement,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 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773" w:right="279" w:bottom="1440" w:gutter="0" w:footer="0" w:header="0"/>
        </w:sectPr>
      </w:pPr>
    </w:p>
    <w:bookmarkStart w:id="91" w:name="page92"/>
    <w:bookmarkEnd w:id="91"/>
    <w:p>
      <w:pPr>
        <w:ind w:right="60" w:firstLine="567"/>
        <w:spacing w:after="0" w:line="290" w:lineRule="auto"/>
        <w:rPr>
          <w:sz w:val="20"/>
          <w:szCs w:val="20"/>
          <w:color w:val="auto"/>
        </w:rPr>
      </w:pPr>
      <w:r>
        <w:rPr>
          <w:rFonts w:ascii="Arial" w:cs="Arial" w:eastAsia="Arial" w:hAnsi="Arial"/>
          <w:sz w:val="16"/>
          <w:szCs w:val="16"/>
          <w:color w:val="auto"/>
        </w:rPr>
        <w:t>We assessed this arrangement in accordance with ASC Topic 606 and concluded that the contract counterparty, Celgene, is a customer. We identified the following material promises under the Celgene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Celgene, Celgene’s inability to sub-license the four targets,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24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of December 31, 2019, the transaction price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the licensees’ efforts. Any consideration related to sales-based milestones, including royalties, will be recognized when the related sales occur as they were determined to relate predominantly to the IP license granted to Celgene and therefore have also been excluded from the transaction price. We will re-evaluate the transaction price in each reporting period and as uncertain events are resolved or other changes in circumstances occur.</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achieved through December 31, 2019 under the Celgene Agreement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2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Anti-PD-1</w:t>
            </w:r>
          </w:p>
        </w:tc>
      </w:tr>
      <w:tr>
        <w:trPr>
          <w:trHeight w:val="210"/>
        </w:trPr>
        <w:tc>
          <w:tcPr>
            <w:tcW w:w="9160" w:type="dxa"/>
            <w:vAlign w:val="bottom"/>
          </w:tcPr>
          <w:p>
            <w:pPr>
              <w:spacing w:after="0"/>
              <w:rPr>
                <w:sz w:val="18"/>
                <w:szCs w:val="18"/>
                <w:color w:val="auto"/>
              </w:rPr>
            </w:pPr>
          </w:p>
        </w:tc>
        <w:tc>
          <w:tcPr>
            <w:tcW w:w="2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(CC-90006)</w:t>
            </w:r>
          </w:p>
        </w:tc>
      </w:tr>
      <w:tr>
        <w:trPr>
          <w:trHeight w:val="33"/>
        </w:trPr>
        <w:tc>
          <w:tcPr>
            <w:tcW w:w="9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9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Quarter</w:t>
            </w:r>
          </w:p>
        </w:tc>
      </w:tr>
      <w:tr>
        <w:trPr>
          <w:trHeight w:val="210"/>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Milestone Event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6"/>
              </w:rPr>
              <w:t>Recognized</w:t>
            </w:r>
          </w:p>
        </w:tc>
      </w:tr>
      <w:tr>
        <w:trPr>
          <w:trHeight w:val="33"/>
        </w:trPr>
        <w:tc>
          <w:tcPr>
            <w:tcW w:w="9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453"/>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Completion of first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$0.5M</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Q2'16</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Phase 1 clinical trial initiation</w:t>
            </w: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$1.0M</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Q4'16</w:t>
            </w:r>
          </w:p>
        </w:tc>
      </w:tr>
    </w:tbl>
    <w:p>
      <w:pPr>
        <w:spacing w:after="0" w:line="200" w:lineRule="exact"/>
        <w:rPr>
          <w:sz w:val="20"/>
          <w:szCs w:val="20"/>
          <w:color w:val="auto"/>
        </w:rPr>
      </w:pPr>
    </w:p>
    <w:p>
      <w:pPr>
        <w:spacing w:after="0" w:line="332"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Revenue from future contingent milestone payments will be recognized when it is more likely than not that the revenue will not be reversed in future periods. Cash is generally received within 30 days of milestone achievement.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was no revenue recognized under this agreement during the years ended December 31, 2019, 2018, and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right="280" w:firstLine="567"/>
        <w:spacing w:after="0" w:line="264" w:lineRule="auto"/>
        <w:rPr>
          <w:sz w:val="20"/>
          <w:szCs w:val="20"/>
          <w:color w:val="auto"/>
        </w:rPr>
      </w:pPr>
      <w:r>
        <w:rPr>
          <w:rFonts w:ascii="Arial" w:cs="Arial" w:eastAsia="Arial" w:hAnsi="Arial"/>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with a fixed interest rate of 6.97%.</w:t>
      </w:r>
    </w:p>
    <w:p>
      <w:pPr>
        <w:spacing w:after="0" w:line="181" w:lineRule="exact"/>
        <w:rPr>
          <w:sz w:val="20"/>
          <w:szCs w:val="20"/>
          <w:color w:val="auto"/>
        </w:rPr>
      </w:pPr>
    </w:p>
    <w:p>
      <w:pPr>
        <w:ind w:right="80" w:firstLine="567"/>
        <w:spacing w:after="0" w:line="297" w:lineRule="auto"/>
        <w:rPr>
          <w:sz w:val="20"/>
          <w:szCs w:val="20"/>
          <w:color w:val="auto"/>
        </w:rPr>
      </w:pPr>
      <w:r>
        <w:rPr>
          <w:rFonts w:ascii="Arial" w:cs="Arial" w:eastAsia="Arial" w:hAnsi="Arial"/>
          <w:sz w:val="16"/>
          <w:szCs w:val="16"/>
          <w:color w:val="auto"/>
        </w:rPr>
        <w:t>In connection with the issuance of the Term A Loans, we issued detachable, fully vested warrants to purchase an aggregate of 41,208 shares of Series C Preferred Stock at an exercise price of $4.55 per share to the lenders.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58" w:lineRule="exact"/>
        <w:rPr>
          <w:sz w:val="20"/>
          <w:szCs w:val="20"/>
          <w:color w:val="auto"/>
        </w:rPr>
      </w:pPr>
    </w:p>
    <w:p>
      <w:pPr>
        <w:ind w:right="60" w:firstLine="567"/>
        <w:spacing w:after="0" w:line="271" w:lineRule="auto"/>
        <w:rPr>
          <w:sz w:val="20"/>
          <w:szCs w:val="20"/>
          <w:color w:val="auto"/>
        </w:rPr>
      </w:pPr>
      <w:r>
        <w:rPr>
          <w:rFonts w:ascii="Arial" w:cs="Arial" w:eastAsia="Arial" w:hAnsi="Arial"/>
          <w:sz w:val="17"/>
          <w:szCs w:val="17"/>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 drawn on December 30, 2016, (ii) delay principal repayments of all Term Loans until February 1, 2018 and (iii) amend the interest rate for each Term Loan. The Term B Loans and the Term C Loans were drawn on December 30, 2016, and Term A, B and C Loans are now collectively referred to as the Term Loans. Principal repayments began in February 2018, and as of December 31, 2019, there is one monthly principal and interest payment remaining on the Term Loans, with final maturity in January 2020. The Term Loans bear interest equal to the greater of 3-month U.S. LIBOR plus 6.37% or 7.3%. The interest rate was 8.28% as of December 31, 2019.</w:t>
      </w:r>
    </w:p>
    <w:p>
      <w:pPr>
        <w:spacing w:after="0" w:line="179" w:lineRule="exact"/>
        <w:rPr>
          <w:sz w:val="20"/>
          <w:szCs w:val="20"/>
          <w:color w:val="auto"/>
        </w:rPr>
      </w:pPr>
    </w:p>
    <w:p>
      <w:pPr>
        <w:ind w:right="180" w:firstLine="567"/>
        <w:spacing w:after="0" w:line="257" w:lineRule="auto"/>
        <w:rPr>
          <w:sz w:val="20"/>
          <w:szCs w:val="20"/>
          <w:color w:val="auto"/>
        </w:rPr>
      </w:pPr>
      <w:r>
        <w:rPr>
          <w:rFonts w:ascii="Arial" w:cs="Arial" w:eastAsia="Arial" w:hAnsi="Arial"/>
          <w:sz w:val="18"/>
          <w:szCs w:val="18"/>
          <w:color w:val="auto"/>
        </w:rPr>
        <w:t>In connection with the issuance of the Term B &amp; C Loans, we issued detachable, fully vested warrants to purchase an aggregate of 82,416 shares of Series C Preferred Stock at an exercise price of $4.55 per share to the lenders. The grant-date fair value of the warrants of $0.9 million was recorded as a liability, with a reduction to the carrying value of the Term B &amp; C Loans, and which is recognized as additional interest expense over the remaining term of the Loans. The initial fair value of the warrants was determined using the Black-Scholes option pricing model with the following assumptions: a stock price volatility</w:t>
      </w:r>
    </w:p>
    <w:p>
      <w:pPr>
        <w:sectPr>
          <w:pgSz w:w="11900" w:h="16838" w:orient="portrait"/>
          <w:cols w:equalWidth="0" w:num="1">
            <w:col w:w="11420"/>
          </w:cols>
          <w:pgMar w:left="240" w:top="638"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638" w:right="239" w:bottom="1440" w:gutter="0" w:footer="0" w:header="0"/>
          <w:type w:val="continuous"/>
        </w:sectPr>
      </w:pPr>
    </w:p>
    <w:bookmarkStart w:id="92" w:name="page93"/>
    <w:bookmarkEnd w:id="92"/>
    <w:p>
      <w:pPr>
        <w:ind w:right="40"/>
        <w:spacing w:after="0" w:line="312" w:lineRule="auto"/>
        <w:rPr>
          <w:sz w:val="20"/>
          <w:szCs w:val="20"/>
          <w:color w:val="auto"/>
        </w:rPr>
      </w:pPr>
      <w:r>
        <w:rPr>
          <w:rFonts w:ascii="Arial" w:cs="Arial" w:eastAsia="Arial" w:hAnsi="Arial"/>
          <w:sz w:val="16"/>
          <w:szCs w:val="16"/>
          <w:color w:val="auto"/>
        </w:rPr>
        <w:t>of 79.2%, an expected life equal to the contractual term of the warrants of ten years and a risk-free interest rate of 2.45%. All of the outstanding warrants to purchase shares of preferred stock automatically converted into warrants to purchase shares of common stock in connection with the IPO and were accounted for as equity from the conversion date forward. All warrants related to Term Loans were exercised during the year ended December 31, 2017.</w:t>
      </w:r>
    </w:p>
    <w:p>
      <w:pPr>
        <w:spacing w:after="0" w:line="14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costs incurred to issue the Term Loans were deferred and are included in the discount to the carrying value of the Term Loans in the accompanying balance sheet. The Term Loans also include a final payment fee of $0.8 million due at the earlier of prepayment or the maturity date of the Term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firstLine="567"/>
        <w:spacing w:after="0" w:line="342" w:lineRule="auto"/>
        <w:rPr>
          <w:sz w:val="20"/>
          <w:szCs w:val="20"/>
          <w:color w:val="auto"/>
        </w:rPr>
      </w:pPr>
      <w:r>
        <w:rPr>
          <w:rFonts w:ascii="Arial" w:cs="Arial" w:eastAsia="Arial" w:hAnsi="Arial"/>
          <w:sz w:val="16"/>
          <w:szCs w:val="16"/>
          <w:color w:val="auto"/>
        </w:rPr>
        <w:t>As of December 31, 2019, the carrying amount of the Term Loans was $1.4 million, which includes amortized final payment fees of $0.8 million and remaining principal payments of $0.6 million classified as current liabilities. The effective interest rate on the Term Loans at December 31, 2019 was 12.67%.</w:t>
      </w:r>
    </w:p>
    <w:p>
      <w:pPr>
        <w:spacing w:after="0" w:line="124"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The Term Loans are secured by a first priority interest in most of our assets, excluding intellectual property. As of December 31, 2019, we were in compliance with the covenants contained in the Loan Agreement.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January 1, 2020, the Term Loans were paid in full, without penalty or premium.</w:t>
      </w:r>
    </w:p>
    <w:p>
      <w:pPr>
        <w:spacing w:after="0" w:line="329" w:lineRule="exact"/>
        <w:rPr>
          <w:sz w:val="20"/>
          <w:szCs w:val="20"/>
          <w:color w:val="auto"/>
        </w:rPr>
      </w:pPr>
    </w:p>
    <w:p>
      <w:pPr>
        <w:ind w:left="260" w:right="6520" w:hanging="252"/>
        <w:spacing w:after="0" w:line="503" w:lineRule="auto"/>
        <w:tabs>
          <w:tab w:leader="none" w:pos="197"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and Available for Sale Investments </w:t>
      </w:r>
      <w:r>
        <w:rPr>
          <w:rFonts w:ascii="Arial" w:cs="Arial" w:eastAsia="Arial" w:hAnsi="Arial"/>
          <w:sz w:val="18"/>
          <w:szCs w:val="18"/>
          <w:b w:val="1"/>
          <w:bCs w:val="1"/>
          <w:i w:val="1"/>
          <w:iCs w:val="1"/>
          <w:color w:val="auto"/>
        </w:rPr>
        <w:t>Fair Value Measurements</w:t>
      </w:r>
    </w:p>
    <w:p>
      <w:pPr>
        <w:spacing w:after="0" w:line="1"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Our financial instruments consist principally of cash, cash equivalents, restricted cash, short-term and long-term investments, receivables, accounts payable, notes payable. Certain of our financial assets and liabilities have been recorded at fair value in the consolidated balance sheet in accordance with the accounting standards for fair value measurements.</w:t>
      </w:r>
    </w:p>
    <w:p>
      <w:pPr>
        <w:spacing w:after="0" w:line="18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Level 3 - Unobservable inputs that are supported by little or no market activities, therefore requiring an entity to develop its own assumptions.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773" w:right="259" w:bottom="1440" w:gutter="0" w:footer="0" w:header="0"/>
        </w:sectPr>
      </w:pPr>
    </w:p>
    <w:bookmarkStart w:id="93" w:name="page94"/>
    <w:bookmarkEnd w:id="93"/>
    <w:p>
      <w:pPr>
        <w:ind w:left="3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280" w:firstLine="567"/>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6"/>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Quoted Market</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Prices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9"/>
        </w:trPr>
        <w:tc>
          <w:tcPr>
            <w:tcW w:w="5160" w:type="dxa"/>
            <w:vAlign w:val="bottom"/>
            <w:tcBorders>
              <w:top w:val="single" w:sz="8" w:color="CFF0FC"/>
            </w:tcBorders>
            <w:gridSpan w:val="3"/>
            <w:shd w:val="clear" w:color="auto" w:fill="CFF0FC"/>
          </w:tcPr>
          <w:p>
            <w:pPr>
              <w:ind w:left="40"/>
              <w:spacing w:after="0" w:line="189" w:lineRule="exact"/>
              <w:rPr>
                <w:sz w:val="20"/>
                <w:szCs w:val="20"/>
                <w:color w:val="auto"/>
              </w:rPr>
            </w:pPr>
            <w:r>
              <w:rPr>
                <w:rFonts w:ascii="Arial" w:cs="Arial" w:eastAsia="Arial" w:hAnsi="Arial"/>
                <w:sz w:val="18"/>
                <w:szCs w:val="18"/>
                <w:b w:val="1"/>
                <w:bCs w:val="1"/>
                <w:color w:val="auto"/>
              </w:rPr>
              <w:t>At December 31, 2019</w:t>
            </w:r>
          </w:p>
        </w:tc>
        <w:tc>
          <w:tcPr>
            <w:tcW w:w="34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FF0FC"/>
            </w:tcBorders>
            <w:shd w:val="clear" w:color="auto" w:fill="CFF0FC"/>
          </w:tcPr>
          <w:p>
            <w:pPr>
              <w:spacing w:after="0"/>
              <w:rPr>
                <w:sz w:val="5"/>
                <w:szCs w:val="5"/>
                <w:color w:val="auto"/>
              </w:rPr>
            </w:pPr>
          </w:p>
        </w:tc>
        <w:tc>
          <w:tcPr>
            <w:tcW w:w="1680" w:type="dxa"/>
            <w:vAlign w:val="bottom"/>
            <w:tcBorders>
              <w:top w:val="single" w:sz="8" w:color="auto"/>
            </w:tcBorders>
            <w:shd w:val="clear" w:color="auto" w:fill="CFF0FC"/>
          </w:tcPr>
          <w:p>
            <w:pPr>
              <w:spacing w:after="0"/>
              <w:rPr>
                <w:sz w:val="5"/>
                <w:szCs w:val="5"/>
                <w:color w:val="auto"/>
              </w:rPr>
            </w:pPr>
          </w:p>
        </w:tc>
        <w:tc>
          <w:tcPr>
            <w:tcW w:w="344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16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1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3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26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162,928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162,928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7,619</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7,619</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96,434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96,434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5,428</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5,428</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33,623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33,623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122,030</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122,030</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At December 31, 2018</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3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87,213</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87,213</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7,967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164,245</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164,245</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4,784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(1)(2)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81,296</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81,296</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6"/>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(1)(2)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153,983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153,983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left="460" w:hanging="452"/>
        <w:spacing w:after="0" w:line="183" w:lineRule="auto"/>
        <w:tabs>
          <w:tab w:leader="none" w:pos="4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Included in cash and cash equivalents or restricted cash in the accompanying consolidated balance sheets.</w:t>
      </w:r>
    </w:p>
    <w:p>
      <w:pPr>
        <w:spacing w:after="0" w:line="29" w:lineRule="exact"/>
        <w:rPr>
          <w:rFonts w:ascii="Arial" w:cs="Arial" w:eastAsia="Arial" w:hAnsi="Arial"/>
          <w:sz w:val="25"/>
          <w:szCs w:val="25"/>
          <w:color w:val="auto"/>
          <w:vertAlign w:val="superscript"/>
        </w:rPr>
      </w:pPr>
    </w:p>
    <w:p>
      <w:pPr>
        <w:ind w:left="460" w:hanging="452"/>
        <w:spacing w:after="0" w:line="186" w:lineRule="auto"/>
        <w:tabs>
          <w:tab w:leader="none" w:pos="460"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right="160" w:firstLine="567"/>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fair value of our other financial instruments estimated as of December 31, 2019 and December 31, 2018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1"/>
              </w:rPr>
              <w:t>December 31, 2019</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1"/>
              </w:rPr>
              <w:t>December 31, 2018</w:t>
            </w:r>
          </w:p>
        </w:tc>
        <w:tc>
          <w:tcPr>
            <w:tcW w:w="920" w:type="dxa"/>
            <w:vAlign w:val="bottom"/>
            <w:tcBorders>
              <w:bottom w:val="single" w:sz="8" w:color="auto"/>
            </w:tcBorders>
          </w:tcPr>
          <w:p>
            <w:pPr>
              <w:spacing w:after="0"/>
              <w:rPr>
                <w:sz w:val="16"/>
                <w:szCs w:val="16"/>
                <w:color w:val="auto"/>
              </w:rPr>
            </w:pPr>
          </w:p>
        </w:tc>
      </w:tr>
      <w:tr>
        <w:trPr>
          <w:trHeight w:val="166"/>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4"/>
                <w:szCs w:val="14"/>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w w:val="90"/>
              </w:rPr>
              <w:t>Value</w:t>
            </w:r>
          </w:p>
        </w:tc>
      </w:tr>
      <w:tr>
        <w:trPr>
          <w:trHeight w:val="243"/>
        </w:trPr>
        <w:tc>
          <w:tcPr>
            <w:tcW w:w="516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Notes payable</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rPr>
              <w:t>1,375</w:t>
            </w:r>
          </w:p>
        </w:tc>
        <w:tc>
          <w:tcPr>
            <w:tcW w:w="120" w:type="dxa"/>
            <w:vAlign w:val="bottom"/>
            <w:tcBorders>
              <w:top w:val="single" w:sz="8" w:color="CFF0FC"/>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1,365</w:t>
            </w:r>
          </w:p>
        </w:tc>
        <w:tc>
          <w:tcPr>
            <w:tcW w:w="10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8,199</w:t>
            </w:r>
          </w:p>
        </w:tc>
        <w:tc>
          <w:tcPr>
            <w:tcW w:w="10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8,806</w:t>
            </w:r>
          </w:p>
        </w:tc>
      </w:tr>
      <w:tr>
        <w:trPr>
          <w:trHeight w:val="27"/>
        </w:trPr>
        <w:tc>
          <w:tcPr>
            <w:tcW w:w="51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methods and assumptions were used to estimate the fair value of our notes payable:</w:t>
      </w:r>
    </w:p>
    <w:p>
      <w:pPr>
        <w:spacing w:after="0" w:line="225"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—We use the income approach to value the aforementioned debt instrument. We use a present value calculation to discount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187" w:lineRule="exact"/>
        <w:rPr>
          <w:sz w:val="20"/>
          <w:szCs w:val="20"/>
          <w:color w:val="auto"/>
        </w:rPr>
      </w:pPr>
    </w:p>
    <w:p>
      <w:pPr>
        <w:ind w:right="480" w:firstLine="609"/>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Australian tax incentive receivable, accounts payable, and accrued expenses approximate fair value due to their short-term nature.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Available for Sale Investments</w:t>
      </w:r>
    </w:p>
    <w:p>
      <w:pPr>
        <w:sectPr>
          <w:pgSz w:w="11900" w:h="16838" w:orient="portrait"/>
          <w:cols w:equalWidth="0" w:num="1">
            <w:col w:w="11420"/>
          </w:cols>
          <w:pgMar w:left="240" w:top="773"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773" w:right="239" w:bottom="1440" w:gutter="0" w:footer="0" w:header="0"/>
          <w:type w:val="continuous"/>
        </w:sectPr>
      </w:pPr>
    </w:p>
    <w:bookmarkStart w:id="94" w:name="page95"/>
    <w:bookmarkEnd w:id="94"/>
    <w:p>
      <w:pPr>
        <w:ind w:right="80" w:firstLine="567"/>
        <w:spacing w:after="0" w:line="259" w:lineRule="auto"/>
        <w:rPr>
          <w:sz w:val="20"/>
          <w:szCs w:val="20"/>
          <w:color w:val="auto"/>
        </w:rPr>
      </w:pPr>
      <w:r>
        <w:rPr>
          <w:rFonts w:ascii="Arial" w:cs="Arial" w:eastAsia="Arial" w:hAnsi="Arial"/>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December 31, 2019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Unrealized Gains</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1"/>
              </w:rPr>
              <w:t>Unrealized Losses</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(1)</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33,543</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33,623</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5,381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(3)</w:t>
            </w:r>
          </w:p>
        </w:tc>
        <w:tc>
          <w:tcPr>
            <w:tcW w:w="2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121,809</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122,030</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FF0FC"/>
            </w:tcBorders>
          </w:tcPr>
          <w:p>
            <w:pPr>
              <w:ind w:left="40"/>
              <w:spacing w:after="0" w:line="27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96,236</w:t>
            </w:r>
          </w:p>
        </w:tc>
        <w:tc>
          <w:tcPr>
            <w:tcW w:w="1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96,434</w:t>
            </w:r>
          </w:p>
        </w:tc>
        <w:tc>
          <w:tcPr>
            <w:tcW w:w="0" w:type="dxa"/>
            <w:vAlign w:val="bottom"/>
          </w:tcPr>
          <w:p>
            <w:pPr>
              <w:spacing w:after="0"/>
              <w:rPr>
                <w:sz w:val="1"/>
                <w:szCs w:val="1"/>
                <w:color w:val="auto"/>
              </w:rPr>
            </w:pPr>
          </w:p>
        </w:tc>
      </w:tr>
      <w:tr>
        <w:trPr>
          <w:trHeight w:val="269"/>
        </w:trPr>
        <w:tc>
          <w:tcPr>
            <w:tcW w:w="5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256,969</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257,515</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43053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-205105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-205105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43053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-899795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-899795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-899795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left="460" w:right="120" w:hanging="452"/>
        <w:spacing w:after="0" w:line="216" w:lineRule="auto"/>
        <w:tabs>
          <w:tab w:leader="none" w:pos="4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Of our outstanding agency securities, $16.5 million have maturity dates of less than one year and $17.1 million have a maturity date of between one to two years as of December 31, 2019.</w:t>
      </w:r>
    </w:p>
    <w:p>
      <w:pPr>
        <w:spacing w:after="0" w:line="14" w:lineRule="exact"/>
        <w:rPr>
          <w:rFonts w:ascii="Arial" w:cs="Arial" w:eastAsia="Arial" w:hAnsi="Arial"/>
          <w:sz w:val="25"/>
          <w:szCs w:val="25"/>
          <w:color w:val="auto"/>
          <w:vertAlign w:val="superscript"/>
        </w:rPr>
      </w:pPr>
    </w:p>
    <w:p>
      <w:pPr>
        <w:ind w:left="460" w:right="120" w:hanging="452"/>
        <w:spacing w:after="0" w:line="216" w:lineRule="auto"/>
        <w:tabs>
          <w:tab w:leader="none" w:pos="4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Of our outstanding certificates of deposit, $4.6 million have a maturity date of less than one year and $0.8 million have a maturity date of between one to two years as of December 31, 2019.</w:t>
      </w:r>
    </w:p>
    <w:p>
      <w:pPr>
        <w:spacing w:after="0" w:line="14" w:lineRule="exact"/>
        <w:rPr>
          <w:rFonts w:ascii="Arial" w:cs="Arial" w:eastAsia="Arial" w:hAnsi="Arial"/>
          <w:sz w:val="25"/>
          <w:szCs w:val="25"/>
          <w:color w:val="auto"/>
          <w:vertAlign w:val="superscript"/>
        </w:rPr>
      </w:pPr>
    </w:p>
    <w:p>
      <w:pPr>
        <w:ind w:left="460" w:right="240" w:hanging="452"/>
        <w:spacing w:after="0" w:line="216" w:lineRule="auto"/>
        <w:tabs>
          <w:tab w:leader="none" w:pos="4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Of our outstanding commercial and corporate obligations, $111.1 million have maturity dates of less than one year and $10.9 million have a maturity date of between one to two years as of December 31, 2019.</w:t>
      </w:r>
    </w:p>
    <w:p>
      <w:pPr>
        <w:spacing w:after="0" w:line="14" w:lineRule="exact"/>
        <w:rPr>
          <w:rFonts w:ascii="Arial" w:cs="Arial" w:eastAsia="Arial" w:hAnsi="Arial"/>
          <w:sz w:val="25"/>
          <w:szCs w:val="25"/>
          <w:color w:val="auto"/>
          <w:vertAlign w:val="superscript"/>
        </w:rPr>
      </w:pPr>
    </w:p>
    <w:p>
      <w:pPr>
        <w:ind w:left="460" w:right="140" w:hanging="452"/>
        <w:spacing w:after="0" w:line="216" w:lineRule="auto"/>
        <w:tabs>
          <w:tab w:leader="none" w:pos="4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Of our outstanding U.S. Treasury securities, $70.9 million have maturity dates of less than one year and $25.5 million have a maturity date of between one to two years as of December 31, 2019.</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340" w:firstLine="567"/>
        <w:spacing w:after="0" w:line="342" w:lineRule="auto"/>
        <w:rPr>
          <w:sz w:val="20"/>
          <w:szCs w:val="20"/>
          <w:color w:val="auto"/>
        </w:rPr>
      </w:pPr>
      <w:r>
        <w:rPr>
          <w:rFonts w:ascii="Arial" w:cs="Arial" w:eastAsia="Arial" w:hAnsi="Arial"/>
          <w:sz w:val="16"/>
          <w:szCs w:val="16"/>
          <w:color w:val="auto"/>
        </w:rPr>
        <w:t>Of the 500,000,000 shares of common stock authorized, 27,255,082 shares were issued and outstanding as of December 31, 2019. Common stock reserved for future issuance upon the exercise, issuance or conversion of the respective equity instruments at December 31, 2019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Issued and Outstanding:</w:t>
            </w:r>
          </w:p>
        </w:tc>
        <w:tc>
          <w:tcPr>
            <w:tcW w:w="1380" w:type="dxa"/>
            <w:vAlign w:val="bottom"/>
            <w:shd w:val="clear" w:color="auto" w:fill="CCEEFF"/>
          </w:tcPr>
          <w:p>
            <w:pPr>
              <w:spacing w:after="0"/>
              <w:rPr>
                <w:sz w:val="23"/>
                <w:szCs w:val="23"/>
                <w:color w:val="auto"/>
              </w:rPr>
            </w:pPr>
          </w:p>
        </w:tc>
      </w:tr>
      <w:tr>
        <w:trPr>
          <w:trHeight w:val="257"/>
        </w:trPr>
        <w:tc>
          <w:tcPr>
            <w:tcW w:w="10020" w:type="dxa"/>
            <w:vAlign w:val="bottom"/>
            <w:gridSpan w:val="2"/>
          </w:tcPr>
          <w:p>
            <w:pPr>
              <w:ind w:left="280"/>
              <w:spacing w:after="0"/>
              <w:rPr>
                <w:sz w:val="20"/>
                <w:szCs w:val="20"/>
                <w:color w:val="auto"/>
              </w:rPr>
            </w:pPr>
            <w:r>
              <w:rPr>
                <w:rFonts w:ascii="Arial" w:cs="Arial" w:eastAsia="Arial" w:hAnsi="Arial"/>
                <w:sz w:val="18"/>
                <w:szCs w:val="18"/>
                <w:color w:val="auto"/>
              </w:rPr>
              <w:t>Stock options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3,039,880</w:t>
            </w:r>
          </w:p>
        </w:tc>
      </w:tr>
      <w:tr>
        <w:trPr>
          <w:trHeight w:val="27"/>
        </w:trPr>
        <w:tc>
          <w:tcPr>
            <w:tcW w:w="100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0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Reserved For:</w:t>
            </w:r>
          </w:p>
        </w:tc>
        <w:tc>
          <w:tcPr>
            <w:tcW w:w="1380" w:type="dxa"/>
            <w:vAlign w:val="bottom"/>
            <w:tcBorders>
              <w:bottom w:val="single" w:sz="8" w:color="CCEEFF"/>
            </w:tcBorders>
            <w:shd w:val="clear" w:color="auto" w:fill="CCEEFF"/>
          </w:tcPr>
          <w:p>
            <w:pPr>
              <w:spacing w:after="0"/>
              <w:rPr>
                <w:sz w:val="21"/>
                <w:szCs w:val="21"/>
                <w:color w:val="auto"/>
              </w:rPr>
            </w:pPr>
          </w:p>
        </w:tc>
      </w:tr>
      <w:tr>
        <w:trPr>
          <w:trHeight w:val="257"/>
        </w:trPr>
        <w:tc>
          <w:tcPr>
            <w:tcW w:w="660" w:type="dxa"/>
            <w:vAlign w:val="bottom"/>
          </w:tcPr>
          <w:p>
            <w:pPr>
              <w:ind w:left="280"/>
              <w:spacing w:after="0"/>
              <w:rPr>
                <w:sz w:val="20"/>
                <w:szCs w:val="20"/>
                <w:color w:val="auto"/>
              </w:rPr>
            </w:pPr>
            <w:r>
              <w:rPr>
                <w:rFonts w:ascii="Arial" w:cs="Arial" w:eastAsia="Arial" w:hAnsi="Arial"/>
                <w:sz w:val="18"/>
                <w:szCs w:val="18"/>
                <w:color w:val="auto"/>
                <w:w w:val="89"/>
              </w:rPr>
              <w:t>2017</w:t>
            </w:r>
          </w:p>
        </w:tc>
        <w:tc>
          <w:tcPr>
            <w:tcW w:w="936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1,877,211</w:t>
            </w:r>
          </w:p>
        </w:tc>
      </w:tr>
      <w:tr>
        <w:trPr>
          <w:trHeight w:val="27"/>
        </w:trPr>
        <w:tc>
          <w:tcPr>
            <w:tcW w:w="66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84"/>
        </w:trPr>
        <w:tc>
          <w:tcPr>
            <w:tcW w:w="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89"/>
              </w:rPr>
              <w:t>2017</w:t>
            </w:r>
          </w:p>
        </w:tc>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725,132</w:t>
            </w:r>
          </w:p>
        </w:tc>
      </w:tr>
      <w:tr>
        <w:trPr>
          <w:trHeight w:val="237"/>
        </w:trPr>
        <w:tc>
          <w:tcPr>
            <w:tcW w:w="660" w:type="dxa"/>
            <w:vAlign w:val="bottom"/>
          </w:tcPr>
          <w:p>
            <w:pPr>
              <w:ind w:left="40"/>
              <w:spacing w:after="0"/>
              <w:rPr>
                <w:sz w:val="20"/>
                <w:szCs w:val="20"/>
                <w:color w:val="auto"/>
              </w:rPr>
            </w:pPr>
            <w:r>
              <w:rPr>
                <w:rFonts w:ascii="Arial" w:cs="Arial" w:eastAsia="Arial" w:hAnsi="Arial"/>
                <w:sz w:val="18"/>
                <w:szCs w:val="18"/>
                <w:color w:val="auto"/>
              </w:rPr>
              <w:t>Total</w:t>
            </w:r>
          </w:p>
        </w:tc>
        <w:tc>
          <w:tcPr>
            <w:tcW w:w="9360" w:type="dxa"/>
            <w:vAlign w:val="bottom"/>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5,642,223</w:t>
            </w:r>
          </w:p>
        </w:tc>
      </w:tr>
      <w:tr>
        <w:trPr>
          <w:trHeight w:val="27"/>
        </w:trPr>
        <w:tc>
          <w:tcPr>
            <w:tcW w:w="66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80" w:firstLine="567"/>
        <w:spacing w:after="0" w:line="272" w:lineRule="auto"/>
        <w:rPr>
          <w:sz w:val="20"/>
          <w:szCs w:val="20"/>
          <w:color w:val="auto"/>
        </w:rPr>
      </w:pPr>
      <w:r>
        <w:rPr>
          <w:rFonts w:ascii="Arial" w:cs="Arial" w:eastAsia="Arial" w:hAnsi="Arial"/>
          <w:sz w:val="17"/>
          <w:szCs w:val="17"/>
          <w:color w:val="auto"/>
        </w:rPr>
        <w:t>On January 12, 2017, our board of directors and stockholders approved and adopted the 2017 Equity Incentive Plan, or the 2017 Plan. The 2017 Plan became effective upon the execution and delivery of the underwriting agreement for our initial public offering on January 26, 2017, and replaced our existing 2006 Equity Incentive Plan, or the 2006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1,076,877 shares as of January 1, 2019.</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773" w:right="239" w:bottom="1440" w:gutter="0" w:footer="0" w:header="0"/>
        </w:sectPr>
      </w:pPr>
    </w:p>
    <w:bookmarkStart w:id="95" w:name="page96"/>
    <w:bookmarkEnd w:id="95"/>
    <w:p>
      <w:pPr>
        <w:ind w:right="120" w:firstLine="567"/>
        <w:spacing w:after="0" w:line="276" w:lineRule="auto"/>
        <w:rPr>
          <w:sz w:val="20"/>
          <w:szCs w:val="20"/>
          <w:color w:val="auto"/>
        </w:rPr>
      </w:pPr>
      <w:r>
        <w:rPr>
          <w:rFonts w:ascii="Arial" w:cs="Arial" w:eastAsia="Arial" w:hAnsi="Arial"/>
          <w:sz w:val="17"/>
          <w:szCs w:val="17"/>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269,219 shares as of January 1, 2019.</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while stock options granted to directors vest over a one-year period. Each have a maximum term of ten years from the date of grant, subject to earlier cancellation prior to vesting upon cessation of service to us. A summary of the activity related to stock option awards during the year ended December 31, 2019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300" w:type="dxa"/>
            <w:vAlign w:val="bottom"/>
          </w:tcPr>
          <w:p>
            <w:pPr>
              <w:spacing w:after="0"/>
              <w:rPr>
                <w:sz w:val="14"/>
                <w:szCs w:val="14"/>
                <w:color w:val="auto"/>
              </w:rPr>
            </w:pPr>
          </w:p>
        </w:tc>
        <w:tc>
          <w:tcPr>
            <w:tcW w:w="130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Price per</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FF0FC"/>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CFF0FC"/>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January 1, 2019</w:t>
            </w:r>
          </w:p>
        </w:tc>
        <w:tc>
          <w:tcPr>
            <w:tcW w:w="162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2,152,455</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27.55</w:t>
            </w:r>
          </w:p>
        </w:tc>
        <w:tc>
          <w:tcPr>
            <w:tcW w:w="1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1,608,917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Exercises</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(333,260)</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Forfeitures and cancellations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(388,232)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56.98</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0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7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13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Outstanding at December 31, 2019</w:t>
            </w:r>
          </w:p>
        </w:tc>
        <w:tc>
          <w:tcPr>
            <w:tcW w:w="16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3,039,880</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29.40</w:t>
            </w:r>
          </w:p>
        </w:tc>
        <w:tc>
          <w:tcPr>
            <w:tcW w:w="120" w:type="dxa"/>
            <w:vAlign w:val="bottom"/>
            <w:tcBorders>
              <w:bottom w:val="single" w:sz="8" w:color="CFF0FC"/>
            </w:tcBorders>
            <w:shd w:val="clear" w:color="auto" w:fill="CFF0FC"/>
          </w:tcPr>
          <w:p>
            <w:pPr>
              <w:spacing w:after="0"/>
              <w:rPr>
                <w:sz w:val="22"/>
                <w:szCs w:val="22"/>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tcPr>
          <w:p>
            <w:pPr>
              <w:ind w:left="40"/>
              <w:spacing w:after="0"/>
              <w:rPr>
                <w:sz w:val="20"/>
                <w:szCs w:val="20"/>
                <w:color w:val="auto"/>
              </w:rPr>
            </w:pPr>
            <w:r>
              <w:rPr>
                <w:rFonts w:ascii="Arial" w:cs="Arial" w:eastAsia="Arial" w:hAnsi="Arial"/>
                <w:sz w:val="18"/>
                <w:szCs w:val="18"/>
                <w:color w:val="auto"/>
              </w:rPr>
              <w:t>Exercisable at December 31, 2019</w:t>
            </w:r>
          </w:p>
        </w:tc>
        <w:tc>
          <w:tcPr>
            <w:tcW w:w="16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1,316,137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cash received from the exercise of stock options was approximately $3.0 million during the year ended December 31, 2019.</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08"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13335</wp:posOffset>
            </wp:positionV>
            <wp:extent cx="30702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250"/>
        </w:trPr>
        <w:tc>
          <w:tcPr>
            <w:tcW w:w="6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9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9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9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6.25</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94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8"/>
              </w:rPr>
              <w:t>21.99</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61.41</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14.82</w:t>
            </w:r>
          </w:p>
        </w:tc>
      </w:tr>
      <w:tr>
        <w:trPr>
          <w:trHeight w:val="27"/>
        </w:trPr>
        <w:tc>
          <w:tcPr>
            <w:tcW w:w="65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r>
    </w:tbl>
    <w:p>
      <w:pPr>
        <w:spacing w:after="0" w:line="364" w:lineRule="exact"/>
        <w:rPr>
          <w:sz w:val="20"/>
          <w:szCs w:val="20"/>
          <w:color w:val="auto"/>
        </w:rPr>
      </w:pPr>
    </w:p>
    <w:p>
      <w:pPr>
        <w:ind w:right="120" w:firstLine="567"/>
        <w:spacing w:after="0" w:line="293" w:lineRule="auto"/>
        <w:rPr>
          <w:sz w:val="20"/>
          <w:szCs w:val="20"/>
          <w:color w:val="auto"/>
        </w:rPr>
      </w:pPr>
      <w:r>
        <w:rPr>
          <w:rFonts w:ascii="Arial" w:cs="Arial" w:eastAsia="Arial" w:hAnsi="Arial"/>
          <w:sz w:val="16"/>
          <w:szCs w:val="16"/>
          <w:color w:val="auto"/>
        </w:rPr>
        <w:t>We determine the appropriate risk free interest rate, expected term for employee stock based awards, contractual term for non-employee stock-based awards, and volatility assumptions. The weighted-average expected option term for employee and non-employee stock based awards reflects the application of the simplified method, which defines the life as the average of the contractual term of the options and the weighted average vesting period for all option tranches. Estimated volatility incorporates historical volatility of our stock price as well as similar entities whose share prices are publicly available. The risk 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73" w:right="239" w:bottom="1440" w:gutter="0" w:footer="0" w:header="0"/>
        </w:sectPr>
      </w:pPr>
    </w:p>
    <w:bookmarkStart w:id="96" w:name="page97"/>
    <w:bookmarkEnd w:id="96"/>
    <w:p>
      <w:pPr>
        <w:ind w:right="780" w:firstLine="567"/>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5,564</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1,347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6,847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3,031</w:t>
            </w:r>
          </w:p>
        </w:tc>
      </w:tr>
      <w:tr>
        <w:trPr>
          <w:trHeight w:val="27"/>
        </w:trPr>
        <w:tc>
          <w:tcPr>
            <w:tcW w:w="67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12,411</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9,961</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4,378</w:t>
            </w: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At December 31, 2019, there was $34.8 million of unrecognized compensation cost related to unvested stock option awards, which is expected to be recognized over a remaining weighted average vesting period of 3.35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right="20" w:firstLine="567"/>
        <w:spacing w:after="0" w:line="297" w:lineRule="auto"/>
        <w:rPr>
          <w:sz w:val="20"/>
          <w:szCs w:val="20"/>
          <w:color w:val="auto"/>
        </w:rPr>
      </w:pPr>
      <w:r>
        <w:rPr>
          <w:rFonts w:ascii="Arial" w:cs="Arial" w:eastAsia="Arial" w:hAnsi="Arial"/>
          <w:sz w:val="16"/>
          <w:szCs w:val="16"/>
          <w:color w:val="auto"/>
        </w:rPr>
        <w:t>Our Australian subsidiary, which conducts core research and development activities on our behalf, is eligible to receive a 43.5% refundable tax incentive for qualified research and development activities during fiscal years 2019, 2018, and 2017. For the years ended December 31, 2019, 2018 and 2017, $0.0 million, $0.1 million and $1.5 million, respectively, were recorded as a reduction to research and development expenses in the consolidated statements of operations and comprehensive loss. We received approximately $0.2 million and $1.5 million in cash during the years ended December 31, 2019 and 2018, respectively, related to the tax incentive. As of December 31, 2019, we had no remaining tax incentive receivable from the Australian government.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121"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We have a defined contribution 401(k) plan available to eligible employees. Employee contributions are voluntary and are determined on an individual basis, limited to the maximum amount allowable under U.S. federal tax regulations. During 2019, we elected to match 50% of an employee’s contributions up to 6% of the employees’ eligible salary with a maximum annual match limit of $6,000. For the year ended December 31, 2019, we incurred approximately $0.3 million of costs related to the 401(k) plan. There were no employer contributions to the plan during the years ended December 31, 2018, and 2017.</w:t>
      </w:r>
    </w:p>
    <w:p>
      <w:pPr>
        <w:spacing w:after="0" w:line="292" w:lineRule="exact"/>
        <w:rPr>
          <w:sz w:val="20"/>
          <w:szCs w:val="20"/>
          <w:color w:val="auto"/>
        </w:rPr>
      </w:pPr>
    </w:p>
    <w:p>
      <w:pPr>
        <w:ind w:left="300" w:right="8600" w:hanging="292"/>
        <w:spacing w:after="0" w:line="425" w:lineRule="auto"/>
        <w:tabs>
          <w:tab w:leader="none" w:pos="277"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have two non-cancellable office leases with remaining lease terms of approximately 2 years, each of which are classified as operating leases. Both leases expire in 2021. Only one of our leases has remaining renewal options, which includes three options to renew for one additional year. The exercise of lease renewal options is at our sole discretion, which we currently do not anticipate exercising and as such were not recognized as part of our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59"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Rent expense was $0.7 million and $0.5 million during the years ended December 31, 2018 and 2017, respectively, under Topic 840. At December 31, 2018, deferred rent aggregated $0.2 million, which is included in both current and noncurrent liabilities in the accompanying December 31, 2018 consolidated balance sheet, under Topic 840.</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balance sheet includes our ROU assets and lease liabilities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Leases</w:t>
            </w:r>
          </w:p>
        </w:tc>
        <w:tc>
          <w:tcPr>
            <w:tcW w:w="14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 on the Balance Sheet</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December 31, 2019</w:t>
            </w:r>
          </w:p>
        </w:tc>
        <w:tc>
          <w:tcPr>
            <w:tcW w:w="520" w:type="dxa"/>
            <w:vAlign w:val="bottom"/>
            <w:tcBorders>
              <w:bottom w:val="single" w:sz="8" w:color="auto"/>
            </w:tcBorders>
          </w:tcPr>
          <w:p>
            <w:pPr>
              <w:spacing w:after="0"/>
              <w:rPr>
                <w:sz w:val="16"/>
                <w:szCs w:val="16"/>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ROU assets</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1,402</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871</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costs are included in our cash flow statement (in thousands):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773"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Leases</w:t>
            </w:r>
          </w:p>
        </w:tc>
        <w:tc>
          <w:tcPr>
            <w:tcW w:w="140" w:type="dxa"/>
            <w:vAlign w:val="bottom"/>
            <w:vMerge w:val="restart"/>
          </w:tcPr>
          <w:p>
            <w:pPr>
              <w:spacing w:after="0"/>
              <w:rPr>
                <w:sz w:val="14"/>
                <w:szCs w:val="14"/>
                <w:color w:val="auto"/>
              </w:rPr>
            </w:pPr>
          </w:p>
        </w:tc>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Classification on the Cash Flow</w:t>
            </w:r>
          </w:p>
        </w:tc>
        <w:tc>
          <w:tcPr>
            <w:tcW w:w="100" w:type="dxa"/>
            <w:vAlign w:val="bottom"/>
            <w:vMerge w:val="restart"/>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Operating</w:t>
            </w:r>
          </w:p>
        </w:tc>
        <w:tc>
          <w:tcPr>
            <w:tcW w:w="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At December 31, 2019, the future minimum annual obligations under non-cancellable operating lease commitments in excess of one year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 Ending December 31, (in thousands)</w:t>
            </w: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676</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Less: Imputed interest</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Present value of lease liabilities</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20" w:firstLine="486"/>
        <w:spacing w:after="0" w:line="308" w:lineRule="auto"/>
        <w:rPr>
          <w:sz w:val="20"/>
          <w:szCs w:val="20"/>
          <w:color w:val="auto"/>
        </w:rPr>
      </w:pPr>
      <w:r>
        <w:rPr>
          <w:rFonts w:ascii="Arial" w:cs="Arial" w:eastAsia="Arial" w:hAnsi="Arial"/>
          <w:sz w:val="17"/>
          <w:szCs w:val="17"/>
          <w:color w:val="auto"/>
        </w:rPr>
        <w:t>As previously disclosed in our 2018 Annual Report on Form 10-K, and under the previous lease accounting standard, future minimum annual obligations under non-cancellable operating lease commitments in excess of one year would have been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969</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We have certain obligations under licensing agreements with third parties that are contingent upon achieving various development, regulatory and commercial milestones. Pursuant to these license agreements, we are required to make milestone payments if certain development, regulatory and commercial sales milestones are achieved. Also, pursuant to the terms of each of these license agreements, when and if commercial sales of a product commence, we will pay royalties to our licensors on net sales of the respective products.</w:t>
      </w:r>
    </w:p>
    <w:p>
      <w:pPr>
        <w:spacing w:after="0" w:line="18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Certain of the licensing agreements require guaranteed minimum annual payments. Terms of the licensing agreements generally range from the remaining life of the patent up to 19 years and, in some cases, may be subject to earlier termination by either party upon specified circumstances.</w:t>
      </w:r>
    </w:p>
    <w:p>
      <w:pPr>
        <w:spacing w:after="0" w:line="124" w:lineRule="exact"/>
        <w:rPr>
          <w:sz w:val="20"/>
          <w:szCs w:val="20"/>
          <w:color w:val="auto"/>
        </w:rPr>
      </w:pPr>
    </w:p>
    <w:p>
      <w:pPr>
        <w:jc w:val="both"/>
        <w:ind w:right="100" w:firstLine="567"/>
        <w:spacing w:after="0" w:line="264"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were $0.5 million, $0.3 million and $0.5 million during the years ended December 31, 2019, 2018 and 2017, respectively. Total cash paid under these agreements was $0.1 million, $0.2 million, and $0.6 million during the years ended December 31, 2019, 2018, and 2017, respectively.</w:t>
      </w:r>
    </w:p>
    <w:p>
      <w:pPr>
        <w:spacing w:after="0" w:line="181"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Future minimum annual obligations under all such license agreements will be $0.2 million in aggregate during 2020, and thereafter. These obligations are payable through ten years from the first commercial sale, if any, or expiration of the last patent to expire, the dates of which are not determinable at this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807" w:right="239" w:bottom="1440" w:gutter="0" w:footer="0" w:header="0"/>
        </w:sectPr>
      </w:pPr>
    </w:p>
    <w:bookmarkStart w:id="98" w:name="page99"/>
    <w:bookmarkEnd w:id="98"/>
    <w:p>
      <w:pPr>
        <w:ind w:left="340"/>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225"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193" w:lineRule="exact"/>
        <w:rPr>
          <w:sz w:val="20"/>
          <w:szCs w:val="20"/>
          <w:color w:val="auto"/>
        </w:rPr>
      </w:pPr>
    </w:p>
    <w:p>
      <w:pPr>
        <w:jc w:val="both"/>
        <w:ind w:right="280" w:firstLine="567"/>
        <w:spacing w:after="0" w:line="259" w:lineRule="auto"/>
        <w:rPr>
          <w:sz w:val="20"/>
          <w:szCs w:val="20"/>
          <w:color w:val="auto"/>
        </w:rPr>
      </w:pPr>
      <w:r>
        <w:rPr>
          <w:rFonts w:ascii="Arial" w:cs="Arial" w:eastAsia="Arial" w:hAnsi="Arial"/>
          <w:sz w:val="18"/>
          <w:szCs w:val="18"/>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187" w:lineRule="exact"/>
        <w:rPr>
          <w:sz w:val="20"/>
          <w:szCs w:val="20"/>
          <w:color w:val="auto"/>
        </w:rPr>
      </w:pPr>
    </w:p>
    <w:p>
      <w:pPr>
        <w:ind w:right="100" w:firstLine="567"/>
        <w:spacing w:after="0" w:line="342" w:lineRule="auto"/>
        <w:rPr>
          <w:sz w:val="20"/>
          <w:szCs w:val="20"/>
          <w:color w:val="auto"/>
        </w:rPr>
      </w:pPr>
      <w:r>
        <w:rPr>
          <w:rFonts w:ascii="Arial" w:cs="Arial" w:eastAsia="Arial" w:hAnsi="Arial"/>
          <w:sz w:val="16"/>
          <w:szCs w:val="16"/>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124"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We believe that the fair value of these indemnification obligations is minimal. Accordingly, we have not recognized any liabilities relating to these obligations for any period presented.</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At December 31, 2019 and 2018, we were contingently liable for a standby letter of credit issued by a commercial bank for $60,000 for security on our lease. A restricted cash account with these amounts was held as cash collateral for the letter of credit.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right="20" w:firstLine="567"/>
        <w:spacing w:after="0" w:line="342" w:lineRule="auto"/>
        <w:rPr>
          <w:sz w:val="20"/>
          <w:szCs w:val="20"/>
          <w:color w:val="auto"/>
        </w:rPr>
      </w:pPr>
      <w:r>
        <w:rPr>
          <w:rFonts w:ascii="Arial" w:cs="Arial" w:eastAsia="Arial" w:hAnsi="Arial"/>
          <w:sz w:val="16"/>
          <w:szCs w:val="16"/>
          <w:color w:val="auto"/>
        </w:rPr>
        <w:t>We are, from time to time, involved in legal proceedings, regulatory actions, claims and litigation arising in the ordinary course of business. Currently, we are not involved in any legal proceeding that we expect to have a material effect on our business, financial condition, results of operations and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loss before income tax benefit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(97,187)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before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(97,488)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773"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55,722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35,499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 credits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2,948</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assets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74,832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47,637</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assets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deferred tax liabilities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74,483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47,588</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Less: valuation allowance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(74,483)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(47,588)</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 assets, net of valuation allowance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recorded a full valuation allowance against our net deferred tax assets due to the uncertainty surrounding the realization of such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right="120" w:firstLine="567"/>
        <w:spacing w:after="0" w:line="293" w:lineRule="auto"/>
        <w:rPr>
          <w:sz w:val="20"/>
          <w:szCs w:val="20"/>
          <w:color w:val="auto"/>
        </w:rPr>
      </w:pPr>
      <w:r>
        <w:rPr>
          <w:rFonts w:ascii="Arial" w:cs="Arial" w:eastAsia="Arial" w:hAnsi="Arial"/>
          <w:sz w:val="16"/>
          <w:szCs w:val="16"/>
          <w:color w:val="auto"/>
        </w:rPr>
        <w:t>At December 31, 2019, we had federal and state net operating loss carryforwards, or NOLs, of $239.4 million and $64.1 million, respectively. The federal and state NOLs generated prior to 2018 will both begin to expire in 2028, unless previously utilized. The federal NOLs include $179.4 million of net operating losses generated in 2018 and after. Federal net operating losses generated in 2018 and after carryover indefinitely and may generally be used to offset up to 80% of future taxable income. At December 31, 2019 we had federal and California research tax credit carryforwards of approximately $11.1 million and $7.6 million, respectively. The federal research tax credit carryforwards will begin to expire in 2026 and the California state credits carryforward indefinitely. We also have foreign tax losses of $3.0 million, which will carry forward indefinitely, subject to a continuity of ownership test.</w:t>
      </w:r>
    </w:p>
    <w:p>
      <w:pPr>
        <w:spacing w:after="0" w:line="165"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2017, noting an ownership change in 2017 which may limit the use of our net operating losses. Our use of federal NOL carryforward could be limited further by the provisions of Section 382 of the U.S. Internal Revenue Code of 1986, as amended, depending upon the timing and amount of additional equity securities that we have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779" w:right="239" w:bottom="1440" w:gutter="0" w:footer="0" w:header="0"/>
        </w:sectPr>
      </w:pPr>
    </w:p>
    <w:bookmarkStart w:id="100" w:name="page101"/>
    <w:bookmarkEnd w:id="100"/>
    <w:p>
      <w:pPr>
        <w:ind w:left="580"/>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income tax benefit at federal statutory tax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items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Equity compensation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preferred stock warrant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expenditure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Refundable AMT credit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Return to provision adjustment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differential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 rate adjustment - tax reform</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credits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the valuation allowance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26,905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4,244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right="320" w:hanging="126"/>
        <w:spacing w:after="0" w:line="253" w:lineRule="auto"/>
        <w:tabs>
          <w:tab w:leader="none" w:pos="335"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Includes non-deductible stock-based compensation and, beginning in 2017, excess tax benefits from stock-based compensation. During 2019, our tax provision includes $1.1 million of excess tax benefits associated with the exercise of non-qualified stock options and $0.3 million associated with the disqualifying dispositions of incentive stock options. During 2018, our tax provision includes $4.9 million of excess tax benefits associated with the exercise of non-qualified stock options and $2.2 million associated with the disqualifying dispositions of incentive stock options. During 2017, our tax provision includes $0.4 million of excess tax benefits associated with the exercise of non-qualified stock options and $0.7 million associated with the disqualifying dispositions of incentive stock options.</w:t>
      </w:r>
    </w:p>
    <w:p>
      <w:pPr>
        <w:spacing w:after="0" w:line="191"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The Tax Cuts and Jobs Act, or the 2017 Act, was enacted on December 22, 2017, and includes a number of changes to existing U.S. tax laws that impact us, most notably a reduction of the U.S. corporate income tax rate from 35% to 21% for tax years beginning after December 31, 2017. The 2017 Act also provides for a one-time transition tax on certain foreign earnings and the acceleration of depreciation for certain assets placed in service after September 27, 2017 as well as prospective changes beginning in 2018, including additional limitations on: executive compensation; the deductibility of interest; the usage of NOLs against taxable income; the capitalization of research and development expenditures. While the 2017 Act provides for a territorial tax system, beginning in 2018, it includes two new U.S. tax base erosion provision, the global intangible low-taxed income, or GILTI provisions and the base-erosion and anti-abuse tax, or BEAT, provisions.</w:t>
      </w:r>
    </w:p>
    <w:p>
      <w:pPr>
        <w:spacing w:after="0" w:line="189" w:lineRule="exact"/>
        <w:rPr>
          <w:sz w:val="20"/>
          <w:szCs w:val="20"/>
          <w:color w:val="auto"/>
        </w:rPr>
      </w:pPr>
    </w:p>
    <w:p>
      <w:pPr>
        <w:ind w:right="20" w:firstLine="567"/>
        <w:spacing w:after="0" w:line="312" w:lineRule="auto"/>
        <w:rPr>
          <w:sz w:val="20"/>
          <w:szCs w:val="20"/>
          <w:color w:val="auto"/>
        </w:rPr>
      </w:pPr>
      <w:r>
        <w:rPr>
          <w:rFonts w:ascii="Arial" w:cs="Arial" w:eastAsia="Arial" w:hAnsi="Arial"/>
          <w:sz w:val="16"/>
          <w:szCs w:val="16"/>
          <w:color w:val="auto"/>
        </w:rPr>
        <w:t>We completed our analysis of the 2017 Act income tax effects and remeasured our deferred tax assets and liabilities to reflect the reduction in the U.S. corporate income tax rate from 35% to 21% percent, resulting in a $7.6 million increase in tax expense for the year ended December 31, 2017 and a corresponding $7.6 million decrease in net deferred tax assets for the year ended December 31, 2017. The impact was fully offset by a valuation allowance.</w:t>
      </w:r>
    </w:p>
    <w:p>
      <w:pPr>
        <w:spacing w:after="0" w:line="147" w:lineRule="exact"/>
        <w:rPr>
          <w:sz w:val="20"/>
          <w:szCs w:val="20"/>
          <w:color w:val="auto"/>
        </w:rPr>
      </w:pPr>
    </w:p>
    <w:p>
      <w:pPr>
        <w:ind w:right="200" w:firstLine="567"/>
        <w:spacing w:after="0" w:line="255" w:lineRule="auto"/>
        <w:rPr>
          <w:sz w:val="20"/>
          <w:szCs w:val="20"/>
          <w:color w:val="auto"/>
        </w:rPr>
      </w:pPr>
      <w:r>
        <w:rPr>
          <w:rFonts w:ascii="Arial" w:cs="Arial" w:eastAsia="Arial" w:hAnsi="Arial"/>
          <w:sz w:val="18"/>
          <w:szCs w:val="18"/>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Act. We applied the guidance in SAB 118 when accounting for all of the enactment-date income tax effects of the Act under ASC 740, Income Taxes, related to the remeasurement of deferred tax assets and liabilities. As of December 31, 2018, we have completed our accounting for all of the enactment-date income tax effects of the Act and no adjustments were made to the provisional amounts recorded at December 31, 2017.</w:t>
      </w:r>
    </w:p>
    <w:p>
      <w:pPr>
        <w:spacing w:after="0" w:line="193" w:lineRule="exact"/>
        <w:rPr>
          <w:sz w:val="20"/>
          <w:szCs w:val="20"/>
          <w:color w:val="auto"/>
        </w:rPr>
      </w:pPr>
    </w:p>
    <w:p>
      <w:pPr>
        <w:ind w:right="460" w:firstLine="567"/>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2019 and 2018,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73"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year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Increase related to prior year tax positions</w:t>
            </w: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related to current year tax positions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Balance at the end of the year</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1,812</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567"/>
        <w:spacing w:after="0" w:line="308" w:lineRule="auto"/>
        <w:rPr>
          <w:sz w:val="20"/>
          <w:szCs w:val="20"/>
          <w:color w:val="auto"/>
        </w:rPr>
      </w:pPr>
      <w:r>
        <w:rPr>
          <w:rFonts w:ascii="Arial" w:cs="Arial" w:eastAsia="Arial" w:hAnsi="Arial"/>
          <w:sz w:val="17"/>
          <w:szCs w:val="17"/>
          <w:color w:val="auto"/>
        </w:rPr>
        <w:t>If recognized, these amounts would not affect our effective tax rate, since they would be offset by an equal corresponding adjustment in the deferred tax asset valuation allowance. We do not anticipate there will be a significant change in unrecognized tax benefits within the next 12 months.</w:t>
      </w:r>
    </w:p>
    <w:p>
      <w:pPr>
        <w:spacing w:after="0" w:line="147" w:lineRule="exact"/>
        <w:rPr>
          <w:sz w:val="20"/>
          <w:szCs w:val="20"/>
          <w:color w:val="auto"/>
        </w:rPr>
      </w:pPr>
    </w:p>
    <w:p>
      <w:pPr>
        <w:ind w:right="380" w:firstLine="567"/>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At December 31, 2019 and 2018, there were no interest or penalties on uncertain tax benefits.</w:t>
      </w:r>
    </w:p>
    <w:p>
      <w:pPr>
        <w:spacing w:after="0" w:line="170"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color w:val="auto"/>
        </w:rPr>
        <w:t>We file income tax returns in the United States, California and Australia. Due to our losses incurred, we are essentially subject to income tax examination by tax authorities from inception to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Selected Quarterly Financial Data (Unaudited)</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is a summary of our quarterly results for the years ended December 31, 2019 and 2018 (in thousands, except for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Quarter</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71"/>
        </w:trPr>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6"/>
                <w:szCs w:val="6"/>
                <w:color w:val="auto"/>
              </w:rPr>
            </w:pPr>
          </w:p>
        </w:tc>
        <w:tc>
          <w:tcPr>
            <w:tcW w:w="9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Second</w:t>
            </w:r>
          </w:p>
        </w:tc>
        <w:tc>
          <w:tcPr>
            <w:tcW w:w="10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Third</w:t>
            </w:r>
          </w:p>
        </w:tc>
        <w:tc>
          <w:tcPr>
            <w:tcW w:w="100" w:type="dxa"/>
            <w:vAlign w:val="bottom"/>
            <w:vMerge w:val="restart"/>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(22,258)</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(107,432)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(31,033)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(20,263)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(97,336)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Loss per share,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480"/>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Quarter</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71"/>
        </w:trPr>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6"/>
                <w:szCs w:val="6"/>
                <w:color w:val="auto"/>
              </w:rPr>
            </w:pPr>
          </w:p>
        </w:tc>
        <w:tc>
          <w:tcPr>
            <w:tcW w:w="9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Second</w:t>
            </w:r>
          </w:p>
        </w:tc>
        <w:tc>
          <w:tcPr>
            <w:tcW w:w="10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Third</w:t>
            </w:r>
          </w:p>
        </w:tc>
        <w:tc>
          <w:tcPr>
            <w:tcW w:w="100" w:type="dxa"/>
            <w:vAlign w:val="bottom"/>
            <w:vMerge w:val="restart"/>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(19,663)</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(66,722)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(15,086)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(16,994)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(61,656)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Loss per share,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648"/>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center"/>
              <w:ind w:right="233"/>
              <w:spacing w:after="0"/>
              <w:rPr>
                <w:sz w:val="20"/>
                <w:szCs w:val="20"/>
                <w:color w:val="auto"/>
              </w:rPr>
            </w:pPr>
            <w:r>
              <w:rPr>
                <w:rFonts w:ascii="Arial" w:cs="Arial" w:eastAsia="Arial" w:hAnsi="Arial"/>
                <w:sz w:val="18"/>
                <w:szCs w:val="18"/>
                <w:color w:val="auto"/>
                <w:w w:val="89"/>
              </w:rPr>
              <w:t>99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9"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January 1, 2020, the Term Loans were paid in full, without penalty or premium.</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219"/>
          </w:cols>
          <w:pgMar w:left="240" w:top="688" w:right="1440"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567"/>
        <w:spacing w:after="0" w:line="291" w:lineRule="auto"/>
        <w:rPr>
          <w:sz w:val="20"/>
          <w:szCs w:val="20"/>
          <w:color w:val="auto"/>
        </w:rPr>
      </w:pPr>
      <w:r>
        <w:rPr>
          <w:rFonts w:ascii="Arial" w:cs="Arial" w:eastAsia="Arial" w:hAnsi="Arial"/>
          <w:sz w:val="16"/>
          <w:szCs w:val="16"/>
          <w:color w:val="auto"/>
        </w:rPr>
        <w:t>As of December 31, 2019, our management, with the participation of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to allow timely decisions regarding required disclosures. Based on this evaluation, our principal executive officer and principal financial officer concluded that, as of December 31, 2019, the design and operation of our disclosure controls and procedures were effective at a reasonable assurance level.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60" w:firstLine="567"/>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of the Exchange Act. Management assessed the effectiveness of our internal control over financial reporting as of December 31, 2019. In making this assessment, management used the criteria set forth by the Committee of Sponsoring Organizations of the Treadway Commission (COSO) in Internal Control—Integrated Framework issued in 2013. Based upon the assessments, management has concluded that as of December 31, 2019 our internal control over financial reporting was effective to provide reasonable assurance regarding the reliability of financial reporting and the preparation of financial statements in accordance with GAAP. The effectiveness of our internal control over financial reporting as of December 31, 2019 has been audited by KPMG LLP, an independent registered public accounting firm, as stated in their report which is included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2019 that have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ind w:firstLine="567"/>
        <w:spacing w:after="0" w:line="264" w:lineRule="auto"/>
        <w:rPr>
          <w:sz w:val="20"/>
          <w:szCs w:val="20"/>
          <w:color w:val="auto"/>
        </w:rPr>
      </w:pPr>
      <w:r>
        <w:rPr>
          <w:rFonts w:ascii="Arial" w:cs="Arial" w:eastAsia="Arial" w:hAnsi="Arial"/>
          <w:sz w:val="18"/>
          <w:szCs w:val="18"/>
          <w:color w:val="auto"/>
        </w:rPr>
        <w:t>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769" w:right="259" w:bottom="1440" w:gutter="0" w:footer="0" w:header="0"/>
        </w:sectPr>
      </w:pPr>
    </w:p>
    <w:bookmarkStart w:id="104" w:name="page105"/>
    <w:bookmarkEnd w:id="104"/>
    <w:p>
      <w:pPr>
        <w:ind w:left="3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 xml:space="preserve">We have audited AnaptysBio, Inc. and subsidiary’s (the Company)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1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operations and comprehensive loss, convertible preferred stock and stockholders’ equity (deficit), and cash flows for each of the years in the three-year period ended December 31, 2019, and the related notes (collectively, the consolidated financial statements), and our report dated March 2, 2020 expressed an unqualified opinion on those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769" w:right="2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Information required by this Item is incorporated herein by reference to the sections titled “Information about our Executive Officers,” “Election of Class III Directors,” “Corporate Governance Standards and Director Independence” and “Security Ownership of Certain Beneficial Owners and Management” in our Definitive Proxy Statement with respect to our 2020 Annual Meeting of Stockholders to be filed with the SEC within 120 days after the end of the fiscal year covered by this Annual Report on Form 10-K.</w:t>
      </w:r>
    </w:p>
    <w:p>
      <w:pPr>
        <w:spacing w:after="0" w:line="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With regard to the information required by this item regarding compliance with Section 16(a) of the Exchange Act, we will provide disclosure of delinquent Section 16(a) reports, if any, in our Proxy Statement related to the 2019 Annual Meeting of Shareholders, and such disclosure, if any,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40" w:firstLine="567"/>
        <w:spacing w:after="0" w:line="286" w:lineRule="auto"/>
        <w:rPr>
          <w:sz w:val="20"/>
          <w:szCs w:val="20"/>
          <w:color w:val="auto"/>
        </w:rPr>
      </w:pPr>
      <w:r>
        <w:rPr>
          <w:rFonts w:ascii="Arial" w:cs="Arial" w:eastAsia="Arial" w:hAnsi="Arial"/>
          <w:sz w:val="17"/>
          <w:szCs w:val="17"/>
          <w:color w:val="auto"/>
        </w:rPr>
        <w:t>Information required by this Item is incorporated herein by reference to the section titled “Executive Compensation,” “Election of Class III Directors,” and “Corporate Governance Standards and Director Independence” in our Definitive Proxy Statement with respect to our 2020 Annual Meeting of Stockholders to be filed with the SEC within 120 days after the end of the fiscal year covered by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80" w:firstLine="567"/>
        <w:spacing w:after="0" w:line="264" w:lineRule="auto"/>
        <w:rPr>
          <w:sz w:val="20"/>
          <w:szCs w:val="20"/>
          <w:color w:val="auto"/>
        </w:rPr>
      </w:pPr>
      <w:r>
        <w:rPr>
          <w:rFonts w:ascii="Arial" w:cs="Arial" w:eastAsia="Arial" w:hAnsi="Arial"/>
          <w:sz w:val="18"/>
          <w:szCs w:val="18"/>
          <w:color w:val="auto"/>
        </w:rPr>
        <w:t>Information required by this Item is incorporated herein by reference to the section titled “Security Ownership of Certain Beneficial Owners and Management” and “Equity Compensation Plan Information” in our Definitive Proxy Statement with respect to our 2020 Annual Meeting of Stockholders to be filed with the SEC within 120 days after the end of the fiscal year covered by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567"/>
        <w:spacing w:after="0" w:line="286" w:lineRule="auto"/>
        <w:rPr>
          <w:sz w:val="20"/>
          <w:szCs w:val="20"/>
          <w:color w:val="auto"/>
        </w:rPr>
      </w:pPr>
      <w:r>
        <w:rPr>
          <w:rFonts w:ascii="Arial" w:cs="Arial" w:eastAsia="Arial" w:hAnsi="Arial"/>
          <w:sz w:val="17"/>
          <w:szCs w:val="17"/>
          <w:color w:val="auto"/>
        </w:rPr>
        <w:t>Information required by this Item is incorporated herein by reference to the section titled “Certain Relationships and Related Party Transactions” and “Corporate Governance Standards and Director Independence” in our Definitive Proxy Statement with respect to our 2020 Annual Meeting of Stockholders to be filed with the SEC within 120 days after the end of the fiscal year covered by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right="160" w:firstLine="567"/>
        <w:spacing w:after="0" w:line="264" w:lineRule="auto"/>
        <w:rPr>
          <w:sz w:val="20"/>
          <w:szCs w:val="20"/>
          <w:color w:val="auto"/>
        </w:rPr>
      </w:pPr>
      <w:r>
        <w:rPr>
          <w:rFonts w:ascii="Arial" w:cs="Arial" w:eastAsia="Arial" w:hAnsi="Arial"/>
          <w:sz w:val="18"/>
          <w:szCs w:val="18"/>
          <w:color w:val="auto"/>
        </w:rPr>
        <w:t>Information required by this Item is incorporated herein by reference to the section titled “Ratification of Independent Registered Public Accounting Firm” in our Definitive Proxy Statement with respect to our 2020 Annual Meeting of Stockholders to be filed with the SEC within 120 days after the end of the fiscal year covered by this Annual Report on Form 10-K.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769"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Consolidated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Consolidated Financial Statements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See Index to Consolidated Financial Statements under Part II, Item 8 herein.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 Consolidated Financial Statement Schedules</w:t>
      </w:r>
    </w:p>
    <w:p>
      <w:pPr>
        <w:spacing w:after="0" w:line="117" w:lineRule="exact"/>
        <w:rPr>
          <w:sz w:val="20"/>
          <w:szCs w:val="20"/>
          <w:color w:val="auto"/>
        </w:rPr>
      </w:pPr>
    </w:p>
    <w:p>
      <w:pPr>
        <w:ind w:right="620" w:firstLine="1148"/>
        <w:spacing w:after="0" w:line="277" w:lineRule="auto"/>
        <w:rPr>
          <w:sz w:val="20"/>
          <w:szCs w:val="20"/>
          <w:color w:val="auto"/>
        </w:rPr>
      </w:pPr>
      <w:r>
        <w:rPr>
          <w:rFonts w:ascii="Arial" w:cs="Arial" w:eastAsia="Arial" w:hAnsi="Arial"/>
          <w:sz w:val="18"/>
          <w:szCs w:val="18"/>
          <w:color w:val="auto"/>
        </w:rPr>
        <w:t>No consolidated financial statement schedules are provided because the information called for is not required or is shown either in the consolidated financial statements or notes thereto.</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 Exhibits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ind w:left="960"/>
              <w:spacing w:after="0"/>
              <w:rPr>
                <w:sz w:val="20"/>
                <w:szCs w:val="20"/>
                <w:color w:val="auto"/>
              </w:rPr>
            </w:pPr>
            <w:r>
              <w:rPr>
                <w:rFonts w:ascii="Arial" w:cs="Arial" w:eastAsia="Arial" w:hAnsi="Arial"/>
                <w:sz w:val="14"/>
                <w:szCs w:val="14"/>
                <w:b w:val="1"/>
                <w:bCs w:val="1"/>
                <w:color w:val="auto"/>
                <w:w w:val="99"/>
              </w:rPr>
              <w:t>Incorporated by reference</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46"/>
        </w:trPr>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140" w:type="dxa"/>
            <w:vAlign w:val="bottom"/>
            <w:vMerge w:val="restart"/>
          </w:tcPr>
          <w:p>
            <w:pPr>
              <w:spacing w:after="0"/>
              <w:rPr>
                <w:sz w:val="12"/>
                <w:szCs w:val="12"/>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172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6"/>
              </w:rPr>
              <w:t>Filing</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2"/>
        </w:trPr>
        <w:tc>
          <w:tcPr>
            <w:tcW w:w="820" w:type="dxa"/>
            <w:vAlign w:val="bottom"/>
          </w:tcPr>
          <w:p>
            <w:pPr>
              <w:jc w:val="right"/>
              <w:ind w:right="482"/>
              <w:spacing w:after="0" w:line="202"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4"/>
          </w:tcPr>
          <w:p>
            <w:pPr>
              <w:spacing w:after="0" w:line="202" w:lineRule="exact"/>
              <w:rPr>
                <w:rFonts w:ascii="Arial" w:cs="Arial" w:eastAsia="Arial" w:hAnsi="Arial"/>
                <w:sz w:val="18"/>
                <w:szCs w:val="18"/>
                <w:color w:val="0000FF"/>
              </w:rPr>
            </w:pPr>
            <w:hyperlink r:id="rId42">
              <w:r>
                <w:rPr>
                  <w:rFonts w:ascii="Arial" w:cs="Arial" w:eastAsia="Arial" w:hAnsi="Arial"/>
                  <w:sz w:val="18"/>
                  <w:szCs w:val="18"/>
                  <w:color w:val="0000FF"/>
                </w:rPr>
                <w:t>Amended and Restated Certificate of Incorporation, as</w:t>
              </w:r>
            </w:hyperlink>
          </w:p>
        </w:tc>
        <w:tc>
          <w:tcPr>
            <w:tcW w:w="7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10-Q</w:t>
            </w:r>
          </w:p>
        </w:tc>
        <w:tc>
          <w:tcPr>
            <w:tcW w:w="138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001-37985</w:t>
            </w:r>
          </w:p>
        </w:tc>
        <w:tc>
          <w:tcPr>
            <w:tcW w:w="100" w:type="dxa"/>
            <w:vAlign w:val="bottom"/>
          </w:tcPr>
          <w:p>
            <w:pPr>
              <w:spacing w:after="0"/>
              <w:rPr>
                <w:sz w:val="17"/>
                <w:szCs w:val="17"/>
                <w:color w:val="auto"/>
              </w:rPr>
            </w:pPr>
          </w:p>
        </w:tc>
        <w:tc>
          <w:tcPr>
            <w:tcW w:w="800" w:type="dxa"/>
            <w:vAlign w:val="bottom"/>
          </w:tcPr>
          <w:p>
            <w:pPr>
              <w:jc w:val="right"/>
              <w:ind w:right="199"/>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3"/>
              </w:rPr>
              <w:t>May 12, 2017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currently in effect.</w:t>
              </w:r>
            </w:hyperlink>
          </w:p>
        </w:tc>
        <w:tc>
          <w:tcPr>
            <w:tcW w:w="2600" w:type="dxa"/>
            <w:vAlign w:val="bottom"/>
            <w:tcBorders>
              <w:top w:val="single" w:sz="8" w:color="0000FF"/>
            </w:tcBorders>
          </w:tcPr>
          <w:p>
            <w:pPr>
              <w:spacing w:after="0"/>
              <w:rPr>
                <w:sz w:val="17"/>
                <w:szCs w:val="17"/>
                <w:color w:val="auto"/>
              </w:rPr>
            </w:pPr>
          </w:p>
        </w:tc>
        <w:tc>
          <w:tcPr>
            <w:tcW w:w="5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420"/>
          </w:cols>
          <w:pgMar w:left="240" w:top="553" w:right="239" w:bottom="1440" w:gutter="0" w:footer="0" w:header="0"/>
        </w:sectPr>
      </w:pPr>
    </w:p>
    <w:tbl>
      <w:tblPr>
        <w:tblLayout w:type="fixed"/>
        <w:tblInd w:w="40" w:type="dxa"/>
        <w:tblCellMar>
          <w:top w:w="0" w:type="dxa"/>
          <w:left w:w="0" w:type="dxa"/>
          <w:bottom w:w="0" w:type="dxa"/>
          <w:right w:w="0" w:type="dxa"/>
        </w:tblCellMar>
      </w:tblPr>
      <w:tr>
        <w:trPr>
          <w:trHeight w:val="207"/>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3.2</w:t>
            </w:r>
          </w:p>
        </w:tc>
        <w:tc>
          <w:tcPr>
            <w:tcW w:w="3680" w:type="dxa"/>
            <w:vAlign w:val="bottom"/>
            <w:gridSpan w:val="5"/>
          </w:tcPr>
          <w:p>
            <w:pPr>
              <w:spacing w:after="0"/>
              <w:rPr>
                <w:rFonts w:ascii="Arial" w:cs="Arial" w:eastAsia="Arial" w:hAnsi="Arial"/>
                <w:sz w:val="18"/>
                <w:szCs w:val="18"/>
                <w:color w:val="0000FF"/>
              </w:rPr>
            </w:pPr>
            <w:hyperlink r:id="rId43">
              <w:r>
                <w:rPr>
                  <w:rFonts w:ascii="Arial" w:cs="Arial" w:eastAsia="Arial" w:hAnsi="Arial"/>
                  <w:sz w:val="18"/>
                  <w:szCs w:val="18"/>
                  <w:color w:val="0000FF"/>
                </w:rPr>
                <w:t>Restated Bylaws, as currently in effect.</w:t>
              </w:r>
            </w:hyperlink>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4.1</w:t>
            </w:r>
          </w:p>
        </w:tc>
        <w:tc>
          <w:tcPr>
            <w:tcW w:w="2620" w:type="dxa"/>
            <w:vAlign w:val="bottom"/>
            <w:tcBorders>
              <w:top w:val="single" w:sz="8" w:color="0000FF"/>
              <w:bottom w:val="single" w:sz="8" w:color="0000FF"/>
            </w:tcBorders>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Form of Common Stock Certificate.</w:t>
              </w:r>
            </w:hyperlink>
          </w:p>
        </w:tc>
        <w:tc>
          <w:tcPr>
            <w:tcW w:w="200" w:type="dxa"/>
            <w:vAlign w:val="bottom"/>
            <w:tcBorders>
              <w:top w:val="single" w:sz="8" w:color="0000FF"/>
            </w:tcBorders>
          </w:tcPr>
          <w:p>
            <w:pPr>
              <w:spacing w:after="0"/>
              <w:rPr>
                <w:sz w:val="21"/>
                <w:szCs w:val="21"/>
                <w:color w:val="auto"/>
              </w:rPr>
            </w:pPr>
          </w:p>
        </w:tc>
        <w:tc>
          <w:tcPr>
            <w:tcW w:w="860" w:type="dxa"/>
            <w:vAlign w:val="bottom"/>
            <w:gridSpan w:val="3"/>
          </w:tcPr>
          <w:p>
            <w:pPr>
              <w:spacing w:after="0"/>
              <w:rPr>
                <w:sz w:val="21"/>
                <w:szCs w:val="21"/>
                <w:color w:val="auto"/>
              </w:rPr>
            </w:pP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4.2</w:t>
            </w:r>
          </w:p>
        </w:tc>
        <w:tc>
          <w:tcPr>
            <w:tcW w:w="3680" w:type="dxa"/>
            <w:vAlign w:val="bottom"/>
            <w:gridSpan w:val="5"/>
          </w:tcPr>
          <w:p>
            <w:pPr>
              <w:spacing w:after="0"/>
              <w:rPr>
                <w:rFonts w:ascii="Arial" w:cs="Arial" w:eastAsia="Arial" w:hAnsi="Arial"/>
                <w:sz w:val="18"/>
                <w:szCs w:val="18"/>
                <w:color w:val="0000FF"/>
                <w:w w:val="95"/>
              </w:rPr>
            </w:pPr>
            <w:hyperlink r:id="rId45">
              <w:r>
                <w:rPr>
                  <w:rFonts w:ascii="Arial" w:cs="Arial" w:eastAsia="Arial" w:hAnsi="Arial"/>
                  <w:sz w:val="18"/>
                  <w:szCs w:val="18"/>
                  <w:color w:val="0000FF"/>
                  <w:w w:val="95"/>
                </w:rPr>
                <w:t>Fourth Amended and Restated Investors’ Rights</w:t>
              </w:r>
            </w:hyperlink>
          </w:p>
        </w:tc>
      </w:tr>
      <w:tr>
        <w:trPr>
          <w:trHeight w:val="20"/>
        </w:trPr>
        <w:tc>
          <w:tcPr>
            <w:tcW w:w="920" w:type="dxa"/>
            <w:vAlign w:val="bottom"/>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68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45">
              <w:r>
                <w:rPr>
                  <w:rFonts w:ascii="Arial" w:cs="Arial" w:eastAsia="Arial" w:hAnsi="Arial"/>
                  <w:sz w:val="18"/>
                  <w:szCs w:val="18"/>
                  <w:color w:val="0000FF"/>
                  <w:w w:val="89"/>
                </w:rPr>
                <w:t>Agreement, dated July 13, 2015, by and among the</w:t>
              </w:r>
            </w:hyperlink>
          </w:p>
        </w:tc>
      </w:tr>
      <w:tr>
        <w:trPr>
          <w:trHeight w:val="196"/>
        </w:trPr>
        <w:tc>
          <w:tcPr>
            <w:tcW w:w="920" w:type="dxa"/>
            <w:vAlign w:val="bottom"/>
          </w:tcPr>
          <w:p>
            <w:pPr>
              <w:spacing w:after="0"/>
              <w:rPr>
                <w:sz w:val="17"/>
                <w:szCs w:val="17"/>
                <w:color w:val="auto"/>
              </w:rPr>
            </w:pPr>
          </w:p>
        </w:tc>
        <w:tc>
          <w:tcPr>
            <w:tcW w:w="30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Registrant and certain of its stockholders.</w:t>
              </w:r>
            </w:hyperlink>
          </w:p>
        </w:tc>
        <w:tc>
          <w:tcPr>
            <w:tcW w:w="68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333-206849</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87"/>
              </w:rPr>
              <w:t>September 9, 2015</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333-206849</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89"/>
              </w:rPr>
              <w:t>December 23, 2015</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333-206849</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87"/>
              </w:rPr>
              <w:t>September 9, 2015</w:t>
            </w:r>
          </w:p>
        </w:tc>
      </w:tr>
    </w:tbl>
    <w:p>
      <w:pPr>
        <w:spacing w:after="0" w:line="455" w:lineRule="exact"/>
        <w:rPr>
          <w:sz w:val="20"/>
          <w:szCs w:val="20"/>
          <w:color w:val="auto"/>
        </w:rPr>
      </w:pPr>
    </w:p>
    <w:p>
      <w:pPr>
        <w:sectPr>
          <w:pgSz w:w="11900" w:h="16838" w:orient="portrait"/>
          <w:cols w:equalWidth="0" w:num="2">
            <w:col w:w="4900" w:space="720"/>
            <w:col w:w="5800"/>
          </w:cols>
          <w:pgMar w:left="240" w:top="553" w:right="2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4420" w:type="dxa"/>
            <w:vAlign w:val="bottom"/>
            <w:gridSpan w:val="20"/>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Description of the Registrant’s Securities Registered</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420" w:type="dxa"/>
            <w:vAlign w:val="bottom"/>
            <w:gridSpan w:val="20"/>
          </w:tcPr>
          <w:p>
            <w:pPr>
              <w:spacing w:after="0" w:line="196" w:lineRule="exact"/>
              <w:rPr>
                <w:rFonts w:ascii="Arial" w:cs="Arial" w:eastAsia="Arial" w:hAnsi="Arial"/>
                <w:sz w:val="18"/>
                <w:szCs w:val="18"/>
                <w:color w:val="0000FF"/>
                <w:w w:val="97"/>
              </w:rPr>
            </w:pPr>
            <w:hyperlink w:anchor="page111">
              <w:r>
                <w:rPr>
                  <w:rFonts w:ascii="Arial" w:cs="Arial" w:eastAsia="Arial" w:hAnsi="Arial"/>
                  <w:sz w:val="18"/>
                  <w:szCs w:val="18"/>
                  <w:color w:val="0000FF"/>
                  <w:w w:val="97"/>
                </w:rPr>
                <w:t>Pursuant to Section 12 of the Securities Exchange Act of</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111">
              <w:r>
                <w:rPr>
                  <w:rFonts w:ascii="Arial" w:cs="Arial" w:eastAsia="Arial" w:hAnsi="Arial"/>
                  <w:sz w:val="18"/>
                  <w:szCs w:val="18"/>
                  <w:color w:val="0000FF"/>
                  <w:w w:val="84"/>
                </w:rPr>
                <w:t>1934</w:t>
              </w:r>
            </w:hyperlink>
          </w:p>
        </w:tc>
        <w:tc>
          <w:tcPr>
            <w:tcW w:w="3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46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4420" w:type="dxa"/>
            <w:vAlign w:val="bottom"/>
            <w:gridSpan w:val="20"/>
          </w:tcPr>
          <w:p>
            <w:pPr>
              <w:spacing w:after="0"/>
              <w:rPr>
                <w:rFonts w:ascii="Arial" w:cs="Arial" w:eastAsia="Arial" w:hAnsi="Arial"/>
                <w:sz w:val="18"/>
                <w:szCs w:val="18"/>
                <w:color w:val="0000FF"/>
              </w:rPr>
            </w:pPr>
            <w:hyperlink r:id="rId46">
              <w:r>
                <w:rPr>
                  <w:rFonts w:ascii="Arial" w:cs="Arial" w:eastAsia="Arial" w:hAnsi="Arial"/>
                  <w:sz w:val="18"/>
                  <w:szCs w:val="18"/>
                  <w:color w:val="0000FF"/>
                </w:rPr>
                <w:t>Form of Indemnity Agreement.</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87"/>
              </w:rPr>
              <w:t>September 9, 2015</w:t>
            </w:r>
          </w:p>
        </w:tc>
      </w:tr>
      <w:tr>
        <w:trPr>
          <w:trHeight w:val="20"/>
        </w:trPr>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4000" w:type="dxa"/>
            <w:vAlign w:val="bottom"/>
            <w:tcBorders>
              <w:bottom w:val="single" w:sz="8" w:color="0000FF"/>
            </w:tcBorders>
            <w:gridSpan w:val="13"/>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Amended and Restated 2006 Equity Incentive Plan and</w:t>
              </w:r>
            </w:hyperlink>
          </w:p>
        </w:tc>
        <w:tc>
          <w:tcPr>
            <w:tcW w:w="420" w:type="dxa"/>
            <w:vAlign w:val="bottom"/>
            <w:gridSpan w:val="7"/>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87"/>
              </w:rPr>
              <w:t>January 17, 2017</w:t>
            </w:r>
          </w:p>
        </w:tc>
      </w:tr>
      <w:tr>
        <w:trPr>
          <w:trHeight w:val="196"/>
        </w:trPr>
        <w:tc>
          <w:tcPr>
            <w:tcW w:w="920" w:type="dxa"/>
            <w:vAlign w:val="bottom"/>
          </w:tcPr>
          <w:p>
            <w:pPr>
              <w:spacing w:after="0"/>
              <w:rPr>
                <w:sz w:val="17"/>
                <w:szCs w:val="17"/>
                <w:color w:val="auto"/>
              </w:rPr>
            </w:pPr>
          </w:p>
        </w:tc>
        <w:tc>
          <w:tcPr>
            <w:tcW w:w="20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forms of award agreements.</w:t>
              </w:r>
            </w:hyperlink>
          </w:p>
        </w:tc>
        <w:tc>
          <w:tcPr>
            <w:tcW w:w="240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4420" w:type="dxa"/>
            <w:vAlign w:val="bottom"/>
            <w:gridSpan w:val="20"/>
          </w:tcPr>
          <w:p>
            <w:pPr>
              <w:spacing w:after="0"/>
              <w:rPr>
                <w:rFonts w:ascii="Arial" w:cs="Arial" w:eastAsia="Arial" w:hAnsi="Arial"/>
                <w:sz w:val="18"/>
                <w:szCs w:val="18"/>
                <w:color w:val="0000FF"/>
              </w:rPr>
            </w:pPr>
            <w:hyperlink r:id="rId48">
              <w:r>
                <w:rPr>
                  <w:rFonts w:ascii="Arial" w:cs="Arial" w:eastAsia="Arial" w:hAnsi="Arial"/>
                  <w:sz w:val="18"/>
                  <w:szCs w:val="18"/>
                  <w:color w:val="0000FF"/>
                </w:rPr>
                <w:t>2017 Equity Incentive Plan, to become effective on the</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87"/>
              </w:rPr>
              <w:t>January 17, 2017</w:t>
            </w:r>
          </w:p>
        </w:tc>
      </w:tr>
      <w:tr>
        <w:trPr>
          <w:trHeight w:val="20"/>
        </w:trPr>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02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date the registration statement is declared effective, and</w:t>
              </w:r>
            </w:hyperlink>
          </w:p>
        </w:tc>
        <w:tc>
          <w:tcPr>
            <w:tcW w:w="40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forms of award agreements.</w:t>
              </w:r>
            </w:hyperlink>
          </w:p>
        </w:tc>
        <w:tc>
          <w:tcPr>
            <w:tcW w:w="240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4420" w:type="dxa"/>
            <w:vAlign w:val="bottom"/>
            <w:gridSpan w:val="20"/>
          </w:tcPr>
          <w:p>
            <w:pPr>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2017 Employee Stock Purchase Plan, to become effective</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87"/>
              </w:rPr>
              <w:t>January 17, 2017</w:t>
            </w:r>
          </w:p>
        </w:tc>
      </w:tr>
      <w:tr>
        <w:trPr>
          <w:trHeight w:val="20"/>
        </w:trPr>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0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on the date the registration statement is declared effective,</w:t>
              </w:r>
            </w:hyperlink>
          </w:p>
        </w:tc>
        <w:tc>
          <w:tcPr>
            <w:tcW w:w="22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420" w:type="dxa"/>
            <w:vAlign w:val="bottom"/>
            <w:gridSpan w:val="20"/>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and forms of award agreements.</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4420" w:type="dxa"/>
            <w:vAlign w:val="bottom"/>
            <w:gridSpan w:val="20"/>
          </w:tcPr>
          <w:p>
            <w:pPr>
              <w:spacing w:after="0"/>
              <w:rPr>
                <w:rFonts w:ascii="Arial" w:cs="Arial" w:eastAsia="Arial" w:hAnsi="Arial"/>
                <w:sz w:val="18"/>
                <w:szCs w:val="18"/>
                <w:color w:val="0000FF"/>
                <w:w w:val="97"/>
              </w:rPr>
            </w:pPr>
            <w:hyperlink r:id="rId50">
              <w:r>
                <w:rPr>
                  <w:rFonts w:ascii="Arial" w:cs="Arial" w:eastAsia="Arial" w:hAnsi="Arial"/>
                  <w:sz w:val="18"/>
                  <w:szCs w:val="18"/>
                  <w:color w:val="0000FF"/>
                  <w:w w:val="97"/>
                </w:rPr>
                <w:t>Employment Agreement, effective as of January 1, 2012,</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92"/>
              </w:rPr>
              <w:t>March 5, 2018</w:t>
            </w:r>
          </w:p>
        </w:tc>
      </w:tr>
      <w:tr>
        <w:trPr>
          <w:trHeight w:val="196"/>
        </w:trPr>
        <w:tc>
          <w:tcPr>
            <w:tcW w:w="92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by and between the Registrant and Hamza Suria, as</w:t>
              </w:r>
            </w:hyperlink>
          </w:p>
        </w:tc>
        <w:tc>
          <w:tcPr>
            <w:tcW w:w="340" w:type="dxa"/>
            <w:vAlign w:val="bottom"/>
            <w:tcBorders>
              <w:top w:val="single" w:sz="8" w:color="0000FF"/>
            </w:tcBorders>
            <w:gridSpan w:val="7"/>
          </w:tcPr>
          <w:p>
            <w:pPr>
              <w:spacing w:after="0"/>
              <w:rPr>
                <w:sz w:val="17"/>
                <w:szCs w:val="17"/>
                <w:color w:val="auto"/>
              </w:rPr>
            </w:pPr>
          </w:p>
        </w:tc>
        <w:tc>
          <w:tcPr>
            <w:tcW w:w="30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420" w:type="dxa"/>
            <w:vAlign w:val="bottom"/>
            <w:gridSpan w:val="20"/>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amended.</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4240" w:type="dxa"/>
            <w:vAlign w:val="bottom"/>
            <w:tcBorders>
              <w:bottom w:val="single" w:sz="8" w:color="0000FF"/>
            </w:tcBorders>
            <w:gridSpan w:val="19"/>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Employment Agreement, effective as of October 20, 2014,</w:t>
              </w:r>
            </w:hyperlink>
          </w:p>
        </w:tc>
        <w:tc>
          <w:tcPr>
            <w:tcW w:w="1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92"/>
              </w:rPr>
              <w:t>March 5, 2018</w:t>
            </w:r>
          </w:p>
        </w:tc>
      </w:tr>
      <w:tr>
        <w:trPr>
          <w:trHeight w:val="196"/>
        </w:trPr>
        <w:tc>
          <w:tcPr>
            <w:tcW w:w="920" w:type="dxa"/>
            <w:vAlign w:val="bottom"/>
          </w:tcPr>
          <w:p>
            <w:pPr>
              <w:spacing w:after="0"/>
              <w:rPr>
                <w:sz w:val="17"/>
                <w:szCs w:val="17"/>
                <w:color w:val="auto"/>
              </w:rPr>
            </w:pPr>
          </w:p>
        </w:tc>
        <w:tc>
          <w:tcPr>
            <w:tcW w:w="4420" w:type="dxa"/>
            <w:vAlign w:val="bottom"/>
            <w:gridSpan w:val="20"/>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by and between the Registrant and Marco Londei, as</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amended.</w:t>
              </w:r>
            </w:hyperlink>
          </w:p>
        </w:tc>
        <w:tc>
          <w:tcPr>
            <w:tcW w:w="62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4420" w:type="dxa"/>
            <w:vAlign w:val="bottom"/>
            <w:gridSpan w:val="20"/>
          </w:tcPr>
          <w:p>
            <w:pPr>
              <w:spacing w:after="0"/>
              <w:rPr>
                <w:rFonts w:ascii="Arial" w:cs="Arial" w:eastAsia="Arial" w:hAnsi="Arial"/>
                <w:sz w:val="18"/>
                <w:szCs w:val="18"/>
                <w:color w:val="0000FF"/>
              </w:rPr>
            </w:pPr>
            <w:hyperlink r:id="rId52">
              <w:r>
                <w:rPr>
                  <w:rFonts w:ascii="Arial" w:cs="Arial" w:eastAsia="Arial" w:hAnsi="Arial"/>
                  <w:sz w:val="18"/>
                  <w:szCs w:val="18"/>
                  <w:color w:val="0000FF"/>
                </w:rPr>
                <w:t>Office Lease, dated April 19, 2011, by and between the</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89"/>
              </w:rPr>
              <w:t>December 23, 2015</w:t>
            </w:r>
          </w:p>
        </w:tc>
      </w:tr>
      <w:tr>
        <w:trPr>
          <w:trHeight w:val="196"/>
        </w:trPr>
        <w:tc>
          <w:tcPr>
            <w:tcW w:w="92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Registrant and Kilroy Realty, L.P., as amended.</w:t>
              </w:r>
            </w:hyperlink>
          </w:p>
        </w:tc>
        <w:tc>
          <w:tcPr>
            <w:tcW w:w="560" w:type="dxa"/>
            <w:vAlign w:val="bottom"/>
            <w:tcBorders>
              <w:top w:val="single" w:sz="8" w:color="0000FF"/>
            </w:tcBorders>
            <w:gridSpan w:val="5"/>
          </w:tcPr>
          <w:p>
            <w:pPr>
              <w:spacing w:after="0"/>
              <w:rPr>
                <w:sz w:val="17"/>
                <w:szCs w:val="17"/>
                <w:color w:val="auto"/>
              </w:rPr>
            </w:pPr>
          </w:p>
        </w:tc>
        <w:tc>
          <w:tcPr>
            <w:tcW w:w="44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3960" w:type="dxa"/>
            <w:vAlign w:val="bottom"/>
            <w:tcBorders>
              <w:bottom w:val="single" w:sz="8" w:color="0000FF"/>
            </w:tcBorders>
            <w:gridSpan w:val="11"/>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Antibody Generation Agreement, dated December 22,</w:t>
              </w:r>
            </w:hyperlink>
          </w:p>
        </w:tc>
        <w:tc>
          <w:tcPr>
            <w:tcW w:w="460" w:type="dxa"/>
            <w:vAlign w:val="bottom"/>
            <w:gridSpan w:val="9"/>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89"/>
              </w:rPr>
              <w:t>December 28, 2016</w:t>
            </w:r>
          </w:p>
        </w:tc>
      </w:tr>
      <w:tr>
        <w:trPr>
          <w:trHeight w:val="196"/>
        </w:trPr>
        <w:tc>
          <w:tcPr>
            <w:tcW w:w="920" w:type="dxa"/>
            <w:vAlign w:val="bottom"/>
          </w:tcPr>
          <w:p>
            <w:pPr>
              <w:spacing w:after="0"/>
              <w:rPr>
                <w:sz w:val="17"/>
                <w:szCs w:val="17"/>
                <w:color w:val="auto"/>
              </w:rPr>
            </w:pPr>
          </w:p>
        </w:tc>
        <w:tc>
          <w:tcPr>
            <w:tcW w:w="4420" w:type="dxa"/>
            <w:vAlign w:val="bottom"/>
            <w:gridSpan w:val="20"/>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2011, by and between the Registrant and Celgene</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Corporation, as modified.</w:t>
              </w:r>
            </w:hyperlink>
          </w:p>
        </w:tc>
        <w:tc>
          <w:tcPr>
            <w:tcW w:w="1700" w:type="dxa"/>
            <w:vAlign w:val="bottom"/>
            <w:tcBorders>
              <w:top w:val="single" w:sz="8" w:color="0000FF"/>
            </w:tcBorders>
            <w:gridSpan w:val="5"/>
          </w:tcPr>
          <w:p>
            <w:pPr>
              <w:spacing w:after="0"/>
              <w:rPr>
                <w:sz w:val="17"/>
                <w:szCs w:val="17"/>
                <w:color w:val="auto"/>
              </w:rPr>
            </w:pPr>
          </w:p>
        </w:tc>
        <w:tc>
          <w:tcPr>
            <w:tcW w:w="86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4420" w:type="dxa"/>
            <w:vAlign w:val="bottom"/>
            <w:gridSpan w:val="20"/>
          </w:tcPr>
          <w:p>
            <w:pPr>
              <w:spacing w:after="0"/>
              <w:rPr>
                <w:rFonts w:ascii="Arial" w:cs="Arial" w:eastAsia="Arial" w:hAnsi="Arial"/>
                <w:sz w:val="18"/>
                <w:szCs w:val="18"/>
                <w:color w:val="0000FF"/>
              </w:rPr>
            </w:pPr>
            <w:hyperlink r:id="rId54">
              <w:r>
                <w:rPr>
                  <w:rFonts w:ascii="Arial" w:cs="Arial" w:eastAsia="Arial" w:hAnsi="Arial"/>
                  <w:sz w:val="18"/>
                  <w:szCs w:val="18"/>
                  <w:color w:val="0000FF"/>
                </w:rPr>
                <w:t>Collaboration and Exclusive License Agreement, dated</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93"/>
              </w:rPr>
              <w:t>May 10, 2016</w:t>
            </w:r>
          </w:p>
        </w:tc>
      </w:tr>
      <w:tr>
        <w:trPr>
          <w:trHeight w:val="20"/>
        </w:trPr>
        <w:tc>
          <w:tcPr>
            <w:tcW w:w="920" w:type="dxa"/>
            <w:vAlign w:val="bottom"/>
          </w:tcPr>
          <w:p>
            <w:pPr>
              <w:spacing w:after="0" w:line="20" w:lineRule="exact"/>
              <w:rPr>
                <w:sz w:val="1"/>
                <w:szCs w:val="1"/>
                <w:color w:val="auto"/>
              </w:rPr>
            </w:pPr>
          </w:p>
        </w:tc>
        <w:tc>
          <w:tcPr>
            <w:tcW w:w="3780" w:type="dxa"/>
            <w:vAlign w:val="bottom"/>
            <w:tcBorders>
              <w:right w:val="single" w:sz="8" w:color="0000FF"/>
            </w:tcBorders>
            <w:gridSpan w:val="9"/>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420" w:type="dxa"/>
            <w:vAlign w:val="bottom"/>
            <w:gridSpan w:val="20"/>
          </w:tcPr>
          <w:p>
            <w:pPr>
              <w:spacing w:after="0" w:line="196" w:lineRule="exact"/>
              <w:rPr>
                <w:rFonts w:ascii="Arial" w:cs="Arial" w:eastAsia="Arial" w:hAnsi="Arial"/>
                <w:sz w:val="18"/>
                <w:szCs w:val="18"/>
                <w:color w:val="0000FF"/>
                <w:w w:val="96"/>
              </w:rPr>
            </w:pPr>
            <w:hyperlink r:id="rId54">
              <w:r>
                <w:rPr>
                  <w:rFonts w:ascii="Arial" w:cs="Arial" w:eastAsia="Arial" w:hAnsi="Arial"/>
                  <w:sz w:val="18"/>
                  <w:szCs w:val="18"/>
                  <w:color w:val="0000FF"/>
                  <w:w w:val="96"/>
                </w:rPr>
                <w:t>March 10, 2014, by and among the Registrant, TESARO,</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1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Inc. and TESARO Development, Ltd., as amended.</w:t>
              </w:r>
            </w:hyperlink>
          </w:p>
        </w:tc>
        <w:tc>
          <w:tcPr>
            <w:tcW w:w="2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480"/>
        </w:trPr>
        <w:tc>
          <w:tcPr>
            <w:tcW w:w="9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type w:val="continuous"/>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tcPr>
          <w:p>
            <w:pPr>
              <w:ind w:left="960"/>
              <w:spacing w:after="0"/>
              <w:rPr>
                <w:sz w:val="20"/>
                <w:szCs w:val="20"/>
                <w:color w:val="auto"/>
              </w:rPr>
            </w:pPr>
            <w:r>
              <w:rPr>
                <w:rFonts w:ascii="Arial" w:cs="Arial" w:eastAsia="Arial" w:hAnsi="Arial"/>
                <w:sz w:val="14"/>
                <w:szCs w:val="14"/>
                <w:b w:val="1"/>
                <w:bCs w:val="1"/>
                <w:color w:val="auto"/>
                <w:w w:val="94"/>
              </w:rPr>
              <w:t>Incorporated by reference</w:t>
            </w: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46"/>
        </w:trPr>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gridSpan w:val="18"/>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140" w:type="dxa"/>
            <w:vAlign w:val="bottom"/>
            <w:vMerge w:val="restart"/>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3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8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Filing</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8"/>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2"/>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2"/>
          </w:tcPr>
          <w:p>
            <w:pPr>
              <w:spacing w:after="0" w:line="202" w:lineRule="exact"/>
              <w:rPr>
                <w:rFonts w:ascii="Arial" w:cs="Arial" w:eastAsia="Arial" w:hAnsi="Arial"/>
                <w:sz w:val="18"/>
                <w:szCs w:val="18"/>
                <w:color w:val="0000FF"/>
              </w:rPr>
            </w:pPr>
            <w:hyperlink r:id="rId55">
              <w:r>
                <w:rPr>
                  <w:rFonts w:ascii="Arial" w:cs="Arial" w:eastAsia="Arial" w:hAnsi="Arial"/>
                  <w:sz w:val="18"/>
                  <w:szCs w:val="18"/>
                  <w:color w:val="0000FF"/>
                </w:rPr>
                <w:t>License Agreement, dated August 30, 2006, by and</w:t>
              </w:r>
            </w:hyperlink>
          </w:p>
        </w:tc>
        <w:tc>
          <w:tcPr>
            <w:tcW w:w="7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89"/>
              </w:rPr>
              <w:t>333-206849</w:t>
            </w:r>
          </w:p>
        </w:tc>
        <w:tc>
          <w:tcPr>
            <w:tcW w:w="10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87"/>
              </w:rPr>
              <w:t>September 9, 2015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between the Registrant and Medical Research Council, as</w:t>
              </w:r>
            </w:hyperlink>
          </w:p>
        </w:tc>
        <w:tc>
          <w:tcPr>
            <w:tcW w:w="30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2"/>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amended.</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tcBorders>
              <w:bottom w:val="single" w:sz="8" w:color="0000FF"/>
            </w:tcBorders>
            <w:gridSpan w:val="11"/>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Non-Exclusive Research and Commercial License</w:t>
              </w:r>
            </w:hyperlink>
          </w:p>
        </w:tc>
        <w:tc>
          <w:tcPr>
            <w:tcW w:w="760" w:type="dxa"/>
            <w:vAlign w:val="bottom"/>
            <w:gridSpan w:val="11"/>
          </w:tcPr>
          <w:p>
            <w:pPr>
              <w:spacing w:after="0"/>
              <w:rPr>
                <w:sz w:val="21"/>
                <w:szCs w:val="2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September 9, 2015</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2"/>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Agreement, dated May 15, 2009, by and between the</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Registrant and Millipore Corporation.</w:t>
              </w:r>
            </w:hyperlink>
          </w:p>
        </w:tc>
        <w:tc>
          <w:tcPr>
            <w:tcW w:w="1080" w:type="dxa"/>
            <w:vAlign w:val="bottom"/>
            <w:tcBorders>
              <w:top w:val="single" w:sz="8" w:color="0000FF"/>
            </w:tcBorders>
            <w:gridSpan w:val="4"/>
          </w:tcPr>
          <w:p>
            <w:pPr>
              <w:spacing w:after="0"/>
              <w:rPr>
                <w:sz w:val="17"/>
                <w:szCs w:val="17"/>
                <w:color w:val="auto"/>
              </w:rPr>
            </w:pPr>
          </w:p>
        </w:tc>
        <w:tc>
          <w:tcPr>
            <w:tcW w:w="6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Borders>
              <w:bottom w:val="single" w:sz="8" w:color="0000FF"/>
            </w:tcBorders>
            <w:gridSpan w:val="18"/>
          </w:tcPr>
          <w:p>
            <w:pPr>
              <w:spacing w:after="0"/>
              <w:rPr>
                <w:rFonts w:ascii="Arial" w:cs="Arial" w:eastAsia="Arial" w:hAnsi="Arial"/>
                <w:sz w:val="18"/>
                <w:szCs w:val="18"/>
                <w:color w:val="0000FF"/>
                <w:w w:val="89"/>
              </w:rPr>
            </w:pPr>
            <w:hyperlink r:id="rId57">
              <w:r>
                <w:rPr>
                  <w:rFonts w:ascii="Arial" w:cs="Arial" w:eastAsia="Arial" w:hAnsi="Arial"/>
                  <w:sz w:val="18"/>
                  <w:szCs w:val="18"/>
                  <w:color w:val="0000FF"/>
                  <w:w w:val="89"/>
                </w:rPr>
                <w:t>Loan and Security Agreement, dated December 24, 2014,</w:t>
              </w:r>
            </w:hyperlink>
          </w:p>
        </w:tc>
        <w:tc>
          <w:tcPr>
            <w:tcW w:w="300" w:type="dxa"/>
            <w:vAlign w:val="bottom"/>
            <w:gridSpan w:val="4"/>
          </w:tcPr>
          <w:p>
            <w:pPr>
              <w:spacing w:after="0"/>
              <w:rPr>
                <w:sz w:val="21"/>
                <w:szCs w:val="2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February 2, 2016</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by and among the Registrant, Oxford Finance LLC and</w:t>
              </w:r>
            </w:hyperlink>
          </w:p>
        </w:tc>
        <w:tc>
          <w:tcPr>
            <w:tcW w:w="4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2"/>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Silicon Valley Bank, as amended.</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22"/>
          </w:tcPr>
          <w:p>
            <w:pPr>
              <w:spacing w:after="0"/>
              <w:rPr>
                <w:rFonts w:ascii="Arial" w:cs="Arial" w:eastAsia="Arial" w:hAnsi="Arial"/>
                <w:sz w:val="18"/>
                <w:szCs w:val="18"/>
                <w:color w:val="0000FF"/>
                <w:w w:val="96"/>
              </w:rPr>
            </w:pPr>
            <w:hyperlink r:id="rId58">
              <w:r>
                <w:rPr>
                  <w:rFonts w:ascii="Arial" w:cs="Arial" w:eastAsia="Arial" w:hAnsi="Arial"/>
                  <w:sz w:val="18"/>
                  <w:szCs w:val="18"/>
                  <w:color w:val="0000FF"/>
                  <w:w w:val="96"/>
                </w:rPr>
                <w:t>Employment Agreement, effective August 6, 2018, by and</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November 8, 2018</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between Registrant and Eric Loumeau</w:t>
              </w:r>
            </w:hyperlink>
          </w:p>
        </w:tc>
        <w:tc>
          <w:tcPr>
            <w:tcW w:w="2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tcBorders>
              <w:top w:val="single" w:sz="8" w:color="0000FF"/>
            </w:tcBorders>
            <w:gridSpan w:val="9"/>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Amendment No. 1 to Investor Rights.</w:t>
              </w:r>
            </w:hyperlink>
          </w:p>
        </w:tc>
        <w:tc>
          <w:tcPr>
            <w:tcW w:w="1700" w:type="dxa"/>
            <w:vAlign w:val="bottom"/>
            <w:gridSpan w:val="13"/>
          </w:tcPr>
          <w:p>
            <w:pPr>
              <w:spacing w:after="0"/>
              <w:rPr>
                <w:sz w:val="21"/>
                <w:szCs w:val="2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November 8, 2018</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r:id="rId60">
              <w:r>
                <w:rPr>
                  <w:rFonts w:ascii="Arial" w:cs="Arial" w:eastAsia="Arial" w:hAnsi="Arial"/>
                  <w:sz w:val="18"/>
                  <w:szCs w:val="18"/>
                  <w:color w:val="0000FF"/>
                  <w:w w:val="88"/>
                </w:rPr>
                <w:t>Sub-lease Agreement.</w:t>
              </w:r>
            </w:hyperlink>
          </w:p>
        </w:tc>
        <w:tc>
          <w:tcPr>
            <w:tcW w:w="1120" w:type="dxa"/>
            <w:vAlign w:val="bottom"/>
            <w:tcBorders>
              <w:top w:val="single" w:sz="8" w:color="0000FF"/>
            </w:tcBorders>
            <w:gridSpan w:val="3"/>
          </w:tcPr>
          <w:p>
            <w:pPr>
              <w:spacing w:after="0"/>
              <w:rPr>
                <w:sz w:val="21"/>
                <w:szCs w:val="21"/>
                <w:color w:val="auto"/>
              </w:rPr>
            </w:pPr>
          </w:p>
        </w:tc>
        <w:tc>
          <w:tcPr>
            <w:tcW w:w="1740" w:type="dxa"/>
            <w:vAlign w:val="bottom"/>
            <w:gridSpan w:val="15"/>
          </w:tcPr>
          <w:p>
            <w:pPr>
              <w:spacing w:after="0"/>
              <w:rPr>
                <w:sz w:val="21"/>
                <w:szCs w:val="2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November 8, 2018</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114">
              <w:r>
                <w:rPr>
                  <w:rFonts w:ascii="Arial" w:cs="Arial" w:eastAsia="Arial" w:hAnsi="Arial"/>
                  <w:sz w:val="18"/>
                  <w:szCs w:val="18"/>
                  <w:color w:val="0000FF"/>
                  <w:w w:val="89"/>
                </w:rPr>
                <w:t>Subsidiaries of the Registrant.</w:t>
              </w:r>
            </w:hyperlink>
          </w:p>
        </w:tc>
        <w:tc>
          <w:tcPr>
            <w:tcW w:w="2280" w:type="dxa"/>
            <w:vAlign w:val="bottom"/>
            <w:gridSpan w:val="17"/>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15">
              <w:r>
                <w:rPr>
                  <w:rFonts w:ascii="Arial" w:cs="Arial" w:eastAsia="Arial" w:hAnsi="Arial"/>
                  <w:sz w:val="18"/>
                  <w:szCs w:val="18"/>
                  <w:color w:val="0000FF"/>
                  <w:w w:val="90"/>
                </w:rPr>
                <w:t>Consent of KPMG LLP, an independent registered public</w:t>
              </w:r>
            </w:hyperlink>
          </w:p>
        </w:tc>
        <w:tc>
          <w:tcPr>
            <w:tcW w:w="320" w:type="dxa"/>
            <w:vAlign w:val="bottom"/>
            <w:gridSpan w:val="5"/>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115">
              <w:r>
                <w:rPr>
                  <w:rFonts w:ascii="Arial" w:cs="Arial" w:eastAsia="Arial" w:hAnsi="Arial"/>
                  <w:sz w:val="18"/>
                  <w:szCs w:val="18"/>
                  <w:color w:val="0000FF"/>
                  <w:w w:val="92"/>
                </w:rPr>
                <w:t>accounting firm.</w:t>
              </w:r>
            </w:hyperlink>
          </w:p>
        </w:tc>
        <w:tc>
          <w:tcPr>
            <w:tcW w:w="326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22"/>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Power of Attorney</w:t>
              </w:r>
            </w:hyperlink>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2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116">
              <w:r>
                <w:rPr>
                  <w:rFonts w:ascii="Arial" w:cs="Arial" w:eastAsia="Arial" w:hAnsi="Arial"/>
                  <w:sz w:val="18"/>
                  <w:szCs w:val="18"/>
                  <w:color w:val="0000FF"/>
                  <w:w w:val="92"/>
                </w:rPr>
                <w:t>Certification of Principal Executive Officer, pursuant to</w:t>
              </w:r>
            </w:hyperlink>
          </w:p>
        </w:tc>
        <w:tc>
          <w:tcPr>
            <w:tcW w:w="440" w:type="dxa"/>
            <w:vAlign w:val="bottom"/>
            <w:gridSpan w:val="6"/>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2"/>
          </w:tcPr>
          <w:p>
            <w:pPr>
              <w:spacing w:after="0" w:line="196" w:lineRule="exact"/>
              <w:rPr>
                <w:rFonts w:ascii="Arial" w:cs="Arial" w:eastAsia="Arial" w:hAnsi="Arial"/>
                <w:sz w:val="18"/>
                <w:szCs w:val="18"/>
                <w:color w:val="0000FF"/>
                <w:w w:val="96"/>
              </w:rPr>
            </w:pPr>
            <w:hyperlink w:anchor="page116">
              <w:r>
                <w:rPr>
                  <w:rFonts w:ascii="Arial" w:cs="Arial" w:eastAsia="Arial" w:hAnsi="Arial"/>
                  <w:sz w:val="18"/>
                  <w:szCs w:val="18"/>
                  <w:color w:val="0000FF"/>
                  <w:w w:val="96"/>
                </w:rPr>
                <w:t>Rule 13a-14(a)/15d-14(a), as adopted pursuant to Section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116">
              <w:r>
                <w:rPr>
                  <w:rFonts w:ascii="Arial" w:cs="Arial" w:eastAsia="Arial" w:hAnsi="Arial"/>
                  <w:sz w:val="18"/>
                  <w:szCs w:val="18"/>
                  <w:color w:val="0000FF"/>
                </w:rPr>
                <w:t>302 of the Sarbanes-Oxley Act of 2002.</w:t>
              </w:r>
            </w:hyperlink>
          </w:p>
        </w:tc>
        <w:tc>
          <w:tcPr>
            <w:tcW w:w="32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tcBorders>
              <w:bottom w:val="single" w:sz="8" w:color="0000FF"/>
            </w:tcBorders>
            <w:gridSpan w:val="14"/>
          </w:tcPr>
          <w:p>
            <w:pPr>
              <w:spacing w:after="0"/>
              <w:rPr>
                <w:rFonts w:ascii="Arial" w:cs="Arial" w:eastAsia="Arial" w:hAnsi="Arial"/>
                <w:sz w:val="18"/>
                <w:szCs w:val="18"/>
                <w:color w:val="0000FF"/>
                <w:w w:val="93"/>
              </w:rPr>
            </w:pPr>
            <w:hyperlink w:anchor="page117">
              <w:r>
                <w:rPr>
                  <w:rFonts w:ascii="Arial" w:cs="Arial" w:eastAsia="Arial" w:hAnsi="Arial"/>
                  <w:sz w:val="18"/>
                  <w:szCs w:val="18"/>
                  <w:color w:val="0000FF"/>
                  <w:w w:val="93"/>
                </w:rPr>
                <w:t>Certification of Principal Financial Officer, pursuant to</w:t>
              </w:r>
            </w:hyperlink>
          </w:p>
        </w:tc>
        <w:tc>
          <w:tcPr>
            <w:tcW w:w="480" w:type="dxa"/>
            <w:vAlign w:val="bottom"/>
            <w:gridSpan w:val="8"/>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2"/>
          </w:tcPr>
          <w:p>
            <w:pPr>
              <w:spacing w:after="0" w:line="196" w:lineRule="exact"/>
              <w:rPr>
                <w:rFonts w:ascii="Arial" w:cs="Arial" w:eastAsia="Arial" w:hAnsi="Arial"/>
                <w:sz w:val="18"/>
                <w:szCs w:val="18"/>
                <w:color w:val="0000FF"/>
                <w:w w:val="96"/>
              </w:rPr>
            </w:pPr>
            <w:hyperlink w:anchor="page117">
              <w:r>
                <w:rPr>
                  <w:rFonts w:ascii="Arial" w:cs="Arial" w:eastAsia="Arial" w:hAnsi="Arial"/>
                  <w:sz w:val="18"/>
                  <w:szCs w:val="18"/>
                  <w:color w:val="0000FF"/>
                  <w:w w:val="96"/>
                </w:rPr>
                <w:t>Rule 13a-14(a)/15d-14(a), as adopted pursuant to Section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117">
              <w:r>
                <w:rPr>
                  <w:rFonts w:ascii="Arial" w:cs="Arial" w:eastAsia="Arial" w:hAnsi="Arial"/>
                  <w:sz w:val="18"/>
                  <w:szCs w:val="18"/>
                  <w:color w:val="0000FF"/>
                </w:rPr>
                <w:t>302 of the Sarbanes-Oxley Act of 2002.</w:t>
              </w:r>
            </w:hyperlink>
          </w:p>
        </w:tc>
        <w:tc>
          <w:tcPr>
            <w:tcW w:w="32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118">
              <w:r>
                <w:rPr>
                  <w:rFonts w:ascii="Arial" w:cs="Arial" w:eastAsia="Arial" w:hAnsi="Arial"/>
                  <w:sz w:val="18"/>
                  <w:szCs w:val="18"/>
                  <w:color w:val="0000FF"/>
                  <w:w w:val="92"/>
                </w:rPr>
                <w:t>Certification of Chief Executive Officer, pursuant to 18</w:t>
              </w:r>
            </w:hyperlink>
          </w:p>
        </w:tc>
        <w:tc>
          <w:tcPr>
            <w:tcW w:w="460" w:type="dxa"/>
            <w:vAlign w:val="bottom"/>
            <w:gridSpan w:val="7"/>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2"/>
          </w:tcPr>
          <w:p>
            <w:pPr>
              <w:spacing w:after="0" w:line="196" w:lineRule="exact"/>
              <w:rPr>
                <w:rFonts w:ascii="Arial" w:cs="Arial" w:eastAsia="Arial" w:hAnsi="Arial"/>
                <w:sz w:val="18"/>
                <w:szCs w:val="18"/>
                <w:color w:val="0000FF"/>
                <w:w w:val="93"/>
              </w:rPr>
            </w:pPr>
            <w:hyperlink w:anchor="page118">
              <w:r>
                <w:rPr>
                  <w:rFonts w:ascii="Arial" w:cs="Arial" w:eastAsia="Arial" w:hAnsi="Arial"/>
                  <w:sz w:val="18"/>
                  <w:szCs w:val="18"/>
                  <w:color w:val="0000FF"/>
                  <w:w w:val="93"/>
                </w:rPr>
                <w:t>U.S.C. Section 1350, as adopted pursuant to Section 906 of</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w:anchor="page118">
              <w:r>
                <w:rPr>
                  <w:rFonts w:ascii="Arial" w:cs="Arial" w:eastAsia="Arial" w:hAnsi="Arial"/>
                  <w:sz w:val="18"/>
                  <w:szCs w:val="18"/>
                  <w:color w:val="0000FF"/>
                  <w:w w:val="91"/>
                </w:rPr>
                <w:t>the Sarbanes-Oxley Act of 2002.</w:t>
              </w:r>
            </w:hyperlink>
          </w:p>
        </w:tc>
        <w:tc>
          <w:tcPr>
            <w:tcW w:w="1860" w:type="dxa"/>
            <w:vAlign w:val="bottom"/>
            <w:tcBorders>
              <w:top w:val="single" w:sz="8" w:color="0000FF"/>
            </w:tcBorders>
            <w:gridSpan w:val="14"/>
          </w:tcPr>
          <w:p>
            <w:pPr>
              <w:spacing w:after="0"/>
              <w:rPr>
                <w:sz w:val="17"/>
                <w:szCs w:val="17"/>
                <w:color w:val="auto"/>
              </w:rPr>
            </w:pPr>
          </w:p>
        </w:tc>
        <w:tc>
          <w:tcPr>
            <w:tcW w:w="1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22"/>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Certification of Chief Financial Officer, pursuant to 18</w:t>
              </w:r>
            </w:hyperlink>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13"/>
            <w:shd w:val="clear" w:color="auto" w:fill="0000FF"/>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2"/>
          </w:tcPr>
          <w:p>
            <w:pPr>
              <w:spacing w:after="0" w:line="196" w:lineRule="exact"/>
              <w:rPr>
                <w:rFonts w:ascii="Arial" w:cs="Arial" w:eastAsia="Arial" w:hAnsi="Arial"/>
                <w:sz w:val="18"/>
                <w:szCs w:val="18"/>
                <w:color w:val="0000FF"/>
                <w:w w:val="93"/>
              </w:rPr>
            </w:pPr>
            <w:hyperlink w:anchor="page119">
              <w:r>
                <w:rPr>
                  <w:rFonts w:ascii="Arial" w:cs="Arial" w:eastAsia="Arial" w:hAnsi="Arial"/>
                  <w:sz w:val="18"/>
                  <w:szCs w:val="18"/>
                  <w:color w:val="0000FF"/>
                  <w:w w:val="93"/>
                </w:rPr>
                <w:t>U.S.C. Section 1350, as adopted pursuant to Section 906 of</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w:anchor="page119">
              <w:r>
                <w:rPr>
                  <w:rFonts w:ascii="Arial" w:cs="Arial" w:eastAsia="Arial" w:hAnsi="Arial"/>
                  <w:sz w:val="18"/>
                  <w:szCs w:val="18"/>
                  <w:color w:val="0000FF"/>
                  <w:w w:val="91"/>
                </w:rPr>
                <w:t>the Sarbanes-Oxley Act of 2002.</w:t>
              </w:r>
            </w:hyperlink>
          </w:p>
        </w:tc>
        <w:tc>
          <w:tcPr>
            <w:tcW w:w="1860" w:type="dxa"/>
            <w:vAlign w:val="bottom"/>
            <w:tcBorders>
              <w:top w:val="single" w:sz="8" w:color="0000FF"/>
            </w:tcBorders>
            <w:gridSpan w:val="14"/>
          </w:tcPr>
          <w:p>
            <w:pPr>
              <w:spacing w:after="0"/>
              <w:rPr>
                <w:sz w:val="17"/>
                <w:szCs w:val="17"/>
                <w:color w:val="auto"/>
              </w:rPr>
            </w:pPr>
          </w:p>
        </w:tc>
        <w:tc>
          <w:tcPr>
            <w:tcW w:w="1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gridSpan w:val="22"/>
          </w:tcPr>
          <w:p>
            <w:pPr>
              <w:spacing w:after="0"/>
              <w:rPr>
                <w:sz w:val="20"/>
                <w:szCs w:val="20"/>
                <w:color w:val="auto"/>
              </w:rPr>
            </w:pPr>
            <w:r>
              <w:rPr>
                <w:rFonts w:ascii="Arial" w:cs="Arial" w:eastAsia="Arial" w:hAnsi="Arial"/>
                <w:sz w:val="16"/>
                <w:szCs w:val="16"/>
                <w:color w:val="auto"/>
                <w:w w:val="97"/>
              </w:rPr>
              <w:t>XBRL Report Instance Document - The instance document does</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2"/>
          </w:tcPr>
          <w:p>
            <w:pPr>
              <w:spacing w:after="0"/>
              <w:rPr>
                <w:sz w:val="20"/>
                <w:szCs w:val="20"/>
                <w:color w:val="auto"/>
              </w:rPr>
            </w:pPr>
            <w:r>
              <w:rPr>
                <w:rFonts w:ascii="Arial" w:cs="Arial" w:eastAsia="Arial" w:hAnsi="Arial"/>
                <w:sz w:val="16"/>
                <w:szCs w:val="16"/>
                <w:color w:val="auto"/>
                <w:w w:val="96"/>
              </w:rPr>
              <w:t>not appear in the Interactive Data File because its XBRL tags are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4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7"/>
                <w:szCs w:val="17"/>
                <w:color w:val="auto"/>
              </w:rPr>
            </w:pPr>
          </w:p>
        </w:tc>
        <w:tc>
          <w:tcPr>
            <w:tcW w:w="4460" w:type="dxa"/>
            <w:vAlign w:val="bottom"/>
            <w:gridSpan w:val="22"/>
          </w:tcPr>
          <w:p>
            <w:pPr>
              <w:spacing w:after="0"/>
              <w:rPr>
                <w:sz w:val="20"/>
                <w:szCs w:val="20"/>
                <w:color w:val="auto"/>
              </w:rPr>
            </w:pPr>
            <w:r>
              <w:rPr>
                <w:rFonts w:ascii="Arial" w:cs="Arial" w:eastAsia="Arial" w:hAnsi="Arial"/>
                <w:sz w:val="16"/>
                <w:szCs w:val="16"/>
                <w:color w:val="auto"/>
              </w:rPr>
              <w:t>embedded within the Inline XBRL 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4"/>
                <w:szCs w:val="24"/>
                <w:color w:val="auto"/>
              </w:rPr>
            </w:pPr>
          </w:p>
        </w:tc>
        <w:tc>
          <w:tcPr>
            <w:tcW w:w="4460" w:type="dxa"/>
            <w:vAlign w:val="bottom"/>
            <w:gridSpan w:val="22"/>
          </w:tcPr>
          <w:p>
            <w:pPr>
              <w:spacing w:after="0"/>
              <w:rPr>
                <w:sz w:val="20"/>
                <w:szCs w:val="20"/>
                <w:color w:val="auto"/>
              </w:rPr>
            </w:pPr>
            <w:r>
              <w:rPr>
                <w:rFonts w:ascii="Arial" w:cs="Arial" w:eastAsia="Arial" w:hAnsi="Arial"/>
                <w:sz w:val="16"/>
                <w:szCs w:val="16"/>
                <w:color w:val="auto"/>
              </w:rPr>
              <w:t>Inline XBRL Taxonomy Extension Schema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4"/>
                <w:szCs w:val="24"/>
                <w:color w:val="auto"/>
              </w:rPr>
            </w:pPr>
          </w:p>
        </w:tc>
        <w:tc>
          <w:tcPr>
            <w:tcW w:w="4460" w:type="dxa"/>
            <w:vAlign w:val="bottom"/>
            <w:gridSpan w:val="22"/>
          </w:tcPr>
          <w:p>
            <w:pPr>
              <w:spacing w:after="0"/>
              <w:rPr>
                <w:sz w:val="20"/>
                <w:szCs w:val="20"/>
                <w:color w:val="auto"/>
              </w:rPr>
            </w:pPr>
            <w:r>
              <w:rPr>
                <w:rFonts w:ascii="Arial" w:cs="Arial" w:eastAsia="Arial" w:hAnsi="Arial"/>
                <w:sz w:val="16"/>
                <w:szCs w:val="16"/>
                <w:color w:val="auto"/>
              </w:rPr>
              <w:t>Inline XBRL Taxonomy Calculation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4"/>
                <w:szCs w:val="24"/>
                <w:color w:val="auto"/>
              </w:rPr>
            </w:pPr>
          </w:p>
        </w:tc>
        <w:tc>
          <w:tcPr>
            <w:tcW w:w="4460" w:type="dxa"/>
            <w:vAlign w:val="bottom"/>
            <w:gridSpan w:val="22"/>
          </w:tcPr>
          <w:p>
            <w:pPr>
              <w:spacing w:after="0"/>
              <w:rPr>
                <w:sz w:val="20"/>
                <w:szCs w:val="20"/>
                <w:color w:val="auto"/>
              </w:rPr>
            </w:pPr>
            <w:r>
              <w:rPr>
                <w:rFonts w:ascii="Arial" w:cs="Arial" w:eastAsia="Arial" w:hAnsi="Arial"/>
                <w:sz w:val="16"/>
                <w:szCs w:val="16"/>
                <w:color w:val="auto"/>
              </w:rPr>
              <w:t>Inline XBRL Taxonomy Label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4"/>
                <w:szCs w:val="24"/>
                <w:color w:val="auto"/>
              </w:rPr>
            </w:pPr>
          </w:p>
        </w:tc>
        <w:tc>
          <w:tcPr>
            <w:tcW w:w="4460" w:type="dxa"/>
            <w:vAlign w:val="bottom"/>
            <w:gridSpan w:val="22"/>
          </w:tcPr>
          <w:p>
            <w:pPr>
              <w:spacing w:after="0"/>
              <w:rPr>
                <w:sz w:val="20"/>
                <w:szCs w:val="20"/>
                <w:color w:val="auto"/>
              </w:rPr>
            </w:pPr>
            <w:r>
              <w:rPr>
                <w:rFonts w:ascii="Arial" w:cs="Arial" w:eastAsia="Arial" w:hAnsi="Arial"/>
                <w:sz w:val="16"/>
                <w:szCs w:val="16"/>
                <w:color w:val="auto"/>
              </w:rPr>
              <w:t>Inline XBRL Presentation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22"/>
          </w:tcPr>
          <w:p>
            <w:pPr>
              <w:spacing w:after="0"/>
              <w:rPr>
                <w:sz w:val="20"/>
                <w:szCs w:val="20"/>
                <w:color w:val="auto"/>
              </w:rPr>
            </w:pPr>
            <w:r>
              <w:rPr>
                <w:rFonts w:ascii="Arial" w:cs="Arial" w:eastAsia="Arial" w:hAnsi="Arial"/>
                <w:sz w:val="16"/>
                <w:szCs w:val="16"/>
                <w:color w:val="auto"/>
              </w:rPr>
              <w:t>Inline XBRL Taxonomy Extension Definition Linkbase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4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7"/>
                <w:szCs w:val="17"/>
                <w:color w:val="auto"/>
              </w:rPr>
            </w:pPr>
          </w:p>
        </w:tc>
        <w:tc>
          <w:tcPr>
            <w:tcW w:w="4460" w:type="dxa"/>
            <w:vAlign w:val="bottom"/>
            <w:gridSpan w:val="22"/>
          </w:tcPr>
          <w:p>
            <w:pPr>
              <w:spacing w:after="0"/>
              <w:rPr>
                <w:sz w:val="20"/>
                <w:szCs w:val="20"/>
                <w:color w:val="auto"/>
              </w:rPr>
            </w:pPr>
            <w:r>
              <w:rPr>
                <w:rFonts w:ascii="Arial" w:cs="Arial" w:eastAsia="Arial" w:hAnsi="Arial"/>
                <w:sz w:val="16"/>
                <w:szCs w:val="16"/>
                <w:color w:val="auto"/>
              </w:rPr>
              <w:t>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Cover Page Interactive Data File (formatted as inline XBRL and</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contained in Exhibit 101)</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w:t>
      </w:r>
    </w:p>
    <w:p>
      <w:pPr>
        <w:spacing w:after="0" w:line="334"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Executive compensation plan or agreement.</w:t>
      </w:r>
    </w:p>
    <w:p>
      <w:pPr>
        <w:spacing w:after="0" w:line="23" w:lineRule="exact"/>
        <w:rPr>
          <w:sz w:val="20"/>
          <w:szCs w:val="20"/>
          <w:color w:val="auto"/>
        </w:rPr>
      </w:pPr>
    </w:p>
    <w:p>
      <w:pPr>
        <w:ind w:left="660" w:right="60" w:hanging="652"/>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660" w:right="720" w:hanging="652"/>
        <w:spacing w:after="0" w:line="261"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738"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219"/>
          </w:cols>
          <w:pgMar w:left="240" w:top="769"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21"/>
          <w:szCs w:val="21"/>
          <w:b w:val="1"/>
          <w:bCs w:val="1"/>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16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ANAPTYSBIO, INC.</w:t>
      </w:r>
    </w:p>
    <w:p>
      <w:pPr>
        <w:spacing w:after="0" w:line="337" w:lineRule="exact"/>
        <w:rPr>
          <w:sz w:val="20"/>
          <w:szCs w:val="20"/>
          <w:color w:val="auto"/>
        </w:rPr>
      </w:pPr>
    </w:p>
    <w:p>
      <w:pPr>
        <w:ind w:left="64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Hamza Suria and Eric Loumeau,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18"/>
        </w:trPr>
        <w:tc>
          <w:tcPr>
            <w:tcW w:w="4240" w:type="dxa"/>
            <w:vAlign w:val="bottom"/>
          </w:tcPr>
          <w:p>
            <w:pPr>
              <w:jc w:val="center"/>
              <w:spacing w:after="0"/>
              <w:rPr>
                <w:sz w:val="20"/>
                <w:szCs w:val="20"/>
                <w:color w:val="auto"/>
              </w:rPr>
            </w:pPr>
            <w:r>
              <w:rPr>
                <w:rFonts w:ascii="Arial" w:cs="Arial" w:eastAsia="Arial" w:hAnsi="Arial"/>
                <w:sz w:val="18"/>
                <w:szCs w:val="18"/>
                <w:color w:val="auto"/>
                <w:w w:val="90"/>
              </w:rPr>
              <w:t>/s/ Hamza Suria</w:t>
            </w:r>
          </w:p>
        </w:tc>
        <w:tc>
          <w:tcPr>
            <w:tcW w:w="340" w:type="dxa"/>
            <w:vAlign w:val="bottom"/>
          </w:tcPr>
          <w:p>
            <w:pPr>
              <w:spacing w:after="0"/>
              <w:rPr>
                <w:sz w:val="24"/>
                <w:szCs w:val="24"/>
                <w:color w:val="auto"/>
              </w:rPr>
            </w:pP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President, Chief Executive Officer and 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Hamza Suria</w:t>
            </w:r>
          </w:p>
        </w:tc>
        <w:tc>
          <w:tcPr>
            <w:tcW w:w="340" w:type="dxa"/>
            <w:vAlign w:val="bottom"/>
          </w:tcPr>
          <w:p>
            <w:pPr>
              <w:spacing w:after="0"/>
              <w:rPr>
                <w:sz w:val="20"/>
                <w:szCs w:val="20"/>
                <w:color w:val="auto"/>
              </w:rPr>
            </w:pP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4"/>
              </w:rPr>
              <w:t>(Principal Executive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473"/>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Eric Loumeau</w:t>
            </w:r>
          </w:p>
        </w:tc>
        <w:tc>
          <w:tcPr>
            <w:tcW w:w="340" w:type="dxa"/>
            <w:vAlign w:val="bottom"/>
          </w:tcPr>
          <w:p>
            <w:pPr>
              <w:spacing w:after="0"/>
              <w:rPr>
                <w:sz w:val="24"/>
                <w:szCs w:val="24"/>
                <w:color w:val="auto"/>
              </w:rPr>
            </w:pP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Interim Chief Financial Officer and General Counsel</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3"/>
              </w:rPr>
              <w:t>Eric Loumeau</w:t>
            </w:r>
          </w:p>
        </w:tc>
        <w:tc>
          <w:tcPr>
            <w:tcW w:w="340" w:type="dxa"/>
            <w:vAlign w:val="bottom"/>
          </w:tcPr>
          <w:p>
            <w:pPr>
              <w:spacing w:after="0"/>
              <w:rPr>
                <w:sz w:val="20"/>
                <w:szCs w:val="20"/>
                <w:color w:val="auto"/>
              </w:rPr>
            </w:pPr>
          </w:p>
        </w:tc>
        <w:tc>
          <w:tcPr>
            <w:tcW w:w="4780" w:type="dxa"/>
            <w:vAlign w:val="bottom"/>
            <w:gridSpan w:val="2"/>
            <w:vMerge w:val="restart"/>
          </w:tcPr>
          <w:p>
            <w:pPr>
              <w:jc w:val="center"/>
              <w:ind w:right="340"/>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gridSpan w:val="2"/>
            <w:vMerge w:val="continue"/>
          </w:tcPr>
          <w:p>
            <w:pPr>
              <w:spacing w:after="0"/>
              <w:rPr>
                <w:sz w:val="18"/>
                <w:szCs w:val="18"/>
                <w:color w:val="auto"/>
              </w:rPr>
            </w:pP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4240" w:type="dxa"/>
            <w:vAlign w:val="bottom"/>
          </w:tcPr>
          <w:p>
            <w:pPr>
              <w:jc w:val="center"/>
              <w:spacing w:after="0"/>
              <w:rPr>
                <w:sz w:val="20"/>
                <w:szCs w:val="20"/>
                <w:color w:val="auto"/>
              </w:rPr>
            </w:pPr>
            <w:r>
              <w:rPr>
                <w:rFonts w:ascii="Arial" w:cs="Arial" w:eastAsia="Arial" w:hAnsi="Arial"/>
                <w:sz w:val="18"/>
                <w:szCs w:val="18"/>
                <w:color w:val="auto"/>
                <w:w w:val="90"/>
              </w:rPr>
              <w:t>/s/ Dennis Fenton</w:t>
            </w:r>
          </w:p>
        </w:tc>
        <w:tc>
          <w:tcPr>
            <w:tcW w:w="340" w:type="dxa"/>
            <w:vAlign w:val="bottom"/>
          </w:tcPr>
          <w:p>
            <w:pPr>
              <w:spacing w:after="0"/>
              <w:rPr>
                <w:sz w:val="24"/>
                <w:szCs w:val="24"/>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Dennis Fenton, Ph.D.</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 Laura J. Hamill</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3"/>
              </w:rPr>
              <w:t>Laura J. Hamill</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 Hollings Renton</w:t>
            </w:r>
          </w:p>
        </w:tc>
        <w:tc>
          <w:tcPr>
            <w:tcW w:w="340" w:type="dxa"/>
            <w:vAlign w:val="bottom"/>
          </w:tcPr>
          <w:p>
            <w:pPr>
              <w:spacing w:after="0"/>
              <w:rPr>
                <w:sz w:val="24"/>
                <w:szCs w:val="24"/>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4"/>
              </w:rPr>
              <w:t>Hollings Renton</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0"/>
              </w:rPr>
              <w:t>/s/ John Schmid</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John Schmid</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88"/>
              </w:rPr>
              <w:t>/s/ James N. Topper</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89"/>
              </w:rPr>
              <w:t>James N. Topper, M.D., Ph.D.</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J. Anthony Ware</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J. Anthony Ware, M.D.</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240" w:type="dxa"/>
            <w:vAlign w:val="bottom"/>
          </w:tcPr>
          <w:p>
            <w:pPr>
              <w:spacing w:after="0"/>
              <w:rPr>
                <w:sz w:val="24"/>
                <w:szCs w:val="24"/>
                <w:color w:val="auto"/>
              </w:rPr>
            </w:pPr>
          </w:p>
        </w:tc>
        <w:tc>
          <w:tcPr>
            <w:tcW w:w="4780" w:type="dxa"/>
            <w:vAlign w:val="bottom"/>
            <w:gridSpan w:val="2"/>
          </w:tcPr>
          <w:p>
            <w:pPr>
              <w:jc w:val="right"/>
              <w:ind w:right="3092"/>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4.03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AnaptysBio, Inc. (“we” or “our”) had one class of securities registered under Section 12 of the Securities Exchange Act of 1934, as amended (the “Exchange Act”):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summarizes the most important terms of our capital stock and certain provisions of our restated certificate of incorporation and restated bylaws. Because it is only a summary, it does not contain all of the information that may be important to you. For a complete description, you should refer to our restated certificate of incorporation and restated bylaws, which are incorporated by reference as an exhibit to the Annual Report on Form 10-K of which this Exhibit 4.03 is a part, and to the provisions of applicable Delaware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756"/>
        <w:spacing w:after="0" w:line="277" w:lineRule="auto"/>
        <w:rPr>
          <w:sz w:val="20"/>
          <w:szCs w:val="20"/>
          <w:color w:val="auto"/>
        </w:rPr>
      </w:pPr>
      <w:r>
        <w:rPr>
          <w:rFonts w:ascii="Arial" w:cs="Arial" w:eastAsia="Arial" w:hAnsi="Arial"/>
          <w:sz w:val="18"/>
          <w:szCs w:val="18"/>
          <w:color w:val="auto"/>
        </w:rPr>
        <w:t>We are authorized to issue 510,000,000 shares of all classes of capital stock, of which 500,000,000 shares are common stock, $0.001 par value per share, and 10,000,000 shares are preferred stock, $0.001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2019, no shares of our preferred stock are issued and outstanding and no such shares were subject to outstanding options or other rights to purchase or acquire. However, shares of preferred stock may be issued in one or more series from time to time by our board of directors, and the board of directors is expressly authorized to fix by resolution or resolutions the designations and the powers, preferences and rights, and the qualifications, limitations and restrictions thereof, of the shares of each series of preferred stock. Subject to the determination of our board of directors, any shares of our preferred stock that may be issued in the future would generally have preferences over our common stock with respect to the payment of dividends and the distribution of assets in the event of our liquidation, dissolution or winding up.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subject to the provisions of Section 203 of the Delaware General Corporation Law regulating corporate takeovers. This section prevents some Delaware corporations, including us,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54" w:lineRule="exact"/>
        <w:rPr>
          <w:sz w:val="20"/>
          <w:szCs w:val="20"/>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ectPr>
          <w:pgSz w:w="11900" w:h="16838" w:orient="portrait"/>
          <w:cols w:equalWidth="0" w:num="1">
            <w:col w:w="11420"/>
          </w:cols>
          <w:pgMar w:left="240" w:top="594" w:right="239" w:bottom="0" w:gutter="0" w:footer="0" w:header="0"/>
        </w:sectPr>
      </w:pPr>
    </w:p>
    <w:bookmarkStart w:id="111" w:name="page112"/>
    <w:bookmarkEnd w:id="111"/>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or subsequent to such time that the stockholder became an interested stockholder, the business combination is approved by the board of directors and authorized at an annual or special meeting of stockholders by at least two-thirds of the outstanding voting stock not owned by the interested stockholder.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and do not plan to “opt out” of these provisions. The statute could prohibit or delay mergers or other takeover or change in control attempts and, accordingly, may discourage attempts to acquire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may have the effect of deterring hostile takeovers or delaying or preventing changes in control, including the following:</w:t>
      </w:r>
    </w:p>
    <w:p>
      <w:pPr>
        <w:spacing w:after="0" w:line="170" w:lineRule="exact"/>
        <w:rPr>
          <w:sz w:val="20"/>
          <w:szCs w:val="20"/>
          <w:color w:val="auto"/>
        </w:rPr>
      </w:pPr>
    </w:p>
    <w:p>
      <w:pPr>
        <w:jc w:val="both"/>
        <w:ind w:left="660" w:hanging="328"/>
        <w:spacing w:after="0" w:line="276"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restated certificate of incorporation and restated bylaws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72"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Classified Board</w:t>
      </w:r>
      <w:r>
        <w:rPr>
          <w:rFonts w:ascii="Arial" w:cs="Arial" w:eastAsia="Arial" w:hAnsi="Arial"/>
          <w:sz w:val="17"/>
          <w:szCs w:val="17"/>
          <w:color w:val="auto"/>
        </w:rPr>
        <w:t>. Our restated certificate of incorporation and restated bylaws provide that our board is classified into three classes of directors, each</w:t>
      </w:r>
      <w:r>
        <w:rPr>
          <w:rFonts w:ascii="Arial" w:cs="Arial" w:eastAsia="Arial" w:hAnsi="Arial"/>
          <w:sz w:val="17"/>
          <w:szCs w:val="17"/>
          <w:i w:val="1"/>
          <w:iCs w:val="1"/>
          <w:color w:val="auto"/>
        </w:rPr>
        <w:t xml:space="preserve"> </w:t>
      </w:r>
      <w:r>
        <w:rPr>
          <w:rFonts w:ascii="Arial" w:cs="Arial" w:eastAsia="Arial" w:hAnsi="Arial"/>
          <w:sz w:val="17"/>
          <w:szCs w:val="17"/>
          <w:color w:val="auto"/>
        </w:rPr>
        <w:t>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65" w:lineRule="exact"/>
        <w:rPr>
          <w:rFonts w:ascii="Arial" w:cs="Arial" w:eastAsia="Arial" w:hAnsi="Arial"/>
          <w:sz w:val="17"/>
          <w:szCs w:val="17"/>
          <w:color w:val="auto"/>
        </w:rPr>
      </w:pPr>
    </w:p>
    <w:p>
      <w:pPr>
        <w:jc w:val="both"/>
        <w:ind w:left="660" w:hanging="328"/>
        <w:spacing w:after="0" w:line="272"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Stockholder Action; Special Meetings of Stockholders</w:t>
      </w:r>
      <w:r>
        <w:rPr>
          <w:rFonts w:ascii="Arial" w:cs="Arial" w:eastAsia="Arial" w:hAnsi="Arial"/>
          <w:sz w:val="17"/>
          <w:szCs w:val="17"/>
          <w:color w:val="auto"/>
        </w:rPr>
        <w:t>. Our restated certificate of incorporation provides that our stockholders may not take action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77"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restated bylaws provide advance notice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8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do not provide for cumulative voting.</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Our restated certificate of incorporation provides that stockholders may remove directors only for cause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by the affirmative vote of the holders of at least two-thirds of our outstanding common stock.</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Amendment to Certificate of Incorporation and Bylaws</w:t>
      </w:r>
      <w:r>
        <w:rPr>
          <w:rFonts w:ascii="Arial" w:cs="Arial" w:eastAsia="Arial" w:hAnsi="Arial"/>
          <w:sz w:val="16"/>
          <w:szCs w:val="16"/>
          <w:color w:val="auto"/>
        </w:rPr>
        <w:t>. Any amendment of the above provisions in our restated certificate of incorporation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bylaws requires approval by holders of at least two-thirds of our then-outstanding capital stock entitled to vote in the election of directors.</w:t>
      </w:r>
    </w:p>
    <w:p>
      <w:pPr>
        <w:spacing w:after="0" w:line="12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has the authority, without further action by the stockholders, to issue up to</w:t>
      </w:r>
      <w:r>
        <w:rPr>
          <w:rFonts w:ascii="Arial" w:cs="Arial" w:eastAsia="Arial" w:hAnsi="Arial"/>
          <w:sz w:val="18"/>
          <w:szCs w:val="18"/>
          <w:i w:val="1"/>
          <w:iCs w:val="1"/>
          <w:color w:val="auto"/>
        </w:rPr>
        <w:t xml:space="preserve"> </w:t>
      </w:r>
      <w:r>
        <w:rPr>
          <w:rFonts w:ascii="Arial" w:cs="Arial" w:eastAsia="Arial" w:hAnsi="Arial"/>
          <w:sz w:val="18"/>
          <w:szCs w:val="18"/>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186"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Choice of Forum</w:t>
      </w:r>
      <w:r>
        <w:rPr>
          <w:rFonts w:ascii="Arial" w:cs="Arial" w:eastAsia="Arial" w:hAnsi="Arial"/>
          <w:sz w:val="16"/>
          <w:szCs w:val="16"/>
          <w:color w:val="auto"/>
        </w:rPr>
        <w:t>. Our restated certificate of incorporation provides that the Court of Chancery of the State of Delaware is the exclusive forum for</w:t>
      </w:r>
      <w:r>
        <w:rPr>
          <w:rFonts w:ascii="Arial" w:cs="Arial" w:eastAsia="Arial" w:hAnsi="Arial"/>
          <w:sz w:val="16"/>
          <w:szCs w:val="16"/>
          <w:i w:val="1"/>
          <w:iCs w:val="1"/>
          <w:color w:val="auto"/>
        </w:rPr>
        <w:t xml:space="preserve"> </w:t>
      </w:r>
      <w:r>
        <w:rPr>
          <w:rFonts w:ascii="Arial" w:cs="Arial" w:eastAsia="Arial" w:hAnsi="Arial"/>
          <w:sz w:val="16"/>
          <w:szCs w:val="16"/>
          <w:color w:val="auto"/>
        </w:rPr>
        <w:t>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of 1933, as amended, or the rules and regulations thereunder in federal court.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Global Market under the trading symbol “ANAB.”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ectPr>
          <w:pgSz w:w="11900" w:h="16838" w:orient="portrait"/>
          <w:cols w:equalWidth="0" w:num="1">
            <w:col w:w="11420"/>
          </w:cols>
          <w:pgMar w:left="240" w:top="125" w:right="239" w:bottom="0" w:gutter="0" w:footer="0" w:header="0"/>
        </w:sectPr>
      </w:pPr>
    </w:p>
    <w:bookmarkStart w:id="112" w:name="page113"/>
    <w:bookmarkEnd w:id="1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40" w:type="dxa"/>
            <w:vAlign w:val="bottom"/>
            <w:gridSpan w:val="2"/>
          </w:tcPr>
          <w:p>
            <w:pPr>
              <w:ind w:left="1280"/>
              <w:spacing w:after="0"/>
              <w:rPr>
                <w:sz w:val="20"/>
                <w:szCs w:val="20"/>
                <w:color w:val="auto"/>
              </w:rPr>
            </w:pPr>
            <w:r>
              <w:rPr>
                <w:rFonts w:ascii="Arial" w:cs="Arial" w:eastAsia="Arial" w:hAnsi="Arial"/>
                <w:sz w:val="18"/>
                <w:szCs w:val="18"/>
                <w:b w:val="1"/>
                <w:bCs w:val="1"/>
                <w:color w:val="auto"/>
              </w:rPr>
              <w:t>SUBSIDIARIES OF THE REGISTRANT</w:t>
            </w:r>
          </w:p>
        </w:tc>
      </w:tr>
      <w:tr>
        <w:trPr>
          <w:trHeight w:val="554"/>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 of Subsidiary</w:t>
            </w: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91"/>
        </w:trPr>
        <w:tc>
          <w:tcPr>
            <w:tcW w:w="2780" w:type="dxa"/>
            <w:vAlign w:val="bottom"/>
            <w:gridSpan w:val="2"/>
          </w:tcPr>
          <w:p>
            <w:pPr>
              <w:spacing w:after="0"/>
              <w:rPr>
                <w:sz w:val="20"/>
                <w:szCs w:val="20"/>
                <w:color w:val="auto"/>
              </w:rPr>
            </w:pPr>
            <w:r>
              <w:rPr>
                <w:rFonts w:ascii="Arial" w:cs="Arial" w:eastAsia="Arial" w:hAnsi="Arial"/>
                <w:sz w:val="18"/>
                <w:szCs w:val="18"/>
                <w:color w:val="auto"/>
              </w:rPr>
              <w:t>AnaptysBio Pty Ltd</w:t>
            </w:r>
          </w:p>
        </w:tc>
        <w:tc>
          <w:tcPr>
            <w:tcW w:w="29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380"/>
          </w:cols>
          <w:pgMar w:left="280" w:top="553"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11" w:lineRule="exact"/>
        <w:rPr>
          <w:sz w:val="20"/>
          <w:szCs w:val="20"/>
          <w:color w:val="auto"/>
        </w:rPr>
      </w:pPr>
    </w:p>
    <w:p>
      <w:pPr>
        <w:ind w:right="120"/>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 (No. 333</w:t>
      </w:r>
      <w:r>
        <w:rPr>
          <w:rFonts w:ascii="MS PGothic" w:cs="MS PGothic" w:eastAsia="MS PGothic" w:hAnsi="MS PGothic"/>
          <w:sz w:val="17"/>
          <w:szCs w:val="17"/>
          <w:color w:val="auto"/>
        </w:rPr>
        <w:t>‑</w:t>
      </w:r>
      <w:r>
        <w:rPr>
          <w:rFonts w:ascii="Arial" w:cs="Arial" w:eastAsia="Arial" w:hAnsi="Arial"/>
          <w:sz w:val="17"/>
          <w:szCs w:val="17"/>
          <w:color w:val="auto"/>
        </w:rPr>
        <w:t>222868) on Form S-3ASR and registration statement (Nos. 333-215741, 333-223446, and 333-229927) on Form S-8 of AnaptysBio, Inc. of our reports dated March 2, 2020, with respect to the consolidated balance sheets of AnaptysBio, Inc. as of December 31, 2019 and 2018, the related consolidated statements of operations and comprehensive loss, convertible preferred stock and stockholders’ equity (deficit), and cash flows for each of the years in the three-year period ended December 31, 2019, and the related notes (collectively, the consolidated financial statements), and the effectiveness of internal control over financial reporting as of December 31, 2019, which reports appear in the December 31, 2019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AnaptysBio, Inc.</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783"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1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60" w:hanging="169"/>
        <w:spacing w:after="0" w:line="264" w:lineRule="auto"/>
        <w:tabs>
          <w:tab w:leader="none" w:pos="453"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43"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53"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59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Eric Loumeau, certify that:</w:t>
      </w:r>
    </w:p>
    <w:p>
      <w:pPr>
        <w:spacing w:after="0" w:line="212"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5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60" w:hanging="169"/>
        <w:spacing w:after="0" w:line="264" w:lineRule="auto"/>
        <w:tabs>
          <w:tab w:leader="none" w:pos="45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5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38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40392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Eric Loumeau</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Interim Chief Financial Officer and General Counsel</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9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Hamza Suria, Chief Executive Officer of AnaptysBio, Inc. (Company), do hereby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880" w:right="740" w:hanging="440"/>
        <w:spacing w:after="0" w:line="342" w:lineRule="auto"/>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2019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80" w:right="180" w:hanging="440"/>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59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 Eric Loumeau, Interim Chief Financial Officer of AnaptysBio, Inc.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880" w:right="740" w:hanging="440"/>
        <w:spacing w:after="0" w:line="342" w:lineRule="auto"/>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2019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80" w:right="180" w:hanging="440"/>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Eric Loumeau</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Interim Chief Financial Officer and General Counsel</w:t>
      </w: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42"/>
    </w:lvl>
  </w:abstractNum>
  <w:abstractNum w:abstractNumId="10">
    <w:nsid w:val="5072367"/>
    <w:multiLevelType w:val="hybridMultilevel"/>
    <w:lvl w:ilvl="0">
      <w:lvlJc w:val="left"/>
      <w:lvlText w:val="%1)"/>
      <w:numFmt w:val="decimal"/>
      <w:start w:val="22"/>
    </w:lvl>
  </w:abstractNum>
  <w:abstractNum w:abstractNumId="11">
    <w:nsid w:val="3804823E"/>
    <w:multiLevelType w:val="hybridMultilevel"/>
    <w:lvl w:ilvl="0">
      <w:lvlJc w:val="left"/>
      <w:lvlText w:val="%1)"/>
      <w:numFmt w:val="decimal"/>
      <w:start w:val="33"/>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lvl w:ilvl="1">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decimal"/>
      <w:start w:val="2"/>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decimal"/>
      <w:start w:val="3"/>
    </w:lvl>
  </w:abstractNum>
  <w:abstractNum w:abstractNumId="45">
    <w:nsid w:val="520EEDD1"/>
    <w:multiLevelType w:val="hybridMultilevel"/>
    <w:lvl w:ilvl="0">
      <w:lvlJc w:val="left"/>
      <w:lvlText w:val="%1."/>
      <w:numFmt w:val="decimal"/>
      <w:start w:val="4"/>
    </w:lvl>
  </w:abstractNum>
  <w:abstractNum w:abstractNumId="46">
    <w:nsid w:val="374A3FE6"/>
    <w:multiLevelType w:val="hybridMultilevel"/>
    <w:lvl w:ilvl="0">
      <w:lvlJc w:val="left"/>
      <w:lvlText w:val="%1."/>
      <w:numFmt w:val="decimal"/>
      <w:start w:val="6"/>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1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42" Type="http://schemas.openxmlformats.org/officeDocument/2006/relationships/hyperlink" Target="http://www.sec.gov/Archives/edgar/data/1370053/000137005317000005/anab-033117x10qxexx31.htm" TargetMode="External"/><Relationship Id="rId43" Type="http://schemas.openxmlformats.org/officeDocument/2006/relationships/hyperlink" Target="http://www.sec.gov/Archives/edgar/data/1370053/000119312515315918/d942137dex32.htm" TargetMode="External"/><Relationship Id="rId44" Type="http://schemas.openxmlformats.org/officeDocument/2006/relationships/hyperlink" Target="http://www.sec.gov/Archives/edgar/data/1370053/000119312515412604/d942137dex41.htm" TargetMode="External"/><Relationship Id="rId45" Type="http://schemas.openxmlformats.org/officeDocument/2006/relationships/hyperlink" Target="http://www.sec.gov/Archives/edgar/data/1370053/000119312515315918/d942137dex42.htm" TargetMode="External"/><Relationship Id="rId46" Type="http://schemas.openxmlformats.org/officeDocument/2006/relationships/hyperlink" Target="http://www.sec.gov/Archives/edgar/data/1370053/000119312515315918/d942137dex101.htm" TargetMode="External"/><Relationship Id="rId47" Type="http://schemas.openxmlformats.org/officeDocument/2006/relationships/hyperlink" Target="http://www.sec.gov/Archives/edgar/data/1370053/000119312517010405/d320192dex102.htm" TargetMode="External"/><Relationship Id="rId48" Type="http://schemas.openxmlformats.org/officeDocument/2006/relationships/hyperlink" Target="http://www.sec.gov/Archives/edgar/data/1370053/000119312517010405/d320192dex103.htm" TargetMode="External"/><Relationship Id="rId49" Type="http://schemas.openxmlformats.org/officeDocument/2006/relationships/hyperlink" Target="http://www.sec.gov/Archives/edgar/data/1370053/000119312517010405/d320192dex104.htm" TargetMode="External"/><Relationship Id="rId50" Type="http://schemas.openxmlformats.org/officeDocument/2006/relationships/hyperlink" Target="http://www.sec.gov/Archives/edgar/data/1370053/000137005318000014/ex105employmentagreementha.htm" TargetMode="External"/><Relationship Id="rId51" Type="http://schemas.openxmlformats.org/officeDocument/2006/relationships/hyperlink" Target="http://www.sec.gov/Archives/edgar/data/1370053/000137005318000014/ex107employmentagreementma.htm" TargetMode="External"/><Relationship Id="rId52" Type="http://schemas.openxmlformats.org/officeDocument/2006/relationships/hyperlink" Target="http://www.sec.gov/Archives/edgar/data/1370053/000119312515412604/d942137dex108.htm" TargetMode="External"/><Relationship Id="rId53" Type="http://schemas.openxmlformats.org/officeDocument/2006/relationships/hyperlink" Target="http://www.sec.gov/Archives/edgar/data/1370053/000119312516805335/d320192dex109.htm" TargetMode="External"/><Relationship Id="rId54" Type="http://schemas.openxmlformats.org/officeDocument/2006/relationships/hyperlink" Target="http://www.sec.gov/Archives/edgar/data/1370053/000119312516585556/d942137dex1010.htm" TargetMode="External"/><Relationship Id="rId55" Type="http://schemas.openxmlformats.org/officeDocument/2006/relationships/hyperlink" Target="http://www.sec.gov/Archives/edgar/data/1370053/000119312515315918/d942137dex1012.htm" TargetMode="External"/><Relationship Id="rId56" Type="http://schemas.openxmlformats.org/officeDocument/2006/relationships/hyperlink" Target="http://www.sec.gov/Archives/edgar/data/1370053/000119312515315918/d942137dex1013.htm" TargetMode="External"/><Relationship Id="rId57" Type="http://schemas.openxmlformats.org/officeDocument/2006/relationships/hyperlink" Target="http://www.sec.gov/Archives/edgar/data/1370053/000119312516465517/d942137dex1013.htm" TargetMode="External"/><Relationship Id="rId58" Type="http://schemas.openxmlformats.org/officeDocument/2006/relationships/hyperlink" Target="http://www.sec.gov/Archives/edgar/data/1370053/000137005318000052/employementagreementloumeau.htm" TargetMode="External"/><Relationship Id="rId59" Type="http://schemas.openxmlformats.org/officeDocument/2006/relationships/hyperlink" Target="http://www.sec.gov/Archives/edgar/data/1370053/000137005318000037/investorrightsagramend.htm" TargetMode="External"/><Relationship Id="rId60" Type="http://schemas.openxmlformats.org/officeDocument/2006/relationships/hyperlink" Target="http://www.sec.gov/Archives/edgar/data/1370053/000137005318000037/sublease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2020-03-02T08:00:29Z</dcterms:created>
  <dcterms:modified xsi:type="dcterms:W3CDTF">2020-03-02T08:00:29Z</dcterms:modified>
</cp:coreProperties>
</file>