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145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145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9"/>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FENTON DENNIS M</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ANAPTYSBIO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ANAB</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640" w:type="dxa"/>
            <w:vAlign w:val="bottom"/>
            <w:vMerge w:val="restart"/>
          </w:tcPr>
          <w:p>
            <w:pPr>
              <w:ind w:left="160"/>
              <w:spacing w:after="0"/>
              <w:rPr>
                <w:sz w:val="20"/>
                <w:szCs w:val="20"/>
                <w:color w:val="auto"/>
              </w:rPr>
            </w:pPr>
            <w:r>
              <w:rPr>
                <w:rFonts w:ascii="Arial" w:cs="Arial" w:eastAsia="Arial" w:hAnsi="Arial"/>
                <w:sz w:val="14"/>
                <w:szCs w:val="14"/>
                <w:color w:val="auto"/>
                <w:w w:val="93"/>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520" w:type="dxa"/>
            <w:vAlign w:val="bottom"/>
            <w:tcBorders>
              <w:top w:val="single" w:sz="8" w:color="0000EE"/>
            </w:tcBorders>
          </w:tcPr>
          <w:p>
            <w:pPr>
              <w:spacing w:after="0"/>
              <w:rPr>
                <w:sz w:val="8"/>
                <w:szCs w:val="8"/>
                <w:color w:val="auto"/>
              </w:rPr>
            </w:pPr>
          </w:p>
        </w:tc>
        <w:tc>
          <w:tcPr>
            <w:tcW w:w="5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300" w:type="dxa"/>
            <w:vAlign w:val="bottom"/>
          </w:tcPr>
          <w:p>
            <w:pPr>
              <w:spacing w:after="0"/>
              <w:rPr>
                <w:sz w:val="7"/>
                <w:szCs w:val="7"/>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60" w:type="dxa"/>
            <w:vAlign w:val="bottom"/>
            <w:gridSpan w:val="8"/>
            <w:vMerge w:val="continue"/>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4"/>
                <w:szCs w:val="14"/>
                <w:color w:val="auto"/>
              </w:rPr>
              <w:t>below)</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ind w:left="260"/>
              <w:spacing w:after="0"/>
              <w:rPr>
                <w:sz w:val="20"/>
                <w:szCs w:val="20"/>
                <w:color w:val="auto"/>
              </w:rPr>
            </w:pPr>
            <w:r>
              <w:rPr>
                <w:rFonts w:ascii="Arial" w:cs="Arial" w:eastAsia="Arial" w:hAnsi="Arial"/>
                <w:sz w:val="14"/>
                <w:szCs w:val="14"/>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C/O ANAPTYSBIO, INC.</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02/08/2019</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6"/>
            <w:vMerge w:val="restart"/>
          </w:tcPr>
          <w:p>
            <w:pPr>
              <w:spacing w:after="0"/>
              <w:rPr>
                <w:sz w:val="20"/>
                <w:szCs w:val="20"/>
                <w:color w:val="auto"/>
              </w:rPr>
            </w:pPr>
            <w:r>
              <w:rPr>
                <w:rFonts w:ascii="Arial" w:cs="Arial" w:eastAsia="Arial" w:hAnsi="Arial"/>
                <w:sz w:val="18"/>
                <w:szCs w:val="18"/>
                <w:color w:val="0000FF"/>
                <w:w w:val="99"/>
              </w:rPr>
              <w:t>10421 PACIFIC CENTER COURT, SUITE 200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6"/>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9"/>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40" w:type="dxa"/>
            <w:vAlign w:val="bottom"/>
            <w:gridSpan w:val="9"/>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SAN DIEGO</w:t>
            </w:r>
          </w:p>
        </w:tc>
        <w:tc>
          <w:tcPr>
            <w:tcW w:w="1240" w:type="dxa"/>
            <w:vAlign w:val="bottom"/>
            <w:gridSpan w:val="3"/>
          </w:tcPr>
          <w:p>
            <w:pPr>
              <w:spacing w:after="0"/>
              <w:rPr>
                <w:sz w:val="20"/>
                <w:szCs w:val="20"/>
                <w:color w:val="auto"/>
              </w:rPr>
            </w:pPr>
            <w:r>
              <w:rPr>
                <w:rFonts w:ascii="Arial" w:cs="Arial" w:eastAsia="Arial" w:hAnsi="Arial"/>
                <w:sz w:val="18"/>
                <w:szCs w:val="18"/>
                <w:color w:val="0000FF"/>
              </w:rPr>
              <w:t>CA</w:t>
            </w:r>
          </w:p>
        </w:tc>
        <w:tc>
          <w:tcPr>
            <w:tcW w:w="1200" w:type="dxa"/>
            <w:vAlign w:val="bottom"/>
          </w:tcPr>
          <w:p>
            <w:pPr>
              <w:ind w:left="20"/>
              <w:spacing w:after="0"/>
              <w:rPr>
                <w:sz w:val="20"/>
                <w:szCs w:val="20"/>
                <w:color w:val="auto"/>
              </w:rPr>
            </w:pPr>
            <w:r>
              <w:rPr>
                <w:rFonts w:ascii="Arial" w:cs="Arial" w:eastAsia="Arial" w:hAnsi="Arial"/>
                <w:sz w:val="18"/>
                <w:szCs w:val="18"/>
                <w:color w:val="0000FF"/>
              </w:rPr>
              <w:t>92121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80" w:type="dxa"/>
            <w:vAlign w:val="bottom"/>
            <w:gridSpan w:val="7"/>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ind w:left="180"/>
              <w:spacing w:after="0" w:line="136" w:lineRule="exact"/>
              <w:rPr>
                <w:sz w:val="20"/>
                <w:szCs w:val="20"/>
                <w:color w:val="auto"/>
              </w:rPr>
            </w:pPr>
            <w:r>
              <w:rPr>
                <w:rFonts w:ascii="Arial" w:cs="Arial" w:eastAsia="Arial" w:hAnsi="Arial"/>
                <w:sz w:val="14"/>
                <w:szCs w:val="14"/>
                <w:color w:val="auto"/>
                <w:w w:val="99"/>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gridSpan w:val="5"/>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7000" w:type="dxa"/>
            <w:vAlign w:val="bottom"/>
            <w:tcBorders>
              <w:top w:val="single" w:sz="8" w:color="2C2C2C"/>
            </w:tcBorders>
            <w:gridSpan w:val="18"/>
          </w:tcPr>
          <w:p>
            <w:pPr>
              <w:ind w:left="30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4"/>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3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00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4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7000" w:type="dxa"/>
            <w:vAlign w:val="bottom"/>
            <w:tcBorders>
              <w:top w:val="single" w:sz="8" w:color="2C2C2C"/>
            </w:tcBorders>
            <w:gridSpan w:val="18"/>
          </w:tcPr>
          <w:p>
            <w:pPr>
              <w:ind w:left="52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0" w:type="dxa"/>
            <w:vAlign w:val="bottom"/>
            <w:gridSpan w:val="16"/>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Director</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6,000</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Option</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68.89</w:t>
            </w:r>
          </w:p>
        </w:tc>
        <w:tc>
          <w:tcPr>
            <w:tcW w:w="160" w:type="dxa"/>
            <w:vAlign w:val="bottom"/>
          </w:tcPr>
          <w:p>
            <w:pPr>
              <w:spacing w:after="0"/>
              <w:rPr>
                <w:sz w:val="5"/>
                <w:szCs w:val="5"/>
                <w:color w:val="auto"/>
              </w:rPr>
            </w:pPr>
          </w:p>
        </w:tc>
        <w:tc>
          <w:tcPr>
            <w:tcW w:w="108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02/08/2019</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9" w:lineRule="exact"/>
              <w:rPr>
                <w:sz w:val="20"/>
                <w:szCs w:val="20"/>
                <w:color w:val="auto"/>
              </w:rPr>
            </w:pPr>
            <w:r>
              <w:rPr>
                <w:rFonts w:ascii="Arial" w:cs="Arial" w:eastAsia="Arial" w:hAnsi="Arial"/>
                <w:sz w:val="14"/>
                <w:szCs w:val="14"/>
                <w:color w:val="0000FF"/>
              </w:rPr>
              <w:t>6,000</w:t>
            </w:r>
          </w:p>
        </w:tc>
        <w:tc>
          <w:tcPr>
            <w:tcW w:w="340" w:type="dxa"/>
            <w:vAlign w:val="bottom"/>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76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w w:val="96"/>
              </w:rPr>
              <w:t>02/07/2029</w:t>
            </w:r>
          </w:p>
        </w:tc>
        <w:tc>
          <w:tcPr>
            <w:tcW w:w="680" w:type="dxa"/>
            <w:vAlign w:val="bottom"/>
            <w:vMerge w:val="continue"/>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vMerge w:val="restart"/>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w w:val="91"/>
              </w:rPr>
              <w:t>6,000</w:t>
            </w:r>
          </w:p>
        </w:tc>
        <w:tc>
          <w:tcPr>
            <w:tcW w:w="30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color w:val="0000FF"/>
              </w:rPr>
              <w:t>Stock</w:t>
            </w:r>
          </w:p>
        </w:tc>
        <w:tc>
          <w:tcPr>
            <w:tcW w:w="5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(Right to</w:t>
            </w: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stock option vests and becomes exercisable in 12 equal monthly installments beginning on March 8, 2019, until such time as the option is 100% vested, subject to the continuing service of the Reporting Person on each vesting date.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/s/Eric Loumeau, attorney-in-</w:t>
            </w:r>
          </w:p>
        </w:tc>
        <w:tc>
          <w:tcPr>
            <w:tcW w:w="100" w:type="dxa"/>
            <w:vAlign w:val="bottom"/>
          </w:tcPr>
          <w:p>
            <w:pPr>
              <w:spacing w:after="0"/>
              <w:rPr>
                <w:sz w:val="18"/>
                <w:szCs w:val="18"/>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02/11/2019</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Exhibit 24.1</w:t>
      </w:r>
    </w:p>
    <w:p>
      <w:pPr>
        <w:spacing w:after="0" w:line="238" w:lineRule="auto"/>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Hamza Suria, Eric Loumeau, and Dominic Piscitelli, and each of them, his true and lawful attorney-in-fact to:</w:t>
      </w:r>
    </w:p>
    <w:p>
      <w:pPr>
        <w:spacing w:after="0" w:line="209" w:lineRule="exact"/>
        <w:rPr>
          <w:sz w:val="20"/>
          <w:szCs w:val="20"/>
          <w:color w:val="auto"/>
        </w:rPr>
      </w:pPr>
    </w:p>
    <w:p>
      <w:pPr>
        <w:ind w:right="1459" w:firstLine="8"/>
        <w:spacing w:after="0" w:line="237"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representative of AnaptysBio, Inc. ("Company"), any and all Form 3, 4 or 5 reports required to be filed by the undersigned in accordance with Section 16(a) of the Securities Exchange Act of 1934, as amended ("Exchange Act"), and the rules thereunder with respect to transactions in securities of the Company;</w:t>
      </w:r>
    </w:p>
    <w:p>
      <w:pPr>
        <w:spacing w:after="0" w:line="6" w:lineRule="exact"/>
        <w:rPr>
          <w:rFonts w:ascii="Courier New" w:cs="Courier New" w:eastAsia="Courier New" w:hAnsi="Courier New"/>
          <w:sz w:val="18"/>
          <w:szCs w:val="18"/>
          <w:color w:val="auto"/>
        </w:rPr>
      </w:pPr>
    </w:p>
    <w:p>
      <w:pPr>
        <w:ind w:right="1579" w:firstLine="8"/>
        <w:spacing w:after="0" w:line="237"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report and timely file such report with the U.S. Securities and Exchange Commission and any stock exchange or similar authority; and</w:t>
      </w:r>
    </w:p>
    <w:p>
      <w:pPr>
        <w:spacing w:after="0" w:line="4" w:lineRule="exact"/>
        <w:rPr>
          <w:rFonts w:ascii="Courier New" w:cs="Courier New" w:eastAsia="Courier New" w:hAnsi="Courier New"/>
          <w:sz w:val="18"/>
          <w:szCs w:val="18"/>
          <w:color w:val="auto"/>
        </w:rPr>
      </w:pPr>
    </w:p>
    <w:p>
      <w:pPr>
        <w:ind w:right="1779" w:firstLine="8"/>
        <w:spacing w:after="0" w:line="237"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 in-fact, may be of benefit to, in the best interest of, or legally required by, the undersigned, it being understood that the documents executed by such attorney in-fact on behalf of the undersigned, pursuant to this Power of Attorney, shall be in such form and shall contain such terms and conditions as such attorney-in-fact may approve in his discretion.</w:t>
      </w:r>
    </w:p>
    <w:p>
      <w:pPr>
        <w:spacing w:after="0" w:line="8" w:lineRule="exact"/>
        <w:rPr>
          <w:rFonts w:ascii="Courier New" w:cs="Courier New" w:eastAsia="Courier New" w:hAnsi="Courier New"/>
          <w:sz w:val="18"/>
          <w:szCs w:val="18"/>
          <w:color w:val="auto"/>
        </w:rPr>
      </w:pPr>
    </w:p>
    <w:p>
      <w:pPr>
        <w:ind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substitute or substitutes, shall lawfully do or cause to be done by virtue of this Power of Attorney and the rights and powers herein granted. The undersigned acknowledges that no such attorney in-fact, in serving in such capacity at the request of the undersigned, is hereby assuming, nor is the Company hereby assuming, any of the undersigned's responsibilities to comply with Section 16 of the Exchange Act.</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attorneys-in-fact.</w:t>
      </w:r>
    </w:p>
    <w:p>
      <w:pPr>
        <w:spacing w:after="0" w:line="6" w:lineRule="exact"/>
        <w:rPr>
          <w:rFonts w:ascii="Courier New" w:cs="Courier New" w:eastAsia="Courier New" w:hAnsi="Courier New"/>
          <w:sz w:val="18"/>
          <w:szCs w:val="18"/>
          <w:color w:val="auto"/>
        </w:rPr>
      </w:pPr>
    </w:p>
    <w:p>
      <w:pPr>
        <w:ind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the 31st day of August, 2018.</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Dennis M. Fenton</w:t>
      </w:r>
    </w:p>
    <w:p>
      <w:pPr>
        <w:spacing w:after="0" w:line="238" w:lineRule="auto"/>
        <w:rPr>
          <w:sz w:val="20"/>
          <w:szCs w:val="20"/>
          <w:color w:val="auto"/>
        </w:rPr>
      </w:pPr>
      <w:r>
        <w:rPr>
          <w:rFonts w:ascii="Courier New" w:cs="Courier New" w:eastAsia="Courier New" w:hAnsi="Courier New"/>
          <w:sz w:val="18"/>
          <w:szCs w:val="18"/>
          <w:color w:val="auto"/>
        </w:rPr>
        <w:t>Dennis M. Fenton</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4627" TargetMode="External"/><Relationship Id="rId13"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2019-12-24T04:20:03Z</dcterms:created>
  <dcterms:modified xsi:type="dcterms:W3CDTF">2019-12-24T04:20:03Z</dcterms:modified>
</cp:coreProperties>
</file>