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2138680</wp:posOffset>
            </wp:positionH>
            <wp:positionV relativeFrom="page">
              <wp:posOffset>157480</wp:posOffset>
            </wp:positionV>
            <wp:extent cx="329311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293110" cy="8318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October 10, 2017</w:t>
      </w:r>
    </w:p>
    <w:p>
      <w:pPr>
        <w:sectPr>
          <w:pgSz w:w="11900" w:h="16838" w:orient="portrait"/>
          <w:cols w:equalWidth="0" w:num="1">
            <w:col w:w="11420"/>
          </w:cols>
          <w:pgMar w:left="240" w:top="1440" w:right="239" w:bottom="1440" w:gutter="0" w:footer="0" w:header="0"/>
        </w:sectPr>
      </w:pP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ATTHEW</w:t>
      </w:r>
      <w:r>
        <w:rPr>
          <w:rFonts w:ascii="Arial" w:cs="Arial" w:eastAsia="Arial" w:hAnsi="Arial"/>
          <w:sz w:val="14"/>
          <w:szCs w:val="14"/>
          <w:color w:val="auto"/>
        </w:rPr>
        <w:t xml:space="preserve"> R</w:t>
      </w:r>
      <w:r>
        <w:rPr>
          <w:rFonts w:ascii="Arial" w:cs="Arial" w:eastAsia="Arial" w:hAnsi="Arial"/>
          <w:sz w:val="11"/>
          <w:szCs w:val="11"/>
          <w:color w:val="auto"/>
        </w:rPr>
        <w:t>OSSITER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MAIL</w:t>
      </w:r>
      <w:r>
        <w:rPr>
          <w:rFonts w:ascii="Arial" w:cs="Arial" w:eastAsia="Arial" w:hAnsi="Arial"/>
          <w:sz w:val="14"/>
          <w:szCs w:val="14"/>
          <w:color w:val="auto"/>
        </w:rPr>
        <w:t xml:space="preserve"> MR</w:t>
      </w:r>
      <w:r>
        <w:rPr>
          <w:rFonts w:ascii="Arial" w:cs="Arial" w:eastAsia="Arial" w:hAnsi="Arial"/>
          <w:sz w:val="11"/>
          <w:szCs w:val="11"/>
          <w:color w:val="auto"/>
        </w:rPr>
        <w:t>OSSITER</w:t>
      </w:r>
      <w:r>
        <w:rPr>
          <w:rFonts w:ascii="Arial" w:cs="Arial" w:eastAsia="Arial" w:hAnsi="Arial"/>
          <w:sz w:val="14"/>
          <w:szCs w:val="14"/>
          <w:color w:val="auto"/>
        </w:rPr>
        <w:t>@</w:t>
      </w:r>
      <w:r>
        <w:rPr>
          <w:rFonts w:ascii="Arial" w:cs="Arial" w:eastAsia="Arial" w:hAnsi="Arial"/>
          <w:sz w:val="11"/>
          <w:szCs w:val="11"/>
          <w:color w:val="auto"/>
        </w:rPr>
        <w:t>FENWICK</w:t>
      </w:r>
      <w:r>
        <w:rPr>
          <w:rFonts w:ascii="Arial" w:cs="Arial" w:eastAsia="Arial" w:hAnsi="Arial"/>
          <w:sz w:val="14"/>
          <w:szCs w:val="14"/>
          <w:color w:val="auto"/>
        </w:rPr>
        <w:t>.</w:t>
      </w:r>
      <w:r>
        <w:rPr>
          <w:rFonts w:ascii="Arial" w:cs="Arial" w:eastAsia="Arial" w:hAnsi="Arial"/>
          <w:sz w:val="11"/>
          <w:szCs w:val="11"/>
          <w:color w:val="auto"/>
        </w:rPr>
        <w:t>COM</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Direct Dial (415) 875-2372</w:t>
      </w:r>
    </w:p>
    <w:p>
      <w:pPr>
        <w:spacing w:after="0" w:line="200" w:lineRule="exact"/>
        <w:rPr>
          <w:sz w:val="24"/>
          <w:szCs w:val="24"/>
          <w:color w:val="auto"/>
        </w:rPr>
      </w:pPr>
    </w:p>
    <w:p>
      <w:pPr>
        <w:sectPr>
          <w:pgSz w:w="11900" w:h="16838" w:orient="portrait"/>
          <w:cols w:equalWidth="0" w:num="2">
            <w:col w:w="8520" w:space="720"/>
            <w:col w:w="2180"/>
          </w:cols>
          <w:pgMar w:left="240" w:top="1440" w:right="239"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 AND OVERNIGHT DELIVERY</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Irene Paik</w:t>
      </w:r>
    </w:p>
    <w:p>
      <w:pPr>
        <w:spacing w:after="0" w:line="248"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AnaptysBio, Inc.</w:t>
      </w:r>
    </w:p>
    <w:p>
      <w:pPr>
        <w:spacing w:after="0" w:line="27"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Submitted September 11, 2017</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CIK No. 0001370053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firstLine="913"/>
        <w:spacing w:after="0" w:line="257" w:lineRule="auto"/>
        <w:rPr>
          <w:sz w:val="20"/>
          <w:szCs w:val="20"/>
          <w:color w:val="auto"/>
        </w:rPr>
      </w:pPr>
      <w:r>
        <w:rPr>
          <w:rFonts w:ascii="Arial" w:cs="Arial" w:eastAsia="Arial" w:hAnsi="Arial"/>
          <w:sz w:val="18"/>
          <w:szCs w:val="18"/>
          <w:color w:val="auto"/>
        </w:rPr>
        <w:t>On behalf of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transmitting this letter in response to comments (the “</w:t>
      </w:r>
      <w:r>
        <w:rPr>
          <w:rFonts w:ascii="Arial" w:cs="Arial" w:eastAsia="Arial" w:hAnsi="Arial"/>
          <w:sz w:val="18"/>
          <w:szCs w:val="18"/>
          <w:b w:val="1"/>
          <w:bCs w:val="1"/>
          <w:i w:val="1"/>
          <w:iCs w:val="1"/>
          <w:color w:val="auto"/>
        </w:rPr>
        <w:t>Comments</w:t>
      </w:r>
      <w:r>
        <w:rPr>
          <w:rFonts w:ascii="Arial" w:cs="Arial" w:eastAsia="Arial" w:hAnsi="Arial"/>
          <w:sz w:val="18"/>
          <w:szCs w:val="18"/>
          <w:color w:val="auto"/>
        </w:rPr>
        <w:t>”) received from the staff of the Securities and Exchange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contained in the Staff’s letter dated September 18, 2017, with respect to the Company’s registration statement on Form S-1 (CIK No. 0001370053) (the “</w:t>
      </w:r>
      <w:r>
        <w:rPr>
          <w:rFonts w:ascii="Arial" w:cs="Arial" w:eastAsia="Arial" w:hAnsi="Arial"/>
          <w:sz w:val="18"/>
          <w:szCs w:val="18"/>
          <w:b w:val="1"/>
          <w:bCs w:val="1"/>
          <w:i w:val="1"/>
          <w:iCs w:val="1"/>
          <w:color w:val="auto"/>
        </w:rPr>
        <w:t>Draft Registration Statement</w:t>
      </w:r>
      <w:r>
        <w:rPr>
          <w:rFonts w:ascii="Arial" w:cs="Arial" w:eastAsia="Arial" w:hAnsi="Arial"/>
          <w:sz w:val="18"/>
          <w:szCs w:val="18"/>
          <w:color w:val="auto"/>
        </w:rPr>
        <w:t>”) that was confidentially submitted on September 11, 2017. In response to the Comments, the Company has provided the response below and the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is being publicly filing via EDGAR concurrently herewith.</w:t>
      </w:r>
    </w:p>
    <w:p>
      <w:pPr>
        <w:spacing w:after="0" w:line="188" w:lineRule="exact"/>
        <w:rPr>
          <w:sz w:val="24"/>
          <w:szCs w:val="24"/>
          <w:color w:val="auto"/>
        </w:rPr>
      </w:pPr>
    </w:p>
    <w:p>
      <w:pPr>
        <w:ind w:right="40" w:firstLine="913"/>
        <w:spacing w:after="0" w:line="277" w:lineRule="auto"/>
        <w:rPr>
          <w:sz w:val="20"/>
          <w:szCs w:val="20"/>
          <w:color w:val="auto"/>
        </w:rPr>
      </w:pPr>
      <w:r>
        <w:rPr>
          <w:rFonts w:ascii="Arial" w:cs="Arial" w:eastAsia="Arial" w:hAnsi="Arial"/>
          <w:sz w:val="18"/>
          <w:szCs w:val="18"/>
          <w:color w:val="auto"/>
        </w:rPr>
        <w:t>The numbered paragraphs below correspond to the numbered comments in that letter and the Staff’s comment is presented in bold italics. For the convenience of the Staff, we are also sending, by overnight courier, a copy of this letter.</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Prospectus Cover Page</w:t>
      </w:r>
    </w:p>
    <w:p>
      <w:pPr>
        <w:spacing w:after="0" w:line="131" w:lineRule="exact"/>
        <w:rPr>
          <w:sz w:val="24"/>
          <w:szCs w:val="24"/>
          <w:color w:val="auto"/>
        </w:rPr>
      </w:pPr>
    </w:p>
    <w:p>
      <w:pPr>
        <w:ind w:left="900" w:right="160" w:hanging="446"/>
        <w:spacing w:after="0" w:line="286" w:lineRule="auto"/>
        <w:tabs>
          <w:tab w:leader="none" w:pos="90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tell us whether you will use the recent stock price listed on the prospectus cover page to determine the offering price of the common stock. If you will not use the recent stock price to set the offering price, please include disclosure on the cover page indicating the method by which your offering price will be determined. See Item 501(b)(3) of Regulation S-K</w:t>
      </w:r>
      <w:r>
        <w:rPr>
          <w:rFonts w:ascii="Arial" w:cs="Arial" w:eastAsia="Arial" w:hAnsi="Arial"/>
          <w:sz w:val="17"/>
          <w:szCs w:val="17"/>
          <w:color w:val="auto"/>
        </w:rPr>
        <w:t>.</w:t>
      </w:r>
    </w:p>
    <w:p>
      <w:pPr>
        <w:spacing w:after="0" w:line="270" w:lineRule="exact"/>
        <w:rPr>
          <w:sz w:val="24"/>
          <w:szCs w:val="24"/>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Response to Comment 1</w:t>
      </w:r>
    </w:p>
    <w:p>
      <w:pPr>
        <w:spacing w:after="0" w:line="121" w:lineRule="exact"/>
        <w:rPr>
          <w:sz w:val="24"/>
          <w:szCs w:val="24"/>
          <w:color w:val="auto"/>
        </w:rPr>
      </w:pPr>
    </w:p>
    <w:p>
      <w:pPr>
        <w:ind w:right="240" w:firstLine="913"/>
        <w:spacing w:after="0" w:line="277" w:lineRule="auto"/>
        <w:rPr>
          <w:sz w:val="20"/>
          <w:szCs w:val="20"/>
          <w:color w:val="auto"/>
        </w:rPr>
      </w:pPr>
      <w:r>
        <w:rPr>
          <w:rFonts w:ascii="Arial" w:cs="Arial" w:eastAsia="Arial" w:hAnsi="Arial"/>
          <w:sz w:val="18"/>
          <w:szCs w:val="18"/>
          <w:color w:val="auto"/>
        </w:rPr>
        <w:t>The Company respectfully acknowledges the Staff’s comment and hereby informs the Staff that it has revised the prospectus cover page of the Registration Statement to add the following</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sentence: “The final public offering price will be determined through negotiation between us and the lead underwriters in the offering and the recent market price used throughout this prospectus may not be indicative of the final offering price.”</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Should the Staff have additional questions or comments regarding the foregoing, please do not hesitate to contact me at (415) 875-2372 or, in my absence, Julia Forbess at (415) 875-2420.</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Rossiter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Rossiter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53" w:lineRule="exact"/>
        <w:rPr>
          <w:sz w:val="20"/>
          <w:szCs w:val="20"/>
          <w:color w:val="auto"/>
        </w:rPr>
      </w:pPr>
    </w:p>
    <w:p>
      <w:pPr>
        <w:ind w:left="460" w:right="9620" w:hanging="452"/>
        <w:spacing w:after="0" w:line="271"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 xml:space="preserve">Via E-mail </w:t>
      </w:r>
      <w:r>
        <w:rPr>
          <w:rFonts w:ascii="Arial" w:cs="Arial" w:eastAsia="Arial" w:hAnsi="Arial"/>
          <w:sz w:val="17"/>
          <w:szCs w:val="17"/>
          <w:color w:val="auto"/>
        </w:rPr>
        <w:t>Hamza Suria Dominic Piscitelli</w:t>
      </w: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AnaptysBio, Inc.</w:t>
      </w:r>
    </w:p>
    <w:p>
      <w:pPr>
        <w:spacing w:after="0" w:line="237" w:lineRule="exact"/>
        <w:rPr>
          <w:rFonts w:ascii="Arial" w:cs="Arial" w:eastAsia="Arial" w:hAnsi="Arial"/>
          <w:sz w:val="17"/>
          <w:szCs w:val="17"/>
          <w:color w:val="auto"/>
        </w:rPr>
      </w:pPr>
    </w:p>
    <w:p>
      <w:pPr>
        <w:ind w:left="460" w:right="9260"/>
        <w:spacing w:after="0" w:line="310" w:lineRule="auto"/>
        <w:rPr>
          <w:rFonts w:ascii="Arial" w:cs="Arial" w:eastAsia="Arial" w:hAnsi="Arial"/>
          <w:sz w:val="17"/>
          <w:szCs w:val="17"/>
          <w:color w:val="auto"/>
        </w:rPr>
      </w:pPr>
      <w:r>
        <w:rPr>
          <w:rFonts w:ascii="Arial" w:cs="Arial" w:eastAsia="Arial" w:hAnsi="Arial"/>
          <w:sz w:val="15"/>
          <w:szCs w:val="15"/>
          <w:color w:val="auto"/>
        </w:rPr>
        <w:t>Robert Freedman, Esq. Julia Forbess, Esq.</w:t>
      </w: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Fenwick &amp; West LLP</w:t>
      </w:r>
    </w:p>
    <w:p>
      <w:pPr>
        <w:spacing w:after="0" w:line="210" w:lineRule="exact"/>
        <w:rPr>
          <w:rFonts w:ascii="Arial" w:cs="Arial" w:eastAsia="Arial" w:hAnsi="Arial"/>
          <w:sz w:val="17"/>
          <w:szCs w:val="17"/>
          <w:color w:val="auto"/>
        </w:rPr>
      </w:pPr>
    </w:p>
    <w:p>
      <w:pPr>
        <w:ind w:left="460" w:right="9260"/>
        <w:spacing w:after="0" w:line="286" w:lineRule="auto"/>
        <w:rPr>
          <w:rFonts w:ascii="Arial" w:cs="Arial" w:eastAsia="Arial" w:hAnsi="Arial"/>
          <w:sz w:val="17"/>
          <w:szCs w:val="17"/>
          <w:color w:val="auto"/>
        </w:rPr>
      </w:pPr>
      <w:r>
        <w:rPr>
          <w:rFonts w:ascii="Arial" w:cs="Arial" w:eastAsia="Arial" w:hAnsi="Arial"/>
          <w:sz w:val="16"/>
          <w:szCs w:val="16"/>
          <w:color w:val="auto"/>
        </w:rPr>
        <w:t>Charles S. Kim, Esq. Sean M. Clayton, Esq. Jonie Kondracki, Esq. Adrienne Directo, Esq.</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Cooley LLP</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2019-12-07T03:45:55Z</dcterms:created>
  <dcterms:modified xsi:type="dcterms:W3CDTF">2019-12-07T03:45:55Z</dcterms:modified>
</cp:coreProperties>
</file>