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February 28, 2018</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500"/>
        <w:spacing w:after="0" w:line="316" w:lineRule="auto"/>
        <w:rPr>
          <w:sz w:val="20"/>
          <w:szCs w:val="20"/>
          <w:color w:val="auto"/>
        </w:rPr>
      </w:pPr>
      <w:r>
        <w:rPr>
          <w:rFonts w:ascii="Arial" w:cs="Arial" w:eastAsia="Arial" w:hAnsi="Arial"/>
          <w:sz w:val="19"/>
          <w:szCs w:val="19"/>
          <w:color w:val="auto"/>
        </w:rPr>
        <w:t>On March 5, 2018, AnaptysBio, Inc. (“</w:t>
      </w:r>
      <w:r>
        <w:rPr>
          <w:rFonts w:ascii="Arial" w:cs="Arial" w:eastAsia="Arial" w:hAnsi="Arial"/>
          <w:sz w:val="19"/>
          <w:szCs w:val="19"/>
          <w:b w:val="1"/>
          <w:bCs w:val="1"/>
          <w:i w:val="1"/>
          <w:iCs w:val="1"/>
          <w:color w:val="auto"/>
        </w:rPr>
        <w:t>AnaptysBio</w:t>
      </w:r>
      <w:r>
        <w:rPr>
          <w:rFonts w:ascii="Arial" w:cs="Arial" w:eastAsia="Arial" w:hAnsi="Arial"/>
          <w:sz w:val="19"/>
          <w:szCs w:val="19"/>
          <w:color w:val="auto"/>
        </w:rPr>
        <w:t>”) issued a press release announcing its financial results for the quarter and year ended December 31, 2017. A copy of the press release is attached as Exhibit 99.01 to this Current Report on Form 8-K.</w:t>
      </w:r>
    </w:p>
    <w:p>
      <w:pPr>
        <w:spacing w:after="0" w:line="100"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2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99"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(b)</w:t>
      </w:r>
    </w:p>
    <w:p>
      <w:pPr>
        <w:spacing w:after="0" w:line="16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On February 28, 2018, Carol G. Gallagher, Pharm. D. advised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AnaptysBio, Inc.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that she would resign as a Class I independent director of AnaptysBio and as a member of the audit and compensation committees of the Board, effective at 5:00 p.m. pacific time on March 5, 2018 (the “</w:t>
      </w:r>
      <w:r>
        <w:rPr>
          <w:rFonts w:ascii="Arial" w:cs="Arial" w:eastAsia="Arial" w:hAnsi="Arial"/>
          <w:sz w:val="18"/>
          <w:szCs w:val="18"/>
          <w:b w:val="1"/>
          <w:bCs w:val="1"/>
          <w:i w:val="1"/>
          <w:iCs w:val="1"/>
          <w:color w:val="auto"/>
        </w:rPr>
        <w:t>Resignation Time</w:t>
      </w:r>
      <w:r>
        <w:rPr>
          <w:rFonts w:ascii="Arial" w:cs="Arial" w:eastAsia="Arial" w:hAnsi="Arial"/>
          <w:sz w:val="18"/>
          <w:szCs w:val="18"/>
          <w:color w:val="auto"/>
        </w:rPr>
        <w:t>”). Ms. Gallagher’s resignation is not the result of any disagreement with AnaptysBio on any matter relating to its operations, policies or practices. Following Ms. Gallagher’s resignation, J. Anthony Ware, M.D. was appointed to the audit committee and Dennis Fenton, Ph.D., was appointed to the compensation committee.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(d)</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Effective on March 5, 2018 immediately after the Resignation Time, the Board elected Dennis Fenton, Ph.D., to fill the vacancy on the Board created by Ms. Gallagher’s resignation as a Class I director. Dr. Fenton shall hold office for a term expiring at the 2018 Annual Meeting of AnaptysBio’s stockholders, which is the next stockholder meeting at which Class I directors will be elected. There is no arrangement or understanding between Dr. Fenton and any other persons pursuant to which Dr. Fenton was selected as a director. Dr. Fenton is not a party to and does not have any direct or indirect material interest in any transaction with AnaptysBio required to be disclosed under Item 404(a) of Regulation S-K. The Board determined that Dr. Fenton qualifies as an independent director pursuant to the Securities Act of 1933 and the listing standards of the Nasdaq Stock Market, in each case as currently in effect. Dr. Fenton also will enter into AnaptysBio’s standard form of indemnity agreement for its directors and executive officers, which was filed as Exhibit 10.01 to AnaptysBio’s Registration Statement on Form S-1, as filed with the Securities and Exchange Commission on September 9, 2015. The indemnification agreement will be effective as of the date of his appointment to the Board.</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Dr. Fenton will be compensated in accordance with the standard non-employee director compensation policy, including an annual cash retainer, an initial option grant, and an annual option refresh grant. Dr. Fenton will also receive a pro-rated annual grant for the portion of 2018 that he will serve as a director.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43" w:lineRule="exact"/>
        <w:rPr>
          <w:sz w:val="20"/>
          <w:szCs w:val="20"/>
          <w:color w:val="auto"/>
        </w:rPr>
      </w:pPr>
    </w:p>
    <w:p>
      <w:pPr>
        <w:ind w:left="40"/>
        <w:spacing w:after="0"/>
        <w:tabs>
          <w:tab w:leader="none" w:pos="1400" w:val="left"/>
        </w:tabs>
        <w:rPr>
          <w:rFonts w:ascii="Arial" w:cs="Arial" w:eastAsia="Arial" w:hAnsi="Arial"/>
          <w:sz w:val="16"/>
          <w:szCs w:val="16"/>
          <w:u w:val="single" w:color="auto"/>
          <w:color w:val="0000FF"/>
        </w:rPr>
      </w:pPr>
      <w:r>
        <w:rPr>
          <w:rFonts w:ascii="Arial" w:cs="Arial" w:eastAsia="Arial" w:hAnsi="Arial"/>
          <w:sz w:val="20"/>
          <w:szCs w:val="20"/>
          <w:color w:val="auto"/>
        </w:rPr>
        <w:t>99.01</w:t>
      </w:r>
      <w:r>
        <w:rPr>
          <w:sz w:val="20"/>
          <w:szCs w:val="20"/>
          <w:color w:val="auto"/>
        </w:rPr>
        <w:tab/>
      </w:r>
      <w:hyperlink w:anchor="page4">
        <w:r>
          <w:rPr>
            <w:rFonts w:ascii="Arial" w:cs="Arial" w:eastAsia="Arial" w:hAnsi="Arial"/>
            <w:sz w:val="16"/>
            <w:szCs w:val="16"/>
            <w:u w:val="single" w:color="auto"/>
            <w:color w:val="0000FF"/>
          </w:rPr>
          <w:t>Press release issued by AnaptysBio regarding its financial results for the year ended December 31, 2017, dated March 5, 2018</w:t>
        </w:r>
      </w:hyperlink>
    </w:p>
    <w:p>
      <w:pPr>
        <w:sectPr>
          <w:pgSz w:w="11900" w:h="16838" w:orient="portrait"/>
          <w:cols w:equalWidth="0" w:num="1">
            <w:col w:w="11400"/>
          </w:cols>
          <w:pgMar w:left="240" w:top="441" w:right="2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420" w:val="left"/>
          <w:tab w:leader="none" w:pos="2900" w:val="left"/>
        </w:tabs>
        <w:rPr>
          <w:sz w:val="20"/>
          <w:szCs w:val="20"/>
          <w:color w:val="auto"/>
        </w:rPr>
      </w:pPr>
      <w:r>
        <w:rPr>
          <w:rFonts w:ascii="Arial" w:cs="Arial" w:eastAsia="Arial" w:hAnsi="Arial"/>
          <w:sz w:val="20"/>
          <w:szCs w:val="20"/>
          <w:color w:val="auto"/>
        </w:rPr>
        <w:t>Date: March 5,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p>
      <w:pPr>
        <w:jc w:val="center"/>
        <w:ind w:left="260" w:right="560"/>
        <w:spacing w:after="0" w:line="282" w:lineRule="auto"/>
        <w:rPr>
          <w:sz w:val="20"/>
          <w:szCs w:val="20"/>
          <w:color w:val="auto"/>
        </w:rPr>
      </w:pPr>
      <w:r>
        <w:rPr>
          <w:rFonts w:ascii="Arial" w:cs="Arial" w:eastAsia="Arial" w:hAnsi="Arial"/>
          <w:sz w:val="25"/>
          <w:szCs w:val="25"/>
          <w:b w:val="1"/>
          <w:bCs w:val="1"/>
          <w:color w:val="auto"/>
        </w:rPr>
        <w:t>AnaptysBio Announces Fourth Quarter and Full Year 2017 Financial Results and 2018 Pipeline Milestones</w:t>
      </w:r>
    </w:p>
    <w:p>
      <w:pPr>
        <w:spacing w:after="0" w:line="200" w:lineRule="exact"/>
        <w:rPr>
          <w:sz w:val="20"/>
          <w:szCs w:val="20"/>
          <w:color w:val="auto"/>
        </w:rPr>
      </w:pPr>
    </w:p>
    <w:p>
      <w:pPr>
        <w:spacing w:after="0" w:line="247" w:lineRule="exact"/>
        <w:rPr>
          <w:sz w:val="20"/>
          <w:szCs w:val="20"/>
          <w:color w:val="auto"/>
        </w:rPr>
      </w:pPr>
    </w:p>
    <w:p>
      <w:pPr>
        <w:jc w:val="center"/>
        <w:ind w:left="260" w:right="60"/>
        <w:spacing w:after="0" w:line="263" w:lineRule="auto"/>
        <w:rPr>
          <w:sz w:val="20"/>
          <w:szCs w:val="20"/>
          <w:color w:val="auto"/>
        </w:rPr>
      </w:pPr>
      <w:r>
        <w:rPr>
          <w:rFonts w:ascii="Arial" w:cs="Arial" w:eastAsia="Arial" w:hAnsi="Arial"/>
          <w:sz w:val="22"/>
          <w:szCs w:val="22"/>
          <w:i w:val="1"/>
          <w:iCs w:val="1"/>
          <w:color w:val="auto"/>
        </w:rPr>
        <w:t>ANB020 Top-Line Phase 2a Readouts Anticipated For Peanut Allergy in March 2018 and Eosinophilic Asthma in Second Quarter 2018</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ANB019 GPP and PPP Phase 2 Studies to be Initiated During 2018</w:t>
      </w:r>
    </w:p>
    <w:p>
      <w:pPr>
        <w:spacing w:after="0" w:line="200" w:lineRule="exact"/>
        <w:rPr>
          <w:sz w:val="20"/>
          <w:szCs w:val="20"/>
          <w:color w:val="auto"/>
        </w:rPr>
      </w:pPr>
    </w:p>
    <w:p>
      <w:pPr>
        <w:spacing w:after="0" w:line="221" w:lineRule="exact"/>
        <w:rPr>
          <w:sz w:val="20"/>
          <w:szCs w:val="20"/>
          <w:color w:val="auto"/>
        </w:rPr>
      </w:pPr>
    </w:p>
    <w:p>
      <w:pPr>
        <w:ind w:right="60"/>
        <w:spacing w:after="0" w:line="281"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March 5, 2018 </w:t>
      </w:r>
      <w:r>
        <w:rPr>
          <w:rFonts w:ascii="Arial" w:cs="Arial" w:eastAsia="Arial" w:hAnsi="Arial"/>
          <w:sz w:val="20"/>
          <w:szCs w:val="20"/>
          <w:color w:val="auto"/>
        </w:rPr>
        <w:t>-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reported operating results for the fourth quarter and year ended December 31, 2017 and anticipated 2018 pipeline milestones.</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“AnaptysBio made significant progress on multiple program and corporate milestones during 2017,” said Hamza Suria, president and chief executive officer of AnaptysBio. “We are poised to continue advancing our ANB020 and ANB019 programs with additional clinical data readouts in serious inflammatory conditions during 2018. We are on-track to report top-line data on ANB020 as a treatment for both severe adult peanut allergy in March 2018 and severe adult eosinophilic asthma during the second quarter of 2018. We plan to initiate a Phase 2b study of ANB020 in moderate-to-severe adult atopic dermatitis during the first half of 2018, as well as Phase 2 studies of ANB019 in generalized pustular psoriasis, or GPP and palmo-plantar pustular psoriasis, or PPP, during 2018. These milestones are significant for the company, and important steps forward in bringing our novel treatments to patients with severe inflammatory diseases.”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ANB020 (Anti-IL-33 Program)</w:t>
      </w:r>
    </w:p>
    <w:p>
      <w:pPr>
        <w:spacing w:after="0" w:line="108" w:lineRule="exact"/>
        <w:rPr>
          <w:sz w:val="20"/>
          <w:szCs w:val="20"/>
          <w:color w:val="auto"/>
        </w:rPr>
      </w:pPr>
    </w:p>
    <w:p>
      <w:pPr>
        <w:ind w:left="660" w:hanging="328"/>
        <w:spacing w:after="0" w:line="25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In October 2017, the Company reported positive proof-of-concept data for ANB020, its potentially first-in-class anti-IL-33 therapeutic antibody, from a Phase 2a clinical trial in adult patients with moderate-to-severe atopic dermatitis. In February 2018, AnaptysBio reported positive updated data upon completion of this clinical trial during an oral presentation at the American Academy of Dermatology Annual Meeting. The Company plans to initiate a Phase 2b randomized, double-blinded, placebo-controlled study in 200-300 adult patients with moderate-to-severe atopic dermatitis to evaluate different dose levels and dosing frequencies of subcutaneous administration of ANB020 in the first half of 2018, with data expected in 2019.</w:t>
      </w:r>
    </w:p>
    <w:p>
      <w:pPr>
        <w:spacing w:after="0" w:line="7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Completed enrollment in the company’s ongoing Phase 2a double-blinded, placebo-controlled trial assessing the tolerance of oral food challenge before and after administration of a single dose of ANB020 or placebo in a total of 20 adult patients with severe peanut allergy. Top-line data are expected in March 2018.</w:t>
      </w:r>
    </w:p>
    <w:p>
      <w:pPr>
        <w:spacing w:after="0" w:line="78" w:lineRule="exact"/>
        <w:rPr>
          <w:rFonts w:ascii="Arial" w:cs="Arial" w:eastAsia="Arial" w:hAnsi="Arial"/>
          <w:sz w:val="18"/>
          <w:szCs w:val="18"/>
          <w:color w:val="auto"/>
        </w:rPr>
      </w:pPr>
    </w:p>
    <w:p>
      <w:pPr>
        <w:ind w:left="660" w:right="860" w:hanging="328"/>
        <w:spacing w:after="0" w:line="29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Currently enrolling the company’s ongoing double-blinded, placebo-controlled Phase 2a trial in 24 adult patients with severe eosinophilic asthma, where efficacy will be assessed using improvement in Forced Expiratory Volume in One Second after administration of a single dose of ANB020 or placebo. Top-line data are expected in the second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right="60" w:hanging="328"/>
        <w:spacing w:after="0" w:line="27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November 2017, AnaptysBio announced positive top-line results from an interim analysis of an ongoing single and multiple ascending dose healthy volunteer Phase 1 trial of ANB019, its potentially first-in-class anti-interleukin-36 receptor, or IL-36R therapeutic antibody. Top-line data showed favorable safety, pharmacokinetics and pharmacodynamic properties that support advancement of ANB019 into Phase 2 studies for GPP and PPP which the Company plans to initiate during 2018. The Company submitted a Clinical Trial Authorization, or CTA, filing with the U.K. Medicines and Healthcare Products Regulatory Agency, or MHRA, supporting the initiation of a 10-patient open-label multi-dose Phase 2 study of ANB019 in GPP patients and anticipates filing additional regulatory applications to support the initiation of a randomized placebo-controlled multi-dose study of ANB019 in PPP.</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u w:val="single" w:color="auto"/>
          <w:color w:val="auto"/>
        </w:rPr>
        <w:t>Corporate Highlights</w:t>
      </w:r>
    </w:p>
    <w:p>
      <w:pPr>
        <w:spacing w:after="0" w:line="117" w:lineRule="exact"/>
        <w:rPr>
          <w:sz w:val="20"/>
          <w:szCs w:val="20"/>
          <w:color w:val="auto"/>
        </w:rPr>
      </w:pPr>
    </w:p>
    <w:p>
      <w:pPr>
        <w:ind w:left="660" w:hanging="328"/>
        <w:spacing w:after="0" w:line="30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Completed Public Offering and Follow-on Offering - </w:t>
      </w:r>
      <w:r>
        <w:rPr>
          <w:rFonts w:ascii="Arial" w:cs="Arial" w:eastAsia="Arial" w:hAnsi="Arial"/>
          <w:sz w:val="19"/>
          <w:szCs w:val="19"/>
          <w:color w:val="auto"/>
        </w:rPr>
        <w:t>I</w:t>
      </w:r>
      <w:r>
        <w:rPr>
          <w:rFonts w:ascii="Arial" w:cs="Arial" w:eastAsia="Arial" w:hAnsi="Arial"/>
          <w:sz w:val="18"/>
          <w:szCs w:val="18"/>
          <w:color w:val="auto"/>
        </w:rPr>
        <w:t>n January 2017, the Company completed an initial public offering of 5,750,000 shares of its common stock at a public offering price of $15.00 per share, which includes the exercise in full by the underwriters of their option to purchase an additional 750,000 shares of common stock. AnaptysBio received net proceeds from the offering of $80.2 million, after deducting underwriting discounts and commissions. In October 2017, the Company completed an underwritten follow-on public offering selling a total of 3,271,380 shares of common stock at a price to the public of $68.50 per share, which includes the exercise by the underwriters of their option to purchase an additional 271,380 shares of common stock in November 2017. AnaptysBio, received net proceeds from the offering of $212.3 million, after deducting underwriting discounts and commissions.</w:t>
      </w:r>
    </w:p>
    <w:p>
      <w:pPr>
        <w:spacing w:after="0" w:line="4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Strengthened Board Leadership - In August 2017, the company appointed J. Anthony Ware, M.D. to its board of directors. Dr. Ware served as the senior vice president of product development of Lilly Bio-Medicines at Eli Lilly and Company, where he was responsible for the clinical development and regulatory approval of new medicines in multiple therapeutic areas. In March 2018, the company appointed Dr. Dennis Fenton to its board of directors. From 1982 until his retirement in 2008, Dr. Fenton worked at Amgen, where he held positions of increasing responsibility, including Vice President of Research, Senior Vice President of Sales and Marketing, Senior Vice President of Operations and Executive Vice President.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Fourth Quarter and Year-End 2017 Financial Results</w:t>
      </w:r>
    </w:p>
    <w:p>
      <w:pPr>
        <w:spacing w:after="0" w:line="108" w:lineRule="exact"/>
        <w:rPr>
          <w:sz w:val="20"/>
          <w:szCs w:val="20"/>
          <w:color w:val="auto"/>
        </w:rPr>
      </w:pPr>
    </w:p>
    <w:p>
      <w:pPr>
        <w:ind w:left="660" w:right="4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cash equivalents and investments totaled $324.3 million as of December 31, 2017, which includes net proceeds of $292.5 million from the Company’s underwritten public offerings, compared to $51.2 million as of December 31, 2016.</w:t>
      </w:r>
    </w:p>
    <w:p>
      <w:pPr>
        <w:spacing w:after="0" w:line="68" w:lineRule="exact"/>
        <w:rPr>
          <w:rFonts w:ascii="Arial" w:cs="Arial" w:eastAsia="Arial" w:hAnsi="Arial"/>
          <w:sz w:val="20"/>
          <w:szCs w:val="20"/>
          <w:color w:val="auto"/>
        </w:rPr>
      </w:pPr>
    </w:p>
    <w:p>
      <w:pPr>
        <w:ind w:left="660" w:right="360" w:hanging="328"/>
        <w:spacing w:after="0" w:line="263"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Revenue was $3.0 million and $10.0 million for the quarter and year ended December 31, 2017, which related to milestones earned from the Company’s partnership with TESARO, compared to $2.8 million and $16.7 million for the quarter and year ended December 31, 2016 which related to the amortization of the upfront payment from TESARO, research and development services reimbursed by TESARO and milestone-related revenues from TESARO and Celgene.</w:t>
      </w:r>
    </w:p>
    <w:p>
      <w:pPr>
        <w:spacing w:after="0" w:line="68" w:lineRule="exact"/>
        <w:rPr>
          <w:rFonts w:ascii="Arial" w:cs="Arial" w:eastAsia="Arial" w:hAnsi="Arial"/>
          <w:sz w:val="19"/>
          <w:szCs w:val="19"/>
          <w:color w:val="auto"/>
        </w:rPr>
      </w:pPr>
    </w:p>
    <w:p>
      <w:pPr>
        <w:ind w:left="660" w:right="400" w:hanging="328"/>
        <w:spacing w:after="0" w:line="246"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Research and development expenses were $7.6 million </w:t>
      </w:r>
      <w:r>
        <w:rPr>
          <w:rFonts w:ascii="Arial" w:cs="Arial" w:eastAsia="Arial" w:hAnsi="Arial"/>
          <w:sz w:val="18"/>
          <w:szCs w:val="18"/>
          <w:color w:val="auto"/>
        </w:rPr>
        <w:t>and</w:t>
      </w:r>
      <w:r>
        <w:rPr>
          <w:rFonts w:ascii="Arial" w:cs="Arial" w:eastAsia="Arial" w:hAnsi="Arial"/>
          <w:sz w:val="20"/>
          <w:szCs w:val="20"/>
          <w:color w:val="auto"/>
        </w:rPr>
        <w:t xml:space="preserve"> $29.4 million for the quarter and year ended December 31, 2017, as compared to $5.0 million and $15.4 million for the quarter and year ended December 31, 2016. The increase was primarily due to continued advancement of the Company’s ANB020 and ANB019 clinical programs offset by the recognition of lower research and development tax incentives in the year ended December 31, 2017.</w:t>
      </w:r>
    </w:p>
    <w:p>
      <w:pPr>
        <w:spacing w:after="0" w:line="83" w:lineRule="exact"/>
        <w:rPr>
          <w:rFonts w:ascii="Arial" w:cs="Arial" w:eastAsia="Arial" w:hAnsi="Arial"/>
          <w:sz w:val="20"/>
          <w:szCs w:val="20"/>
          <w:color w:val="auto"/>
        </w:rPr>
      </w:pPr>
    </w:p>
    <w:p>
      <w:pPr>
        <w:jc w:val="both"/>
        <w:ind w:left="660" w:right="780" w:hanging="328"/>
        <w:spacing w:after="0" w:line="34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 xml:space="preserve">General and administrative expenses were $2.5 million </w:t>
      </w:r>
      <w:r>
        <w:rPr>
          <w:rFonts w:ascii="Arial" w:cs="Arial" w:eastAsia="Arial" w:hAnsi="Arial"/>
          <w:sz w:val="15"/>
          <w:szCs w:val="15"/>
          <w:color w:val="auto"/>
        </w:rPr>
        <w:t>and</w:t>
      </w:r>
      <w:r>
        <w:rPr>
          <w:rFonts w:ascii="Arial" w:cs="Arial" w:eastAsia="Arial" w:hAnsi="Arial"/>
          <w:sz w:val="16"/>
          <w:szCs w:val="16"/>
          <w:color w:val="auto"/>
        </w:rPr>
        <w:t xml:space="preserve"> $9.3 million for the quarter and year ended December 31, 2017, as compared to $0.9 million </w:t>
      </w:r>
      <w:r>
        <w:rPr>
          <w:rFonts w:ascii="Arial" w:cs="Arial" w:eastAsia="Arial" w:hAnsi="Arial"/>
          <w:sz w:val="15"/>
          <w:szCs w:val="15"/>
          <w:color w:val="auto"/>
        </w:rPr>
        <w:t>and</w:t>
      </w:r>
      <w:r>
        <w:rPr>
          <w:rFonts w:ascii="Arial" w:cs="Arial" w:eastAsia="Arial" w:hAnsi="Arial"/>
          <w:sz w:val="16"/>
          <w:szCs w:val="16"/>
          <w:color w:val="auto"/>
        </w:rPr>
        <w:t xml:space="preserve"> $4.3 million for the quarter and year ended December 31, 2016. The increase was attributable to additional personnel-related expenses and an increase in public company related expenses to support the company's growth.</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2018 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AnaptysBio expects that its cash, cash equivalents and investments will fund its current operating plan through the end of 2019.</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w:t>
      </w:r>
    </w:p>
    <w:p>
      <w:pPr>
        <w:sectPr>
          <w:pgSz w:w="11900" w:h="16838" w:orient="portrait"/>
          <w:cols w:equalWidth="0" w:num="1">
            <w:col w:w="11420"/>
          </w:cols>
          <w:pgMar w:left="240" w:top="690" w:right="239" w:bottom="1440" w:gutter="0" w:footer="0" w:header="0"/>
        </w:sectPr>
      </w:pPr>
    </w:p>
    <w:bookmarkStart w:id="5" w:name="page6"/>
    <w:bookmarkEnd w:id="5"/>
    <w:p>
      <w:pPr>
        <w:ind w:right="60"/>
        <w:spacing w:after="0" w:line="269" w:lineRule="auto"/>
        <w:rPr>
          <w:sz w:val="20"/>
          <w:szCs w:val="20"/>
          <w:color w:val="auto"/>
        </w:rPr>
      </w:pPr>
      <w:r>
        <w:rPr>
          <w:rFonts w:ascii="Arial" w:cs="Arial" w:eastAsia="Arial" w:hAnsi="Arial"/>
          <w:sz w:val="18"/>
          <w:szCs w:val="18"/>
          <w:color w:val="auto"/>
        </w:rPr>
        <w:t>checkpoint receptors are insufficiently activated, which have demonstrated efficacy in an animal model of graft-versus-host disease. AnaptysBio’s antibody pipeline has been developed using its proprietary somatic hypermutation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w:t>
      </w:r>
    </w:p>
    <w:p>
      <w:pPr>
        <w:spacing w:after="0" w:line="4" w:lineRule="exact"/>
        <w:rPr>
          <w:sz w:val="20"/>
          <w:szCs w:val="20"/>
          <w:color w:val="auto"/>
        </w:rPr>
      </w:pPr>
    </w:p>
    <w:p>
      <w:pPr>
        <w:ind w:right="460" w:firstLine="8"/>
        <w:spacing w:after="0" w:line="244" w:lineRule="auto"/>
        <w:tabs>
          <w:tab w:leader="none" w:pos="412" w:val="left"/>
        </w:tabs>
        <w:numPr>
          <w:ilvl w:val="0"/>
          <w:numId w:val="6"/>
        </w:numPr>
        <w:rPr>
          <w:rFonts w:ascii="Arial" w:cs="Arial" w:eastAsia="Arial" w:hAnsi="Arial"/>
          <w:sz w:val="20"/>
          <w:szCs w:val="20"/>
          <w:color w:val="auto"/>
        </w:rPr>
      </w:pPr>
      <w:r>
        <w:rPr>
          <w:rFonts w:ascii="Arial" w:cs="Arial" w:eastAsia="Arial" w:hAnsi="Arial"/>
          <w:sz w:val="20"/>
          <w:szCs w:val="20"/>
          <w:color w:val="auto"/>
        </w:rPr>
        <w:t>and an anti-LAG-3 antagonist antibody (TSR-033), which are currently under clinical development with TESARO, and an anti-PD-1 checkpoint agonist antibody (CC-90006) currently in the clinic with Celgene.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ANB020’s Phase 2a trials in severe adult peanut allergy patients and severe adult eosinophilic asthma patients, and Phase 2b clinical trial in moderate-to-severe adult atopic dermatitis patients; our ability to launch a Phase 2b clinical trial of ANB020 in moderate-to-severe adult atopic dermatitis patients and Phase 2 clinical trials of ANB019 in GPP and PPP; and the success of our partnership with TESARO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Chelcie Lister</w:t>
      </w: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910.777.3049</w:t>
      </w:r>
    </w:p>
    <w:p>
      <w:pPr>
        <w:spacing w:after="0"/>
        <w:rPr>
          <w:sz w:val="20"/>
          <w:szCs w:val="20"/>
          <w:color w:val="auto"/>
        </w:rPr>
      </w:pPr>
      <w:r>
        <w:rPr>
          <w:rFonts w:ascii="Arial" w:cs="Arial" w:eastAsia="Arial" w:hAnsi="Arial"/>
          <w:sz w:val="20"/>
          <w:szCs w:val="20"/>
          <w:color w:val="auto"/>
        </w:rPr>
        <w:t>chelcie@thrustir.com</w:t>
      </w:r>
    </w:p>
    <w:p>
      <w:pPr>
        <w:sectPr>
          <w:pgSz w:w="11900" w:h="16838" w:orient="portrait"/>
          <w:cols w:equalWidth="0" w:num="1">
            <w:col w:w="11420"/>
          </w:cols>
          <w:pgMar w:left="240" w:top="690"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par value data)</w:t>
      </w:r>
    </w:p>
    <w:p>
      <w:pPr>
        <w:spacing w:after="0" w:line="227"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December 31,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380"/>
          </w:cols>
          <w:pgMar w:left="280" w:top="580" w:right="239" w:bottom="1440" w:gutter="0" w:footer="0" w:header="0"/>
        </w:sectPr>
      </w:pPr>
    </w:p>
    <w:p>
      <w:pPr>
        <w:spacing w:after="0" w:line="294"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Receivable from collaborative partners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Long-term vendor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jc w:val="center"/>
        <w:ind w:left="3040"/>
        <w:spacing w:after="0"/>
        <w:rPr>
          <w:sz w:val="20"/>
          <w:szCs w:val="20"/>
          <w:color w:val="auto"/>
        </w:rPr>
      </w:pPr>
      <w:r>
        <w:rPr>
          <w:rFonts w:ascii="Arial" w:cs="Arial" w:eastAsia="Arial" w:hAnsi="Arial"/>
          <w:sz w:val="16"/>
          <w:szCs w:val="16"/>
          <w:b w:val="1"/>
          <w:bCs w:val="1"/>
          <w:color w:val="auto"/>
        </w:rPr>
        <w:t>LIABILITIES, CONVERTIBLE PREFERRED STOCK AND</w:t>
      </w:r>
    </w:p>
    <w:p>
      <w:pPr>
        <w:spacing w:after="0" w:line="26" w:lineRule="exact"/>
        <w:rPr>
          <w:sz w:val="20"/>
          <w:szCs w:val="20"/>
          <w:color w:val="auto"/>
        </w:rPr>
      </w:pPr>
    </w:p>
    <w:p>
      <w:pPr>
        <w:jc w:val="center"/>
        <w:ind w:left="3040"/>
        <w:spacing w:after="0"/>
        <w:rPr>
          <w:sz w:val="20"/>
          <w:szCs w:val="20"/>
          <w:color w:val="auto"/>
        </w:rPr>
      </w:pPr>
      <w:r>
        <w:rPr>
          <w:rFonts w:ascii="Arial" w:cs="Arial" w:eastAsia="Arial" w:hAnsi="Arial"/>
          <w:sz w:val="16"/>
          <w:szCs w:val="16"/>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net of current portion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warrant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Series B convertible preferred stock, $0.001 par value, no shares and 3,963 authorized, issued and outstanding at December 31, 2017 and December 31, 2016, respectively</w:t>
      </w:r>
    </w:p>
    <w:p>
      <w:pPr>
        <w:spacing w:after="0" w:line="23"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Series C convertible preferred stock, $0.001 par value, no shares and 1,887 shares authorized, no shares and 1,593 shares issued and outstanding at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Series C-1 convertible preferred stock, $0.001 par value, no shares and 474 shares authorized, issued and outstanding at December 31, 2017 and December 31, 2016, respectively</w:t>
      </w:r>
    </w:p>
    <w:p>
      <w:pPr>
        <w:spacing w:after="0" w:line="2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Series D convertible preferred stock, $0.001 par value, no shares and 5,491 shares authorized, issued and outstanding at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Stockholders’ equity (deficit):</w:t>
      </w:r>
    </w:p>
    <w:p>
      <w:pPr>
        <w:spacing w:after="0" w:line="10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Preferred stock, $0.001 par value, 10,000 shares and no shares authorized, issued or outstanding at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Common stock, $0.001 par value, 500,000 and 17,214 authorized, 23,791 shares and 2,651 shares issued and outstanding at December 31, 2017 and December 31, 2016,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 (deficit)</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convertible preferred stock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81,189</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51,232</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1,601</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167,218</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2,688</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252,696</w:t>
            </w: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58,208</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665</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471</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75,897</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3,441</w:t>
            </w:r>
          </w:p>
        </w:tc>
      </w:tr>
      <w:tr>
        <w:trPr>
          <w:trHeight w:val="33"/>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329,364</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-8255</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2,323</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4,875</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6,875</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39"/>
              <w:spacing w:after="0"/>
              <w:rPr>
                <w:sz w:val="20"/>
                <w:szCs w:val="20"/>
                <w:color w:val="auto"/>
              </w:rPr>
            </w:pPr>
            <w:r>
              <w:rPr>
                <w:rFonts w:ascii="Arial" w:cs="Arial" w:eastAsia="Arial" w:hAnsi="Arial"/>
                <w:sz w:val="16"/>
                <w:szCs w:val="16"/>
                <w:color w:val="auto"/>
                <w:w w:val="89"/>
              </w:rPr>
              <w:t>14,090</w:t>
            </w: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5,708</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7,553</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13,809</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140</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-664210</wp:posOffset>
            </wp:positionV>
            <wp:extent cx="1029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28,220</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6,452</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2,156</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40,688</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5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393,017</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(426)</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(85,034)</w:t>
            </w: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(54,923)</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307,581</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(38,248)</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329,364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-25400</wp:posOffset>
            </wp:positionV>
            <wp:extent cx="1029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-8255</wp:posOffset>
            </wp:positionV>
            <wp:extent cx="1029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-196850</wp:posOffset>
            </wp:positionV>
            <wp:extent cx="1029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320" w:space="720"/>
            <w:col w:w="2340"/>
          </w:cols>
          <w:pgMar w:left="28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5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36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3,000</w:t>
            </w:r>
          </w:p>
        </w:tc>
        <w:tc>
          <w:tcPr>
            <w:tcW w:w="840" w:type="dxa"/>
            <w:vAlign w:val="bottom"/>
            <w:tcBorders>
              <w:bottom w:val="single" w:sz="8" w:color="CFF0FC"/>
            </w:tcBorders>
            <w:gridSpan w:val="2"/>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2,754</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16,684</w:t>
            </w:r>
          </w:p>
        </w:tc>
      </w:tr>
      <w:tr>
        <w:trPr>
          <w:trHeight w:val="204"/>
        </w:trPr>
        <w:tc>
          <w:tcPr>
            <w:tcW w:w="50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60"/>
        </w:trPr>
        <w:tc>
          <w:tcPr>
            <w:tcW w:w="5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5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7,606</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5,016</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29,443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15,419</w:t>
            </w: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2,545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9,338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4,290</w:t>
            </w:r>
          </w:p>
        </w:tc>
      </w:tr>
      <w:tr>
        <w:trPr>
          <w:trHeight w:val="33"/>
        </w:trPr>
        <w:tc>
          <w:tcPr>
            <w:tcW w:w="50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10,151</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5,928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38,781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19,709</w:t>
            </w:r>
          </w:p>
        </w:tc>
      </w:tr>
      <w:tr>
        <w:trPr>
          <w:trHeight w:val="217"/>
        </w:trPr>
        <w:tc>
          <w:tcPr>
            <w:tcW w:w="508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(7,151)</w:t>
            </w: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(28,781)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(3,025)</w:t>
            </w:r>
          </w:p>
        </w:tc>
      </w:tr>
      <w:tr>
        <w:trPr>
          <w:trHeight w:val="33"/>
        </w:trPr>
        <w:tc>
          <w:tcPr>
            <w:tcW w:w="50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60"/>
        </w:trPr>
        <w:tc>
          <w:tcPr>
            <w:tcW w:w="508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(756)</w:t>
            </w: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862</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127</w:t>
            </w: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(147)</w:t>
            </w:r>
          </w:p>
        </w:tc>
      </w:tr>
      <w:tr>
        <w:trPr>
          <w:trHeight w:val="217"/>
        </w:trPr>
        <w:tc>
          <w:tcPr>
            <w:tcW w:w="508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w:t>
            </w: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w:t>
            </w:r>
          </w:p>
        </w:tc>
      </w:tr>
      <w:tr>
        <w:trPr>
          <w:trHeight w:val="33"/>
        </w:trPr>
        <w:tc>
          <w:tcPr>
            <w:tcW w:w="50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(6,861)</w:t>
            </w:r>
          </w:p>
        </w:tc>
        <w:tc>
          <w:tcPr>
            <w:tcW w:w="840" w:type="dxa"/>
            <w:vAlign w:val="bottom"/>
            <w:tcBorders>
              <w:bottom w:val="single" w:sz="8" w:color="CFF0FC"/>
            </w:tcBorders>
            <w:gridSpan w:val="2"/>
            <w:shd w:val="clear" w:color="auto" w:fill="CFF0FC"/>
          </w:tcPr>
          <w:p>
            <w:pPr>
              <w:jc w:val="right"/>
              <w:ind w:right="579"/>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(4,578)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(4,259)</w:t>
            </w:r>
          </w:p>
        </w:tc>
      </w:tr>
      <w:tr>
        <w:trPr>
          <w:trHeight w:val="217"/>
        </w:trPr>
        <w:tc>
          <w:tcPr>
            <w:tcW w:w="5080" w:type="dxa"/>
            <w:vAlign w:val="bottom"/>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0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comprehensive loss</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5080" w:type="dxa"/>
            <w:vAlign w:val="bottom"/>
          </w:tcPr>
          <w:p>
            <w:pPr>
              <w:ind w:left="960"/>
              <w:spacing w:after="0"/>
              <w:rPr>
                <w:sz w:val="20"/>
                <w:szCs w:val="20"/>
                <w:color w:val="auto"/>
              </w:rPr>
            </w:pPr>
            <w:r>
              <w:rPr>
                <w:rFonts w:ascii="Arial" w:cs="Arial" w:eastAsia="Arial" w:hAnsi="Arial"/>
                <w:sz w:val="16"/>
                <w:szCs w:val="16"/>
                <w:color w:val="auto"/>
              </w:rPr>
              <w:t>Comprehensive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(7,244)</w:t>
            </w:r>
          </w:p>
        </w:tc>
        <w:tc>
          <w:tcPr>
            <w:tcW w:w="28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(30,496)</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(4,259)</w:t>
            </w:r>
          </w:p>
        </w:tc>
      </w:tr>
      <w:tr>
        <w:trPr>
          <w:trHeight w:val="73"/>
        </w:trPr>
        <w:tc>
          <w:tcPr>
            <w:tcW w:w="5080" w:type="dxa"/>
            <w:vAlign w:val="bottom"/>
            <w:tcBorders>
              <w:bottom w:val="single" w:sz="8" w:color="CFF0FC"/>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80" w:type="dxa"/>
            <w:vAlign w:val="bottom"/>
            <w:tcBorders>
              <w:bottom w:val="single" w:sz="8" w:color="CFF0FC"/>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7"/>
        </w:trPr>
        <w:tc>
          <w:tcPr>
            <w:tcW w:w="508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Net loss per common share:</w:t>
            </w: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74"/>
        </w:trPr>
        <w:tc>
          <w:tcPr>
            <w:tcW w:w="50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r>
      <w:tr>
        <w:trPr>
          <w:trHeight w:val="224"/>
        </w:trPr>
        <w:tc>
          <w:tcPr>
            <w:tcW w:w="5080" w:type="dxa"/>
            <w:vAlign w:val="bottom"/>
          </w:tcPr>
          <w:p>
            <w:pPr>
              <w:ind w:left="520"/>
              <w:spacing w:after="0"/>
              <w:rPr>
                <w:sz w:val="20"/>
                <w:szCs w:val="20"/>
                <w:color w:val="auto"/>
              </w:rPr>
            </w:pPr>
            <w:r>
              <w:rPr>
                <w:rFonts w:ascii="Arial" w:cs="Arial" w:eastAsia="Arial" w:hAnsi="Arial"/>
                <w:sz w:val="16"/>
                <w:szCs w:val="16"/>
                <w:color w:val="auto"/>
              </w:rPr>
              <w:t>Basic and 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(0.30)</w:t>
            </w:r>
          </w:p>
        </w:tc>
        <w:tc>
          <w:tcPr>
            <w:tcW w:w="8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73"/>
        </w:trPr>
        <w:tc>
          <w:tcPr>
            <w:tcW w:w="5080" w:type="dxa"/>
            <w:vAlign w:val="bottom"/>
            <w:tcBorders>
              <w:bottom w:val="single" w:sz="8" w:color="CFF0FC"/>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80" w:type="dxa"/>
            <w:vAlign w:val="bottom"/>
            <w:tcBorders>
              <w:bottom w:val="single" w:sz="8" w:color="CFF0FC"/>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7"/>
        </w:trPr>
        <w:tc>
          <w:tcPr>
            <w:tcW w:w="508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74"/>
        </w:trPr>
        <w:tc>
          <w:tcPr>
            <w:tcW w:w="50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r>
      <w:tr>
        <w:trPr>
          <w:trHeight w:val="224"/>
        </w:trPr>
        <w:tc>
          <w:tcPr>
            <w:tcW w:w="508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23,089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19,782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2,637</w:t>
            </w:r>
          </w:p>
        </w:tc>
      </w:tr>
      <w:tr>
        <w:trPr>
          <w:trHeight w:val="33"/>
        </w:trPr>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22"/>
    </w:lvl>
  </w:abstractNum>
  <w:abstractNum w:abstractNumId="6">
    <w:nsid w:val="79E2A9E3"/>
    <w:multiLevelType w:val="hybridMultilevel"/>
    <w:lvl w:ilvl="0">
      <w:lvlJc w:val="left"/>
      <w:lvlText w:val="\emdash "/>
      <w:numFmt w:val="bullet"/>
      <w:start w:val="1"/>
    </w:lvl>
  </w:abstractNum>
  <w:abstractNum w:abstractNumId="7">
    <w:nsid w:val="7545E146"/>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2019-12-28T23:36:23Z</dcterms:created>
  <dcterms:modified xsi:type="dcterms:W3CDTF">2019-12-28T23:36:23Z</dcterms:modified>
</cp:coreProperties>
</file>