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2479675</wp:posOffset>
            </wp:positionH>
            <wp:positionV relativeFrom="page">
              <wp:posOffset>680720</wp:posOffset>
            </wp:positionV>
            <wp:extent cx="2588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114300</wp:posOffset>
            </wp:positionV>
            <wp:extent cx="2588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135890</wp:posOffset>
            </wp:positionV>
            <wp:extent cx="2588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98"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380"/>
        <w:spacing w:after="0"/>
        <w:tabs>
          <w:tab w:leader="none" w:pos="6660" w:val="left"/>
          <w:tab w:leader="none" w:pos="7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-5080</wp:posOffset>
            </wp:positionV>
            <wp:extent cx="132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131445</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ANAPTYSBIO,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107315</wp:posOffset>
            </wp:positionV>
            <wp:extent cx="258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76"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980" w:type="dxa"/>
            <w:vAlign w:val="bottom"/>
            <w:gridSpan w:val="2"/>
          </w:tcPr>
          <w:p>
            <w:pPr>
              <w:jc w:val="center"/>
              <w:ind w:left="19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2"/>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46"/>
        </w:trPr>
        <w:tc>
          <w:tcPr>
            <w:tcW w:w="3980" w:type="dxa"/>
            <w:vAlign w:val="bottom"/>
            <w:gridSpan w:val="2"/>
          </w:tcPr>
          <w:p>
            <w:pPr>
              <w:jc w:val="center"/>
              <w:ind w:left="197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0" w:type="dxa"/>
            <w:vAlign w:val="bottom"/>
          </w:tcPr>
          <w:p>
            <w:pPr>
              <w:jc w:val="center"/>
              <w:ind w:right="219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gridSpan w:val="2"/>
          </w:tcPr>
          <w:p>
            <w:pPr>
              <w:jc w:val="center"/>
              <w:ind w:left="197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60" w:type="dxa"/>
            <w:vAlign w:val="bottom"/>
            <w:gridSpan w:val="2"/>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87"/>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10421 Pacific Center Court, Suite 200</w:t>
            </w: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4"/>
        </w:trPr>
        <w:tc>
          <w:tcPr>
            <w:tcW w:w="3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San Diego, CA 92121</w:t>
            </w:r>
          </w:p>
        </w:tc>
        <w:tc>
          <w:tcPr>
            <w:tcW w:w="26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0"/>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96"/>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00" w:type="dxa"/>
            <w:vAlign w:val="bottom"/>
            <w:gridSpan w:val="2"/>
          </w:tcPr>
          <w:p>
            <w:pPr>
              <w:jc w:val="center"/>
              <w:ind w:left="102"/>
              <w:spacing w:after="0"/>
              <w:rPr>
                <w:sz w:val="20"/>
                <w:szCs w:val="20"/>
                <w:color w:val="auto"/>
              </w:rPr>
            </w:pPr>
            <w:r>
              <w:rPr>
                <w:rFonts w:ascii="Times New Roman" w:cs="Times New Roman" w:eastAsia="Times New Roman" w:hAnsi="Times New Roman"/>
                <w:sz w:val="18"/>
                <w:szCs w:val="18"/>
                <w:b w:val="1"/>
                <w:bCs w:val="1"/>
                <w:color w:val="auto"/>
                <w:w w:val="99"/>
              </w:rPr>
              <w:t>(858) 362-6295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0"/>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158"/>
        </w:trPr>
        <w:tc>
          <w:tcPr>
            <w:tcW w:w="3580" w:type="dxa"/>
            <w:vAlign w:val="bottom"/>
          </w:tcPr>
          <w:p>
            <w:pPr>
              <w:spacing w:after="0"/>
              <w:rPr>
                <w:sz w:val="13"/>
                <w:szCs w:val="13"/>
                <w:color w:val="auto"/>
              </w:rPr>
            </w:pPr>
          </w:p>
        </w:tc>
        <w:tc>
          <w:tcPr>
            <w:tcW w:w="500" w:type="dxa"/>
            <w:vAlign w:val="bottom"/>
            <w:tcBorders>
              <w:bottom w:val="single" w:sz="8" w:color="auto"/>
            </w:tcBorders>
            <w:gridSpan w:val="2"/>
          </w:tcPr>
          <w:p>
            <w:pPr>
              <w:spacing w:after="0"/>
              <w:rPr>
                <w:sz w:val="13"/>
                <w:szCs w:val="13"/>
                <w:color w:val="auto"/>
              </w:rPr>
            </w:pPr>
          </w:p>
        </w:tc>
        <w:tc>
          <w:tcPr>
            <w:tcW w:w="3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spacing w:after="0"/>
              <w:rPr>
                <w:sz w:val="13"/>
                <w:szCs w:val="13"/>
                <w:color w:val="auto"/>
              </w:rPr>
            </w:pPr>
          </w:p>
        </w:tc>
        <w:tc>
          <w:tcPr>
            <w:tcW w:w="3600" w:type="dxa"/>
            <w:vAlign w:val="bottom"/>
          </w:tcPr>
          <w:p>
            <w:pPr>
              <w:spacing w:after="0"/>
              <w:rPr>
                <w:sz w:val="13"/>
                <w:szCs w:val="13"/>
                <w:color w:val="auto"/>
              </w:rPr>
            </w:pPr>
          </w:p>
        </w:tc>
      </w:tr>
      <w:tr>
        <w:trPr>
          <w:trHeight w:val="318"/>
        </w:trPr>
        <w:tc>
          <w:tcPr>
            <w:tcW w:w="112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135"/>
        </w:trPr>
        <w:tc>
          <w:tcPr>
            <w:tcW w:w="398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gridSpan w:val="2"/>
          </w:tcPr>
          <w:p>
            <w:pPr>
              <w:spacing w:after="0"/>
              <w:rPr>
                <w:sz w:val="11"/>
                <w:szCs w:val="11"/>
                <w:color w:val="auto"/>
              </w:rPr>
            </w:pPr>
          </w:p>
        </w:tc>
      </w:tr>
      <w:tr>
        <w:trPr>
          <w:trHeight w:val="223"/>
        </w:trPr>
        <w:tc>
          <w:tcPr>
            <w:tcW w:w="3980" w:type="dxa"/>
            <w:vAlign w:val="bottom"/>
            <w:tcBorders>
              <w:left w:val="single" w:sz="8" w:color="auto"/>
              <w:bottom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0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2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gridSpan w:val="2"/>
          </w:tcPr>
          <w:p>
            <w:pPr>
              <w:jc w:val="center"/>
              <w:ind w:right="259"/>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980" w:type="dxa"/>
            <w:vAlign w:val="bottom"/>
            <w:tcBorders>
              <w:left w:val="single" w:sz="8" w:color="auto"/>
              <w:bottom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0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jc w:val="center"/>
              <w:ind w:right="519"/>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76"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tabs>
          <w:tab w:leader="none" w:pos="2600" w:val="left"/>
          <w:tab w:leader="none" w:pos="3360" w:val="left"/>
        </w:tabs>
        <w:rPr>
          <w:sz w:val="20"/>
          <w:szCs w:val="20"/>
          <w:color w:val="auto"/>
        </w:rPr>
      </w:pPr>
      <w:r>
        <w:rPr>
          <w:rFonts w:ascii="Times New Roman" w:cs="Times New Roman" w:eastAsia="Times New Roman" w:hAnsi="Times New Roman"/>
          <w:sz w:val="18"/>
          <w:szCs w:val="18"/>
          <w:color w:val="auto"/>
        </w:rPr>
        <w:t>requirements for the past 90 days:</w:t>
        <w:tab/>
        <w:t xml:space="preserve">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50" w:lineRule="exact"/>
        <w:rPr>
          <w:sz w:val="24"/>
          <w:szCs w:val="24"/>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88" w:lineRule="exact"/>
        <w:tabs>
          <w:tab w:leader="none" w:pos="580" w:val="left"/>
          <w:tab w:leader="none" w:pos="134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50" w:lineRule="exact"/>
        <w:rPr>
          <w:sz w:val="24"/>
          <w:szCs w:val="24"/>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30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90"/>
              </w:rPr>
              <w:t>☐</w:t>
            </w:r>
          </w:p>
        </w:tc>
      </w:tr>
      <w:tr>
        <w:trPr>
          <w:trHeight w:val="3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520"/>
              <w:spacing w:after="0" w:line="251" w:lineRule="exact"/>
              <w:rPr>
                <w:sz w:val="20"/>
                <w:szCs w:val="20"/>
                <w:color w:val="auto"/>
              </w:rPr>
            </w:pPr>
            <w:r>
              <w:rPr>
                <w:rFonts w:ascii="MS PGothic" w:cs="MS PGothic" w:eastAsia="MS PGothic" w:hAnsi="MS PGothic"/>
                <w:sz w:val="25"/>
                <w:szCs w:val="25"/>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380"/>
              <w:spacing w:after="0" w:line="251" w:lineRule="exact"/>
              <w:rPr>
                <w:sz w:val="20"/>
                <w:szCs w:val="20"/>
                <w:color w:val="auto"/>
              </w:rPr>
            </w:pPr>
            <w:r>
              <w:rPr>
                <w:rFonts w:ascii="MS PGothic" w:cs="MS PGothic" w:eastAsia="MS PGothic" w:hAnsi="MS PGothic"/>
                <w:sz w:val="25"/>
                <w:szCs w:val="25"/>
                <w:color w:val="auto"/>
                <w:w w:val="79"/>
              </w:rPr>
              <w:t>☒</w:t>
            </w:r>
          </w:p>
        </w:tc>
      </w:tr>
      <w:tr>
        <w:trPr>
          <w:trHeight w:val="338"/>
        </w:trPr>
        <w:tc>
          <w:tcPr>
            <w:tcW w:w="2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90"/>
              </w:rPr>
              <w:t>☐</w:t>
            </w:r>
          </w:p>
        </w:tc>
      </w:tr>
    </w:tbl>
    <w:p>
      <w:pPr>
        <w:spacing w:after="0" w:line="42" w:lineRule="exact"/>
        <w:rPr>
          <w:sz w:val="24"/>
          <w:szCs w:val="24"/>
          <w:color w:val="auto"/>
        </w:rPr>
      </w:pPr>
    </w:p>
    <w:p>
      <w:pPr>
        <w:ind w:right="18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234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As of November 2, 2020, there were 27,347,805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652780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112395</wp:posOffset>
            </wp:positionV>
            <wp:extent cx="2588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ectPr>
          <w:pgSz w:w="11900" w:h="16838" w:orient="portrait"/>
          <w:cols w:equalWidth="0" w:num="1">
            <w:col w:w="11260"/>
          </w:cols>
          <w:pgMar w:left="320" w:top="112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1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960" w:type="dxa"/>
            <w:vAlign w:val="bottom"/>
            <w:gridSpan w:val="5"/>
          </w:tcPr>
          <w:p>
            <w:pPr>
              <w:jc w:val="center"/>
              <w:ind w:right="1060"/>
              <w:spacing w:after="0"/>
              <w:rPr>
                <w:sz w:val="20"/>
                <w:szCs w:val="20"/>
                <w:color w:val="auto"/>
              </w:rPr>
            </w:pPr>
            <w:r>
              <w:rPr>
                <w:rFonts w:ascii="Times New Roman" w:cs="Times New Roman" w:eastAsia="Times New Roman" w:hAnsi="Times New Roman"/>
                <w:sz w:val="22"/>
                <w:szCs w:val="22"/>
                <w:b w:val="1"/>
                <w:bCs w:val="1"/>
                <w:color w:val="auto"/>
                <w:w w:val="98"/>
              </w:rPr>
              <w:t>AnaptysBio, Inc.</w:t>
            </w:r>
          </w:p>
        </w:tc>
      </w:tr>
      <w:tr>
        <w:trPr>
          <w:trHeight w:val="286"/>
        </w:trPr>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60" w:type="dxa"/>
            <w:vAlign w:val="bottom"/>
            <w:gridSpan w:val="5"/>
          </w:tcPr>
          <w:p>
            <w:pPr>
              <w:jc w:val="center"/>
              <w:ind w:right="1060"/>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r>
      <w:tr>
        <w:trPr>
          <w:trHeight w:val="825"/>
        </w:trPr>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60" w:type="dxa"/>
            <w:vAlign w:val="bottom"/>
            <w:gridSpan w:val="5"/>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r>
      <w:tr>
        <w:trPr>
          <w:trHeight w:val="338"/>
        </w:trPr>
        <w:tc>
          <w:tcPr>
            <w:tcW w:w="1260" w:type="dxa"/>
            <w:vAlign w:val="bottom"/>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w:t>
              </w:r>
            </w:hyperlink>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Consolidated Financial Statements (unaudited)</w:t>
              </w:r>
            </w:hyperlink>
          </w:p>
        </w:tc>
      </w:tr>
      <w:tr>
        <w:trPr>
          <w:trHeight w:val="324"/>
        </w:trPr>
        <w:tc>
          <w:tcPr>
            <w:tcW w:w="1260" w:type="dxa"/>
            <w:vAlign w:val="bottom"/>
          </w:tcPr>
          <w:p>
            <w:pPr>
              <w:spacing w:after="0"/>
              <w:rPr>
                <w:sz w:val="24"/>
                <w:szCs w:val="24"/>
                <w:color w:val="auto"/>
              </w:rPr>
            </w:pPr>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Consolidated Balance Sheets as of September 30, 2020 and December 31, 2019</w:t>
              </w:r>
            </w:hyperlink>
          </w:p>
        </w:tc>
      </w:tr>
      <w:tr>
        <w:trPr>
          <w:trHeight w:val="283"/>
        </w:trPr>
        <w:tc>
          <w:tcPr>
            <w:tcW w:w="1260" w:type="dxa"/>
            <w:vAlign w:val="bottom"/>
          </w:tcPr>
          <w:p>
            <w:pPr>
              <w:spacing w:after="0"/>
              <w:rPr>
                <w:sz w:val="24"/>
                <w:szCs w:val="24"/>
                <w:color w:val="auto"/>
              </w:rPr>
            </w:pPr>
          </w:p>
        </w:tc>
        <w:tc>
          <w:tcPr>
            <w:tcW w:w="8300" w:type="dxa"/>
            <w:vAlign w:val="bottom"/>
            <w:gridSpan w:val="6"/>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Consolidated Statements of Operations and Comprehensive Loss for the Three and Nine Months Ended September</w:t>
              </w:r>
            </w:hyperlink>
          </w:p>
        </w:tc>
      </w:tr>
      <w:tr>
        <w:trPr>
          <w:trHeight w:val="155"/>
        </w:trPr>
        <w:tc>
          <w:tcPr>
            <w:tcW w:w="1260" w:type="dxa"/>
            <w:vAlign w:val="bottom"/>
          </w:tcPr>
          <w:p>
            <w:pPr>
              <w:spacing w:after="0"/>
              <w:rPr>
                <w:sz w:val="13"/>
                <w:szCs w:val="13"/>
                <w:color w:val="auto"/>
              </w:rPr>
            </w:pPr>
          </w:p>
        </w:tc>
        <w:tc>
          <w:tcPr>
            <w:tcW w:w="82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30, 2020 and 2019</w:t>
              </w:r>
            </w:hyperlink>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345"/>
        </w:trPr>
        <w:tc>
          <w:tcPr>
            <w:tcW w:w="1260" w:type="dxa"/>
            <w:vAlign w:val="bottom"/>
          </w:tcPr>
          <w:p>
            <w:pPr>
              <w:spacing w:after="0"/>
              <w:rPr>
                <w:sz w:val="24"/>
                <w:szCs w:val="24"/>
                <w:color w:val="auto"/>
              </w:rPr>
            </w:pPr>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Statements of Stockholders' Equity for the Three and Nine Months Ended September 30, 2020</w:t>
              </w:r>
            </w:hyperlink>
          </w:p>
        </w:tc>
      </w:tr>
      <w:tr>
        <w:trPr>
          <w:trHeight w:val="283"/>
        </w:trPr>
        <w:tc>
          <w:tcPr>
            <w:tcW w:w="1260" w:type="dxa"/>
            <w:vAlign w:val="bottom"/>
          </w:tcPr>
          <w:p>
            <w:pPr>
              <w:spacing w:after="0"/>
              <w:rPr>
                <w:sz w:val="24"/>
                <w:szCs w:val="24"/>
                <w:color w:val="auto"/>
              </w:rPr>
            </w:pPr>
          </w:p>
        </w:tc>
        <w:tc>
          <w:tcPr>
            <w:tcW w:w="8300" w:type="dxa"/>
            <w:vAlign w:val="bottom"/>
            <w:gridSpan w:val="6"/>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Consolidated Statements of Stockholders’ Equity for the Three</w:t>
              </w:r>
              <w:r>
                <w:rPr>
                  <w:rFonts w:ascii="Times New Roman" w:cs="Times New Roman" w:eastAsia="Times New Roman" w:hAnsi="Times New Roman"/>
                  <w:sz w:val="18"/>
                  <w:szCs w:val="18"/>
                  <w:color w:val="0000FF"/>
                </w:rPr>
                <w:t xml:space="preserve"> </w:t>
              </w:r>
            </w:hyperlink>
            <w:hyperlink w:anchor="page4">
              <w:r>
                <w:rPr>
                  <w:rFonts w:ascii="Times New Roman" w:cs="Times New Roman" w:eastAsia="Times New Roman" w:hAnsi="Times New Roman"/>
                  <w:sz w:val="18"/>
                  <w:szCs w:val="18"/>
                  <w:color w:val="0000FF"/>
                </w:rPr>
                <w:t xml:space="preserve">and </w:t>
              </w:r>
            </w:hyperlink>
            <w:hyperlink w:anchor="page5">
              <w:r>
                <w:rPr>
                  <w:rFonts w:ascii="Times New Roman" w:cs="Times New Roman" w:eastAsia="Times New Roman" w:hAnsi="Times New Roman"/>
                  <w:sz w:val="18"/>
                  <w:szCs w:val="18"/>
                  <w:color w:val="0000FF"/>
                </w:rPr>
                <w:t xml:space="preserve">Nine Months Ended </w:t>
              </w:r>
              <w:r>
                <w:rPr>
                  <w:rFonts w:ascii="Times New Roman" w:cs="Times New Roman" w:eastAsia="Times New Roman" w:hAnsi="Times New Roman"/>
                  <w:sz w:val="18"/>
                  <w:szCs w:val="18"/>
                  <w:u w:val="single" w:color="auto"/>
                  <w:color w:val="0000FF"/>
                </w:rPr>
                <w:t>September 30, 2019</w:t>
              </w:r>
            </w:hyperlink>
          </w:p>
        </w:tc>
      </w:tr>
      <w:tr>
        <w:trPr>
          <w:trHeight w:val="20"/>
        </w:trPr>
        <w:tc>
          <w:tcPr>
            <w:tcW w:w="1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304"/>
        </w:trPr>
        <w:tc>
          <w:tcPr>
            <w:tcW w:w="1260" w:type="dxa"/>
            <w:vAlign w:val="bottom"/>
          </w:tcPr>
          <w:p>
            <w:pPr>
              <w:spacing w:after="0"/>
              <w:rPr>
                <w:sz w:val="24"/>
                <w:szCs w:val="24"/>
                <w:color w:val="auto"/>
              </w:rPr>
            </w:pPr>
          </w:p>
        </w:tc>
        <w:tc>
          <w:tcPr>
            <w:tcW w:w="8300" w:type="dxa"/>
            <w:vAlign w:val="bottom"/>
            <w:gridSpan w:val="6"/>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 xml:space="preserve">Consolidated Statements of Cash Flows for the Nine Months Ended </w:t>
              </w:r>
              <w:r>
                <w:rPr>
                  <w:rFonts w:ascii="Times New Roman" w:cs="Times New Roman" w:eastAsia="Times New Roman" w:hAnsi="Times New Roman"/>
                  <w:sz w:val="18"/>
                  <w:szCs w:val="18"/>
                  <w:u w:val="single" w:color="auto"/>
                  <w:color w:val="0000FF"/>
                </w:rPr>
                <w:t>September 30, 2020 and 2019</w:t>
              </w:r>
            </w:hyperlink>
          </w:p>
        </w:tc>
      </w:tr>
      <w:tr>
        <w:trPr>
          <w:trHeight w:val="345"/>
        </w:trPr>
        <w:tc>
          <w:tcPr>
            <w:tcW w:w="1260" w:type="dxa"/>
            <w:vAlign w:val="bottom"/>
          </w:tcPr>
          <w:p>
            <w:pPr>
              <w:spacing w:after="0"/>
              <w:rPr>
                <w:sz w:val="24"/>
                <w:szCs w:val="24"/>
                <w:color w:val="auto"/>
              </w:rPr>
            </w:pPr>
          </w:p>
        </w:tc>
        <w:tc>
          <w:tcPr>
            <w:tcW w:w="4940" w:type="dxa"/>
            <w:vAlign w:val="bottom"/>
            <w:tcBorders>
              <w:top w:val="single" w:sz="8" w:color="0000FF"/>
            </w:tcBorders>
            <w:gridSpan w:val="3"/>
          </w:tcPr>
          <w:p>
            <w:pP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Notes to the Unaudited Consolidated Financial Statements</w:t>
              </w:r>
            </w:hyperlink>
          </w:p>
        </w:tc>
        <w:tc>
          <w:tcPr>
            <w:tcW w:w="3360" w:type="dxa"/>
            <w:vAlign w:val="bottom"/>
            <w:gridSpan w:val="3"/>
          </w:tcPr>
          <w:p>
            <w:pPr>
              <w:spacing w:after="0"/>
              <w:rPr>
                <w:sz w:val="24"/>
                <w:szCs w:val="24"/>
                <w:color w:val="auto"/>
              </w:rPr>
            </w:pPr>
          </w:p>
        </w:tc>
      </w:tr>
      <w:tr>
        <w:trPr>
          <w:trHeight w:val="324"/>
        </w:trPr>
        <w:tc>
          <w:tcPr>
            <w:tcW w:w="1260" w:type="dxa"/>
            <w:vAlign w:val="bottom"/>
          </w:tcPr>
          <w:p>
            <w:pPr>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Item 2.</w:t>
              </w:r>
            </w:hyperlink>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r>
      <w:tr>
        <w:trPr>
          <w:trHeight w:val="324"/>
        </w:trPr>
        <w:tc>
          <w:tcPr>
            <w:tcW w:w="1260" w:type="dxa"/>
            <w:vAlign w:val="bottom"/>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Item 3.</w:t>
              </w:r>
            </w:hyperlink>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Quantitative and Qualitative Disclosures About Market Risk</w:t>
              </w:r>
            </w:hyperlink>
          </w:p>
        </w:tc>
      </w:tr>
      <w:tr>
        <w:trPr>
          <w:trHeight w:val="324"/>
        </w:trPr>
        <w:tc>
          <w:tcPr>
            <w:tcW w:w="1260" w:type="dxa"/>
            <w:vAlign w:val="bottom"/>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Item 4.</w:t>
              </w:r>
            </w:hyperlink>
          </w:p>
        </w:tc>
        <w:tc>
          <w:tcPr>
            <w:tcW w:w="8300" w:type="dxa"/>
            <w:vAlign w:val="bottom"/>
            <w:gridSpan w:val="6"/>
          </w:tcPr>
          <w:p>
            <w:pPr>
              <w:ind w:left="4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Controls and Procedures</w:t>
              </w:r>
            </w:hyperlink>
          </w:p>
        </w:tc>
      </w:tr>
      <w:tr>
        <w:trPr>
          <w:trHeight w:val="594"/>
        </w:trPr>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60" w:type="dxa"/>
            <w:vAlign w:val="bottom"/>
            <w:gridSpan w:val="5"/>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r>
      <w:tr>
        <w:trPr>
          <w:trHeight w:val="500"/>
        </w:trPr>
        <w:tc>
          <w:tcPr>
            <w:tcW w:w="1260" w:type="dxa"/>
            <w:vAlign w:val="bottom"/>
          </w:tcPr>
          <w:p>
            <w:pPr>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1.</w:t>
              </w:r>
            </w:hyperlink>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Legal Proceedings</w:t>
              </w:r>
            </w:hyperlink>
          </w:p>
        </w:tc>
      </w:tr>
      <w:tr>
        <w:trPr>
          <w:trHeight w:val="324"/>
        </w:trPr>
        <w:tc>
          <w:tcPr>
            <w:tcW w:w="1260" w:type="dxa"/>
            <w:vAlign w:val="bottom"/>
          </w:tcPr>
          <w:p>
            <w:pPr>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1A.</w:t>
              </w:r>
            </w:hyperlink>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Risk Factors</w:t>
              </w:r>
            </w:hyperlink>
          </w:p>
        </w:tc>
      </w:tr>
      <w:tr>
        <w:trPr>
          <w:trHeight w:val="324"/>
        </w:trPr>
        <w:tc>
          <w:tcPr>
            <w:tcW w:w="1260" w:type="dxa"/>
            <w:vAlign w:val="bottom"/>
          </w:tcPr>
          <w:p>
            <w:pPr>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Item 2.</w:t>
              </w:r>
            </w:hyperlink>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Unregistered Sales of Equity Securities and Use of Proceeds</w:t>
              </w:r>
            </w:hyperlink>
          </w:p>
        </w:tc>
      </w:tr>
      <w:tr>
        <w:trPr>
          <w:trHeight w:val="324"/>
        </w:trPr>
        <w:tc>
          <w:tcPr>
            <w:tcW w:w="1260" w:type="dxa"/>
            <w:vAlign w:val="bottom"/>
          </w:tcPr>
          <w:p>
            <w:pPr>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Item 3.</w:t>
              </w:r>
            </w:hyperlink>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Defaults Upon Senior Securities</w:t>
              </w:r>
            </w:hyperlink>
          </w:p>
        </w:tc>
      </w:tr>
      <w:tr>
        <w:trPr>
          <w:trHeight w:val="324"/>
        </w:trPr>
        <w:tc>
          <w:tcPr>
            <w:tcW w:w="1260" w:type="dxa"/>
            <w:vAlign w:val="bottom"/>
          </w:tcPr>
          <w:p>
            <w:pPr>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Item 4.</w:t>
              </w:r>
            </w:hyperlink>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Mine Safety Disclosures</w:t>
              </w:r>
            </w:hyperlink>
          </w:p>
        </w:tc>
      </w:tr>
      <w:tr>
        <w:trPr>
          <w:trHeight w:val="324"/>
        </w:trPr>
        <w:tc>
          <w:tcPr>
            <w:tcW w:w="1260" w:type="dxa"/>
            <w:vAlign w:val="bottom"/>
          </w:tcPr>
          <w:p>
            <w:pPr>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Item 5.</w:t>
              </w:r>
            </w:hyperlink>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Other Information</w:t>
              </w:r>
            </w:hyperlink>
          </w:p>
        </w:tc>
      </w:tr>
      <w:tr>
        <w:trPr>
          <w:trHeight w:val="324"/>
        </w:trPr>
        <w:tc>
          <w:tcPr>
            <w:tcW w:w="1260" w:type="dxa"/>
            <w:vAlign w:val="bottom"/>
          </w:tcPr>
          <w:p>
            <w:pPr>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Item 6.</w:t>
              </w:r>
            </w:hyperlink>
          </w:p>
        </w:tc>
        <w:tc>
          <w:tcPr>
            <w:tcW w:w="8300" w:type="dxa"/>
            <w:vAlign w:val="bottom"/>
            <w:gridSpan w:val="6"/>
          </w:tcPr>
          <w:p>
            <w:pPr>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Exhibits</w:t>
              </w:r>
            </w:hyperlink>
          </w:p>
        </w:tc>
      </w:tr>
      <w:tr>
        <w:trPr>
          <w:trHeight w:val="324"/>
        </w:trPr>
        <w:tc>
          <w:tcPr>
            <w:tcW w:w="1260" w:type="dxa"/>
            <w:vAlign w:val="bottom"/>
          </w:tcPr>
          <w:p>
            <w:pPr>
              <w:spacing w:after="0"/>
              <w:rPr>
                <w:sz w:val="24"/>
                <w:szCs w:val="24"/>
                <w:color w:val="auto"/>
              </w:rPr>
            </w:pPr>
          </w:p>
        </w:tc>
        <w:tc>
          <w:tcPr>
            <w:tcW w:w="8300" w:type="dxa"/>
            <w:vAlign w:val="bottom"/>
            <w:gridSpan w:val="6"/>
          </w:tcPr>
          <w:p>
            <w:pPr>
              <w:ind w:left="40"/>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Exhibit Index</w:t>
              </w:r>
            </w:hyperlink>
          </w:p>
        </w:tc>
      </w:tr>
      <w:tr>
        <w:trPr>
          <w:trHeight w:val="324"/>
        </w:trPr>
        <w:tc>
          <w:tcPr>
            <w:tcW w:w="1260" w:type="dxa"/>
            <w:vAlign w:val="bottom"/>
          </w:tcPr>
          <w:p>
            <w:pPr>
              <w:spacing w:after="0"/>
              <w:rPr>
                <w:sz w:val="24"/>
                <w:szCs w:val="24"/>
                <w:color w:val="auto"/>
              </w:rPr>
            </w:pPr>
          </w:p>
        </w:tc>
        <w:tc>
          <w:tcPr>
            <w:tcW w:w="8300" w:type="dxa"/>
            <w:vAlign w:val="bottom"/>
            <w:gridSpan w:val="6"/>
          </w:tcPr>
          <w:p>
            <w:pPr>
              <w:ind w:left="40"/>
              <w:spacing w:after="0"/>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Signatures</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668655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-4448175</wp:posOffset>
            </wp:positionV>
            <wp:extent cx="7115175"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-4036695</wp:posOffset>
            </wp:positionV>
            <wp:extent cx="7115175"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31686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-3514090</wp:posOffset>
            </wp:positionV>
            <wp:extent cx="7115175"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-3102610</wp:posOffset>
            </wp:positionV>
            <wp:extent cx="711517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-2691130</wp:posOffset>
            </wp:positionV>
            <wp:extent cx="711517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-2279650</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-1962150</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-1585595</wp:posOffset>
            </wp:positionV>
            <wp:extent cx="711517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-1174115</wp:posOffset>
            </wp:positionV>
            <wp:extent cx="7115175"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-762635</wp:posOffset>
            </wp:positionV>
            <wp:extent cx="711517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-351155</wp:posOffset>
            </wp:positionV>
            <wp:extent cx="711517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24765</wp:posOffset>
            </wp:positionV>
            <wp:extent cx="840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4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p>
      <w:pPr>
        <w:spacing w:after="0" w:line="117" w:lineRule="exact"/>
        <w:rPr>
          <w:sz w:val="20"/>
          <w:szCs w:val="20"/>
          <w:color w:val="auto"/>
        </w:rPr>
      </w:pPr>
    </w:p>
    <w:p>
      <w:pPr>
        <w:ind w:left="44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p>
      <w:pPr>
        <w:spacing w:after="0" w:line="293" w:lineRule="exact"/>
        <w:rPr>
          <w:sz w:val="20"/>
          <w:szCs w:val="20"/>
          <w:color w:val="auto"/>
        </w:rPr>
      </w:pPr>
    </w:p>
    <w:p>
      <w:pPr>
        <w:ind w:left="44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2</w:t>
        </w:r>
      </w:hyperlink>
    </w:p>
    <w:p>
      <w:pPr>
        <w:spacing w:after="0" w:line="117" w:lineRule="exact"/>
        <w:rPr>
          <w:sz w:val="20"/>
          <w:szCs w:val="20"/>
          <w:color w:val="auto"/>
        </w:rPr>
      </w:pPr>
    </w:p>
    <w:p>
      <w:pPr>
        <w:ind w:left="44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w:t>
        </w:r>
      </w:hyperlink>
    </w:p>
    <w:p>
      <w:pPr>
        <w:spacing w:after="0" w:line="117" w:lineRule="exact"/>
        <w:rPr>
          <w:sz w:val="20"/>
          <w:szCs w:val="20"/>
          <w:color w:val="auto"/>
        </w:rPr>
      </w:pPr>
    </w:p>
    <w:p>
      <w:pPr>
        <w:ind w:left="44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4</w:t>
        </w:r>
      </w:hyperlink>
    </w:p>
    <w:p>
      <w:pPr>
        <w:spacing w:after="0" w:line="117" w:lineRule="exact"/>
        <w:rPr>
          <w:sz w:val="20"/>
          <w:szCs w:val="20"/>
          <w:color w:val="auto"/>
        </w:rPr>
      </w:pPr>
    </w:p>
    <w:p>
      <w:pPr>
        <w:ind w:left="44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5</w:t>
        </w:r>
      </w:hyperlink>
    </w:p>
    <w:p>
      <w:pPr>
        <w:spacing w:after="0" w:line="117" w:lineRule="exact"/>
        <w:rPr>
          <w:sz w:val="20"/>
          <w:szCs w:val="20"/>
          <w:color w:val="auto"/>
        </w:rPr>
      </w:pPr>
    </w:p>
    <w:p>
      <w:pPr>
        <w:ind w:left="44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6</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20</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29</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30</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30</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66</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66</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67</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67</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67</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67</w:t>
        </w:r>
      </w:hyperlink>
    </w:p>
    <w:p>
      <w:pPr>
        <w:spacing w:after="0" w:line="117" w:lineRule="exact"/>
        <w:rPr>
          <w:sz w:val="20"/>
          <w:szCs w:val="20"/>
          <w:color w:val="auto"/>
        </w:rPr>
      </w:pPr>
    </w:p>
    <w:p>
      <w:pPr>
        <w:ind w:left="400"/>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68</w:t>
        </w:r>
      </w:hyperlink>
    </w:p>
    <w:p>
      <w:pPr>
        <w:sectPr>
          <w:pgSz w:w="11900" w:h="16838" w:orient="portrait"/>
          <w:cols w:equalWidth="0" w:num="2">
            <w:col w:w="9540" w:space="460"/>
            <w:col w:w="980"/>
          </w:cols>
          <w:pgMar w:left="400" w:top="891" w:right="519" w:bottom="1440" w:gutter="0" w:footer="0" w:header="0"/>
        </w:sectPr>
      </w:pPr>
    </w:p>
    <w:bookmarkStart w:id="2" w:name="page3"/>
    <w:bookmarkEnd w:id="2"/>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8"/>
        </w:trPr>
        <w:tc>
          <w:tcPr>
            <w:tcW w:w="7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209,154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171,017</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203,210</w:t>
            </w:r>
          </w:p>
        </w:tc>
        <w:tc>
          <w:tcPr>
            <w:tcW w:w="0" w:type="dxa"/>
            <w:vAlign w:val="bottom"/>
          </w:tcPr>
          <w:p>
            <w:pPr>
              <w:spacing w:after="0"/>
              <w:rPr>
                <w:sz w:val="1"/>
                <w:szCs w:val="1"/>
                <w:color w:val="auto"/>
              </w:rPr>
            </w:pPr>
          </w:p>
        </w:tc>
      </w:tr>
      <w:tr>
        <w:trPr>
          <w:trHeight w:val="21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0" w:type="dxa"/>
            <w:vAlign w:val="bottom"/>
          </w:tcPr>
          <w:p>
            <w:pPr>
              <w:spacing w:after="0"/>
              <w:rPr>
                <w:sz w:val="1"/>
                <w:szCs w:val="1"/>
                <w:color w:val="auto"/>
              </w:rPr>
            </w:pPr>
          </w:p>
        </w:tc>
      </w:tr>
      <w:tr>
        <w:trPr>
          <w:trHeight w:val="207"/>
        </w:trPr>
        <w:tc>
          <w:tcPr>
            <w:tcW w:w="7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377,733</w:t>
            </w:r>
          </w:p>
        </w:tc>
        <w:tc>
          <w:tcPr>
            <w:tcW w:w="0" w:type="dxa"/>
            <w:vAlign w:val="bottom"/>
          </w:tcPr>
          <w:p>
            <w:pPr>
              <w:spacing w:after="0"/>
              <w:rPr>
                <w:sz w:val="1"/>
                <w:szCs w:val="1"/>
                <w:color w:val="auto"/>
              </w:rPr>
            </w:pPr>
          </w:p>
        </w:tc>
      </w:tr>
      <w:tr>
        <w:trPr>
          <w:trHeight w:val="21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54,305</w:t>
            </w:r>
          </w:p>
        </w:tc>
        <w:tc>
          <w:tcPr>
            <w:tcW w:w="0" w:type="dxa"/>
            <w:vAlign w:val="bottom"/>
          </w:tcPr>
          <w:p>
            <w:pPr>
              <w:spacing w:after="0"/>
              <w:rPr>
                <w:sz w:val="1"/>
                <w:szCs w:val="1"/>
                <w:color w:val="auto"/>
              </w:rPr>
            </w:pPr>
          </w:p>
        </w:tc>
      </w:tr>
      <w:tr>
        <w:trPr>
          <w:trHeight w:val="21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4"/>
        </w:trPr>
        <w:tc>
          <w:tcPr>
            <w:tcW w:w="79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384,750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435,197</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bottom w:val="single" w:sz="8" w:color="CFF0FC"/>
            </w:tcBorders>
            <w:vMerge w:val="restart"/>
          </w:tcPr>
          <w:p>
            <w:pPr>
              <w:ind w:left="38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16,237</w:t>
            </w:r>
          </w:p>
        </w:tc>
        <w:tc>
          <w:tcPr>
            <w:tcW w:w="0" w:type="dxa"/>
            <w:vAlign w:val="bottom"/>
          </w:tcPr>
          <w:p>
            <w:pPr>
              <w:spacing w:after="0"/>
              <w:rPr>
                <w:sz w:val="1"/>
                <w:szCs w:val="1"/>
                <w:color w:val="auto"/>
              </w:rPr>
            </w:pPr>
          </w:p>
        </w:tc>
      </w:tr>
      <w:tr>
        <w:trPr>
          <w:trHeight w:val="21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18,139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11,052</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0" w:type="dxa"/>
            <w:vAlign w:val="bottom"/>
          </w:tcPr>
          <w:p>
            <w:pPr>
              <w:spacing w:after="0"/>
              <w:rPr>
                <w:sz w:val="1"/>
                <w:szCs w:val="1"/>
                <w:color w:val="auto"/>
              </w:rPr>
            </w:pPr>
          </w:p>
        </w:tc>
      </w:tr>
      <w:tr>
        <w:trPr>
          <w:trHeight w:val="21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07"/>
        </w:trPr>
        <w:tc>
          <w:tcPr>
            <w:tcW w:w="7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29,535</w:t>
            </w:r>
          </w:p>
        </w:tc>
        <w:tc>
          <w:tcPr>
            <w:tcW w:w="0" w:type="dxa"/>
            <w:vAlign w:val="bottom"/>
          </w:tcPr>
          <w:p>
            <w:pPr>
              <w:spacing w:after="0"/>
              <w:rPr>
                <w:sz w:val="1"/>
                <w:szCs w:val="1"/>
                <w:color w:val="auto"/>
              </w:rPr>
            </w:pPr>
          </w:p>
        </w:tc>
      </w:tr>
      <w:tr>
        <w:trPr>
          <w:trHeight w:val="21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98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September 30, 2020</w:t>
            </w:r>
          </w:p>
        </w:tc>
        <w:tc>
          <w:tcPr>
            <w:tcW w:w="140" w:type="dxa"/>
            <w:vAlign w:val="bottom"/>
            <w:shd w:val="clear" w:color="auto" w:fill="CFF0FC"/>
          </w:tcPr>
          <w:p>
            <w:pPr>
              <w:spacing w:after="0"/>
              <w:rPr>
                <w:sz w:val="15"/>
                <w:szCs w:val="15"/>
                <w:color w:val="auto"/>
              </w:rPr>
            </w:pPr>
          </w:p>
        </w:tc>
        <w:tc>
          <w:tcPr>
            <w:tcW w:w="15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and December 31, 2019, respectively</w:t>
            </w:r>
          </w:p>
        </w:tc>
        <w:tc>
          <w:tcPr>
            <w:tcW w:w="140" w:type="dxa"/>
            <w:vAlign w:val="bottom"/>
            <w:shd w:val="clear" w:color="auto" w:fill="CFF0FC"/>
          </w:tcPr>
          <w:p>
            <w:pPr>
              <w:spacing w:after="0"/>
              <w:rPr>
                <w:sz w:val="18"/>
                <w:szCs w:val="18"/>
                <w:color w:val="auto"/>
              </w:rPr>
            </w:pPr>
          </w:p>
        </w:tc>
        <w:tc>
          <w:tcPr>
            <w:tcW w:w="15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500,000 shares authorized, 27,346 shares and 27,255 shares issued and outstanding at</w:t>
            </w: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2020 and December 31, 2019, respectively</w:t>
            </w: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657,560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648,669</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(297,603)</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(244,026)</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360,243</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405,008</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384,750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435,197</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19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19,542</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29,931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58,458</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77,912</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13,766</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12,262</w:t>
            </w:r>
          </w:p>
        </w:tc>
        <w:tc>
          <w:tcPr>
            <w:tcW w:w="0" w:type="dxa"/>
            <w:vAlign w:val="bottom"/>
          </w:tcPr>
          <w:p>
            <w:pPr>
              <w:spacing w:after="0"/>
              <w:rPr>
                <w:sz w:val="1"/>
                <w:szCs w:val="1"/>
                <w:color w:val="auto"/>
              </w:rPr>
            </w:pPr>
          </w:p>
        </w:tc>
      </w:tr>
      <w:tr>
        <w:trPr>
          <w:trHeight w:val="212"/>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24,336</w:t>
            </w: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33,745</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72,224</w:t>
            </w:r>
          </w:p>
        </w:tc>
        <w:tc>
          <w:tcPr>
            <w:tcW w:w="1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90,174</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(24,336)</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(33,745)</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(57,224)</w:t>
            </w:r>
          </w:p>
        </w:tc>
        <w:tc>
          <w:tcPr>
            <w:tcW w:w="1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(85,174)</w:t>
            </w:r>
          </w:p>
        </w:tc>
        <w:tc>
          <w:tcPr>
            <w:tcW w:w="0" w:type="dxa"/>
            <w:vAlign w:val="bottom"/>
          </w:tcPr>
          <w:p>
            <w:pPr>
              <w:spacing w:after="0"/>
              <w:rPr>
                <w:sz w:val="1"/>
                <w:szCs w:val="1"/>
                <w:color w:val="auto"/>
              </w:rPr>
            </w:pPr>
          </w:p>
        </w:tc>
      </w:tr>
      <w:tr>
        <w:trPr>
          <w:trHeight w:val="19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2"/>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7,971</w:t>
            </w:r>
          </w:p>
        </w:tc>
        <w:tc>
          <w:tcPr>
            <w:tcW w:w="0" w:type="dxa"/>
            <w:vAlign w:val="bottom"/>
          </w:tcPr>
          <w:p>
            <w:pPr>
              <w:spacing w:after="0"/>
              <w:rPr>
                <w:sz w:val="1"/>
                <w:szCs w:val="1"/>
                <w:color w:val="auto"/>
              </w:rPr>
            </w:pPr>
          </w:p>
        </w:tc>
      </w:tr>
      <w:tr>
        <w:trPr>
          <w:trHeight w:val="207"/>
        </w:trPr>
        <w:tc>
          <w:tcPr>
            <w:tcW w:w="57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(77,203)</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70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(23,767)</w:t>
            </w:r>
          </w:p>
        </w:tc>
        <w:tc>
          <w:tcPr>
            <w:tcW w:w="120" w:type="dxa"/>
            <w:vAlign w:val="bottom"/>
            <w:tcBorders>
              <w:bottom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(31,033)</w:t>
            </w: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(53,577)</w:t>
            </w:r>
          </w:p>
        </w:tc>
        <w:tc>
          <w:tcPr>
            <w:tcW w:w="100" w:type="dxa"/>
            <w:vAlign w:val="bottom"/>
            <w:tcBorders>
              <w:bottom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(77,073)</w:t>
            </w:r>
          </w:p>
        </w:tc>
        <w:tc>
          <w:tcPr>
            <w:tcW w:w="0" w:type="dxa"/>
            <w:vAlign w:val="bottom"/>
          </w:tcPr>
          <w:p>
            <w:pPr>
              <w:spacing w:after="0"/>
              <w:rPr>
                <w:sz w:val="1"/>
                <w:szCs w:val="1"/>
                <w:color w:val="auto"/>
              </w:rPr>
            </w:pPr>
          </w:p>
        </w:tc>
      </w:tr>
      <w:tr>
        <w:trPr>
          <w:trHeight w:val="19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color w:val="auto"/>
              </w:rPr>
              <w:t>Unrealized (loss) income on available for sale securities, net of tax of $0, $(25),</w:t>
            </w: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FF0FC"/>
            </w:tcBorders>
          </w:tcPr>
          <w:p>
            <w:pPr>
              <w:ind w:left="520"/>
              <w:spacing w:after="0"/>
              <w:rPr>
                <w:sz w:val="20"/>
                <w:szCs w:val="20"/>
                <w:color w:val="auto"/>
              </w:rPr>
            </w:pPr>
            <w:r>
              <w:rPr>
                <w:rFonts w:ascii="Times New Roman" w:cs="Times New Roman" w:eastAsia="Times New Roman" w:hAnsi="Times New Roman"/>
                <w:sz w:val="16"/>
                <w:szCs w:val="16"/>
                <w:color w:val="auto"/>
              </w:rPr>
              <w:t>$0 and $189, respectively</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Comprehensive loss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(24,261)</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(31,127)</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(53,656)</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(76,370)</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Basic and diluted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Basic and diluted</w:t>
            </w: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27,316</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27,058</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27,286</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27,022</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20" w:type="dxa"/>
            <w:vAlign w:val="bottom"/>
          </w:tcPr>
          <w:p>
            <w:pPr>
              <w:spacing w:after="0"/>
              <w:rPr>
                <w:sz w:val="13"/>
                <w:szCs w:val="13"/>
                <w:color w:val="auto"/>
              </w:rPr>
            </w:pPr>
          </w:p>
        </w:tc>
        <w:tc>
          <w:tcPr>
            <w:tcW w:w="1740" w:type="dxa"/>
            <w:vAlign w:val="bottom"/>
            <w:tcBorders>
              <w:bottom w:val="single" w:sz="8" w:color="auto"/>
            </w:tcBorders>
            <w:gridSpan w:val="4"/>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7"/>
                <w:szCs w:val="7"/>
                <w:color w:val="auto"/>
              </w:rPr>
            </w:pPr>
          </w:p>
        </w:tc>
        <w:tc>
          <w:tcPr>
            <w:tcW w:w="1120" w:type="dxa"/>
            <w:vAlign w:val="bottom"/>
            <w:gridSpan w:val="2"/>
          </w:tcPr>
          <w:p>
            <w:pPr>
              <w:jc w:val="center"/>
              <w:ind w:right="340"/>
              <w:spacing w:after="0" w:line="81" w:lineRule="exact"/>
              <w:rPr>
                <w:sz w:val="20"/>
                <w:szCs w:val="20"/>
                <w:color w:val="auto"/>
              </w:rPr>
            </w:pPr>
            <w:r>
              <w:rPr>
                <w:rFonts w:ascii="Times New Roman" w:cs="Times New Roman" w:eastAsia="Times New Roman" w:hAnsi="Times New Roman"/>
                <w:sz w:val="9"/>
                <w:szCs w:val="9"/>
                <w:b w:val="1"/>
                <w:bCs w:val="1"/>
                <w:color w:val="auto"/>
              </w:rPr>
              <w:t>Paid-in</w:t>
            </w:r>
          </w:p>
        </w:tc>
        <w:tc>
          <w:tcPr>
            <w:tcW w:w="100" w:type="dxa"/>
            <w:vAlign w:val="bottom"/>
          </w:tcPr>
          <w:p>
            <w:pPr>
              <w:spacing w:after="0"/>
              <w:rPr>
                <w:sz w:val="7"/>
                <w:szCs w:val="7"/>
                <w:color w:val="auto"/>
              </w:rPr>
            </w:pPr>
          </w:p>
        </w:tc>
        <w:tc>
          <w:tcPr>
            <w:tcW w:w="1240" w:type="dxa"/>
            <w:vAlign w:val="bottom"/>
            <w:gridSpan w:val="2"/>
          </w:tcPr>
          <w:p>
            <w:pPr>
              <w:jc w:val="center"/>
              <w:ind w:right="200"/>
              <w:spacing w:after="0" w:line="81" w:lineRule="exact"/>
              <w:rPr>
                <w:sz w:val="20"/>
                <w:szCs w:val="20"/>
                <w:color w:val="auto"/>
              </w:rPr>
            </w:pPr>
            <w:r>
              <w:rPr>
                <w:rFonts w:ascii="Times New Roman" w:cs="Times New Roman" w:eastAsia="Times New Roman" w:hAnsi="Times New Roman"/>
                <w:sz w:val="9"/>
                <w:szCs w:val="9"/>
                <w:b w:val="1"/>
                <w:bCs w:val="1"/>
                <w:color w:val="auto"/>
              </w:rPr>
              <w:t>Comprehensive (Loss)</w:t>
            </w:r>
          </w:p>
        </w:tc>
        <w:tc>
          <w:tcPr>
            <w:tcW w:w="200" w:type="dxa"/>
            <w:vAlign w:val="bottom"/>
          </w:tcPr>
          <w:p>
            <w:pPr>
              <w:spacing w:after="0"/>
              <w:rPr>
                <w:sz w:val="7"/>
                <w:szCs w:val="7"/>
                <w:color w:val="auto"/>
              </w:rPr>
            </w:pPr>
          </w:p>
        </w:tc>
        <w:tc>
          <w:tcPr>
            <w:tcW w:w="1140" w:type="dxa"/>
            <w:vAlign w:val="bottom"/>
            <w:gridSpan w:val="2"/>
          </w:tcPr>
          <w:p>
            <w:pPr>
              <w:ind w:left="120"/>
              <w:spacing w:after="0" w:line="81"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200" w:type="dxa"/>
            <w:vAlign w:val="bottom"/>
          </w:tcPr>
          <w:p>
            <w:pPr>
              <w:spacing w:after="0"/>
              <w:rPr>
                <w:sz w:val="7"/>
                <w:szCs w:val="7"/>
                <w:color w:val="auto"/>
              </w:rPr>
            </w:pPr>
          </w:p>
        </w:tc>
        <w:tc>
          <w:tcPr>
            <w:tcW w:w="1040" w:type="dxa"/>
            <w:vAlign w:val="bottom"/>
          </w:tcPr>
          <w:p>
            <w:pPr>
              <w:jc w:val="center"/>
              <w:ind w:right="139"/>
              <w:spacing w:after="0" w:line="81"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200" w:type="dxa"/>
            <w:vAlign w:val="bottom"/>
          </w:tcPr>
          <w:p>
            <w:pPr>
              <w:spacing w:after="0"/>
              <w:rPr>
                <w:sz w:val="13"/>
                <w:szCs w:val="13"/>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3"/>
                <w:szCs w:val="13"/>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6"/>
        </w:trPr>
        <w:tc>
          <w:tcPr>
            <w:tcW w:w="41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2019</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27,255</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648,669</w:t>
            </w: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(244,026)</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405,008</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81"/>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 net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0" w:type="dxa"/>
            <w:vAlign w:val="bottom"/>
          </w:tcPr>
          <w:p>
            <w:pPr>
              <w:spacing w:after="0"/>
              <w:rPr>
                <w:sz w:val="1"/>
                <w:szCs w:val="1"/>
                <w:color w:val="auto"/>
              </w:rPr>
            </w:pPr>
          </w:p>
        </w:tc>
      </w:tr>
      <w:tr>
        <w:trPr>
          <w:trHeight w:val="181"/>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(8,262)</w:t>
            </w:r>
          </w:p>
        </w:tc>
        <w:tc>
          <w:tcPr>
            <w:tcW w:w="0" w:type="dxa"/>
            <w:vAlign w:val="bottom"/>
          </w:tcPr>
          <w:p>
            <w:pPr>
              <w:spacing w:after="0"/>
              <w:rPr>
                <w:sz w:val="1"/>
                <w:szCs w:val="1"/>
                <w:color w:val="auto"/>
              </w:rPr>
            </w:pPr>
          </w:p>
        </w:tc>
      </w:tr>
      <w:tr>
        <w:trPr>
          <w:trHeight w:val="163"/>
        </w:trPr>
        <w:tc>
          <w:tcPr>
            <w:tcW w:w="4120" w:type="dxa"/>
            <w:vAlign w:val="bottom"/>
            <w:tcBorders>
              <w:bottom w:val="single" w:sz="8" w:color="CFF0FC"/>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Balance, March 31, 2020</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27,277</w:t>
            </w:r>
          </w:p>
        </w:tc>
        <w:tc>
          <w:tcPr>
            <w:tcW w:w="10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651,680</w:t>
            </w:r>
          </w:p>
        </w:tc>
        <w:tc>
          <w:tcPr>
            <w:tcW w:w="1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1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(252,288)</w:t>
            </w:r>
          </w:p>
        </w:tc>
        <w:tc>
          <w:tcPr>
            <w:tcW w:w="1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400,564</w:t>
            </w:r>
          </w:p>
        </w:tc>
        <w:tc>
          <w:tcPr>
            <w:tcW w:w="0" w:type="dxa"/>
            <w:vAlign w:val="bottom"/>
          </w:tcPr>
          <w:p>
            <w:pPr>
              <w:spacing w:after="0"/>
              <w:rPr>
                <w:sz w:val="1"/>
                <w:szCs w:val="1"/>
                <w:color w:val="auto"/>
              </w:rPr>
            </w:pPr>
          </w:p>
        </w:tc>
      </w:tr>
      <w:tr>
        <w:trPr>
          <w:trHeight w:val="175"/>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2,741</w:t>
            </w:r>
          </w:p>
        </w:tc>
        <w:tc>
          <w:tcPr>
            <w:tcW w:w="0" w:type="dxa"/>
            <w:vAlign w:val="bottom"/>
          </w:tcPr>
          <w:p>
            <w:pPr>
              <w:spacing w:after="0"/>
              <w:rPr>
                <w:sz w:val="1"/>
                <w:szCs w:val="1"/>
                <w:color w:val="auto"/>
              </w:rPr>
            </w:pPr>
          </w:p>
        </w:tc>
      </w:tr>
      <w:tr>
        <w:trPr>
          <w:trHeight w:val="181"/>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Comprehensive loss, net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(21,548)</w:t>
            </w:r>
          </w:p>
        </w:tc>
        <w:tc>
          <w:tcPr>
            <w:tcW w:w="0" w:type="dxa"/>
            <w:vAlign w:val="bottom"/>
          </w:tcPr>
          <w:p>
            <w:pPr>
              <w:spacing w:after="0"/>
              <w:rPr>
                <w:sz w:val="1"/>
                <w:szCs w:val="1"/>
                <w:color w:val="auto"/>
              </w:rPr>
            </w:pPr>
          </w:p>
        </w:tc>
      </w:tr>
      <w:tr>
        <w:trPr>
          <w:trHeight w:val="175"/>
        </w:trPr>
        <w:tc>
          <w:tcPr>
            <w:tcW w:w="41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2020</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27,287</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654,492</w:t>
            </w: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(273,836)</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381,436</w:t>
            </w:r>
          </w:p>
        </w:tc>
        <w:tc>
          <w:tcPr>
            <w:tcW w:w="0" w:type="dxa"/>
            <w:vAlign w:val="bottom"/>
          </w:tcPr>
          <w:p>
            <w:pPr>
              <w:spacing w:after="0"/>
              <w:rPr>
                <w:sz w:val="1"/>
                <w:szCs w:val="1"/>
                <w:color w:val="auto"/>
              </w:rPr>
            </w:pPr>
          </w:p>
        </w:tc>
      </w:tr>
      <w:tr>
        <w:trPr>
          <w:trHeight w:val="163"/>
        </w:trPr>
        <w:tc>
          <w:tcPr>
            <w:tcW w:w="41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Shares issued under employee stock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181"/>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2,805</w:t>
            </w:r>
          </w:p>
        </w:tc>
        <w:tc>
          <w:tcPr>
            <w:tcW w:w="0" w:type="dxa"/>
            <w:vAlign w:val="bottom"/>
          </w:tcPr>
          <w:p>
            <w:pPr>
              <w:spacing w:after="0"/>
              <w:rPr>
                <w:sz w:val="1"/>
                <w:szCs w:val="1"/>
                <w:color w:val="auto"/>
              </w:rPr>
            </w:pPr>
          </w:p>
        </w:tc>
      </w:tr>
      <w:tr>
        <w:trPr>
          <w:trHeight w:val="170"/>
        </w:trPr>
        <w:tc>
          <w:tcPr>
            <w:tcW w:w="412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 net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0" w:type="dxa"/>
            <w:vAlign w:val="bottom"/>
          </w:tcPr>
          <w:p>
            <w:pPr>
              <w:spacing w:after="0"/>
              <w:rPr>
                <w:sz w:val="1"/>
                <w:szCs w:val="1"/>
                <w:color w:val="auto"/>
              </w:rPr>
            </w:pPr>
          </w:p>
        </w:tc>
      </w:tr>
      <w:tr>
        <w:trPr>
          <w:trHeight w:val="181"/>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(23,767)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(23,767)</w:t>
            </w:r>
          </w:p>
        </w:tc>
        <w:tc>
          <w:tcPr>
            <w:tcW w:w="0" w:type="dxa"/>
            <w:vAlign w:val="bottom"/>
          </w:tcPr>
          <w:p>
            <w:pPr>
              <w:spacing w:after="0"/>
              <w:rPr>
                <w:sz w:val="1"/>
                <w:szCs w:val="1"/>
                <w:color w:val="auto"/>
              </w:rPr>
            </w:pPr>
          </w:p>
        </w:tc>
      </w:tr>
      <w:tr>
        <w:trPr>
          <w:trHeight w:val="163"/>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September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27,346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657,560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(297,603)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360,243</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7"/>
                <w:szCs w:val="7"/>
                <w:color w:val="auto"/>
              </w:rPr>
            </w:pPr>
          </w:p>
        </w:tc>
        <w:tc>
          <w:tcPr>
            <w:tcW w:w="1080" w:type="dxa"/>
            <w:vAlign w:val="bottom"/>
            <w:gridSpan w:val="2"/>
          </w:tcPr>
          <w:p>
            <w:pPr>
              <w:jc w:val="center"/>
              <w:ind w:right="300"/>
              <w:spacing w:after="0" w:line="81" w:lineRule="exact"/>
              <w:rPr>
                <w:sz w:val="20"/>
                <w:szCs w:val="20"/>
                <w:color w:val="auto"/>
              </w:rPr>
            </w:pPr>
            <w:r>
              <w:rPr>
                <w:rFonts w:ascii="Times New Roman" w:cs="Times New Roman" w:eastAsia="Times New Roman" w:hAnsi="Times New Roman"/>
                <w:sz w:val="9"/>
                <w:szCs w:val="9"/>
                <w:b w:val="1"/>
                <w:bCs w:val="1"/>
                <w:color w:val="auto"/>
              </w:rPr>
              <w:t>Paid-in</w:t>
            </w:r>
          </w:p>
        </w:tc>
        <w:tc>
          <w:tcPr>
            <w:tcW w:w="80" w:type="dxa"/>
            <w:vAlign w:val="bottom"/>
          </w:tcPr>
          <w:p>
            <w:pPr>
              <w:spacing w:after="0"/>
              <w:rPr>
                <w:sz w:val="7"/>
                <w:szCs w:val="7"/>
                <w:color w:val="auto"/>
              </w:rPr>
            </w:pPr>
          </w:p>
        </w:tc>
        <w:tc>
          <w:tcPr>
            <w:tcW w:w="1240" w:type="dxa"/>
            <w:vAlign w:val="bottom"/>
            <w:gridSpan w:val="2"/>
          </w:tcPr>
          <w:p>
            <w:pPr>
              <w:jc w:val="center"/>
              <w:ind w:right="180"/>
              <w:spacing w:after="0" w:line="81" w:lineRule="exact"/>
              <w:rPr>
                <w:sz w:val="20"/>
                <w:szCs w:val="20"/>
                <w:color w:val="auto"/>
              </w:rPr>
            </w:pPr>
            <w:r>
              <w:rPr>
                <w:rFonts w:ascii="Times New Roman" w:cs="Times New Roman" w:eastAsia="Times New Roman" w:hAnsi="Times New Roman"/>
                <w:sz w:val="9"/>
                <w:szCs w:val="9"/>
                <w:b w:val="1"/>
                <w:bCs w:val="1"/>
                <w:color w:val="auto"/>
              </w:rPr>
              <w:t>Comprehensive (Loss)</w:t>
            </w:r>
          </w:p>
        </w:tc>
        <w:tc>
          <w:tcPr>
            <w:tcW w:w="180" w:type="dxa"/>
            <w:vAlign w:val="bottom"/>
          </w:tcPr>
          <w:p>
            <w:pPr>
              <w:spacing w:after="0"/>
              <w:rPr>
                <w:sz w:val="7"/>
                <w:szCs w:val="7"/>
                <w:color w:val="auto"/>
              </w:rPr>
            </w:pPr>
          </w:p>
        </w:tc>
        <w:tc>
          <w:tcPr>
            <w:tcW w:w="1100" w:type="dxa"/>
            <w:vAlign w:val="bottom"/>
            <w:gridSpan w:val="2"/>
          </w:tcPr>
          <w:p>
            <w:pPr>
              <w:ind w:left="100"/>
              <w:spacing w:after="0" w:line="81"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200" w:type="dxa"/>
            <w:vAlign w:val="bottom"/>
          </w:tcPr>
          <w:p>
            <w:pPr>
              <w:spacing w:after="0"/>
              <w:rPr>
                <w:sz w:val="7"/>
                <w:szCs w:val="7"/>
                <w:color w:val="auto"/>
              </w:rPr>
            </w:pPr>
          </w:p>
        </w:tc>
        <w:tc>
          <w:tcPr>
            <w:tcW w:w="1020" w:type="dxa"/>
            <w:vAlign w:val="bottom"/>
          </w:tcPr>
          <w:p>
            <w:pPr>
              <w:jc w:val="center"/>
              <w:ind w:right="139"/>
              <w:spacing w:after="0" w:line="81"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3"/>
                <w:szCs w:val="13"/>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80" w:type="dxa"/>
            <w:vAlign w:val="bottom"/>
          </w:tcPr>
          <w:p>
            <w:pPr>
              <w:spacing w:after="0"/>
              <w:rPr>
                <w:sz w:val="13"/>
                <w:szCs w:val="13"/>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3"/>
                <w:szCs w:val="13"/>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76"/>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2018</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26,922</w:t>
            </w:r>
          </w:p>
        </w:tc>
        <w:tc>
          <w:tcPr>
            <w:tcW w:w="1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633,251</w:t>
            </w: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(146,690)</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486,365</w:t>
            </w:r>
          </w:p>
        </w:tc>
        <w:tc>
          <w:tcPr>
            <w:tcW w:w="0" w:type="dxa"/>
            <w:vAlign w:val="bottom"/>
          </w:tcPr>
          <w:p>
            <w:pPr>
              <w:spacing w:after="0"/>
              <w:rPr>
                <w:sz w:val="1"/>
                <w:szCs w:val="1"/>
                <w:color w:val="auto"/>
              </w:rPr>
            </w:pPr>
          </w:p>
        </w:tc>
      </w:tr>
      <w:tr>
        <w:trPr>
          <w:trHeight w:val="170"/>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0" w:type="dxa"/>
            <w:vAlign w:val="bottom"/>
          </w:tcPr>
          <w:p>
            <w:pPr>
              <w:spacing w:after="0"/>
              <w:rPr>
                <w:sz w:val="1"/>
                <w:szCs w:val="1"/>
                <w:color w:val="auto"/>
              </w:rPr>
            </w:pPr>
          </w:p>
        </w:tc>
      </w:tr>
      <w:tr>
        <w:trPr>
          <w:trHeight w:val="181"/>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2,867</w:t>
            </w:r>
          </w:p>
        </w:tc>
        <w:tc>
          <w:tcPr>
            <w:tcW w:w="0" w:type="dxa"/>
            <w:vAlign w:val="bottom"/>
          </w:tcPr>
          <w:p>
            <w:pPr>
              <w:spacing w:after="0"/>
              <w:rPr>
                <w:sz w:val="1"/>
                <w:szCs w:val="1"/>
                <w:color w:val="auto"/>
              </w:rPr>
            </w:pPr>
          </w:p>
        </w:tc>
      </w:tr>
      <w:tr>
        <w:trPr>
          <w:trHeight w:val="170"/>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 net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181"/>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(22,078)</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(22,078)</w:t>
            </w:r>
          </w:p>
        </w:tc>
        <w:tc>
          <w:tcPr>
            <w:tcW w:w="0" w:type="dxa"/>
            <w:vAlign w:val="bottom"/>
          </w:tcPr>
          <w:p>
            <w:pPr>
              <w:spacing w:after="0"/>
              <w:rPr>
                <w:sz w:val="1"/>
                <w:szCs w:val="1"/>
                <w:color w:val="auto"/>
              </w:rPr>
            </w:pPr>
          </w:p>
        </w:tc>
      </w:tr>
      <w:tr>
        <w:trPr>
          <w:trHeight w:val="163"/>
        </w:trPr>
        <w:tc>
          <w:tcPr>
            <w:tcW w:w="4160" w:type="dxa"/>
            <w:vAlign w:val="bottom"/>
            <w:tcBorders>
              <w:bottom w:val="single" w:sz="8" w:color="CFF0FC"/>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Balance, March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27,006</w:t>
            </w:r>
          </w:p>
        </w:tc>
        <w:tc>
          <w:tcPr>
            <w:tcW w:w="1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636,692</w:t>
            </w:r>
          </w:p>
        </w:tc>
        <w:tc>
          <w:tcPr>
            <w:tcW w:w="10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2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(168,768)</w:t>
            </w:r>
          </w:p>
        </w:tc>
        <w:tc>
          <w:tcPr>
            <w:tcW w:w="1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468,155</w:t>
            </w: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under employee stock plans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70"/>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0" w:type="dxa"/>
            <w:vAlign w:val="bottom"/>
          </w:tcPr>
          <w:p>
            <w:pPr>
              <w:spacing w:after="0"/>
              <w:rPr>
                <w:sz w:val="1"/>
                <w:szCs w:val="1"/>
                <w:color w:val="auto"/>
              </w:rPr>
            </w:pPr>
          </w:p>
        </w:tc>
      </w:tr>
      <w:tr>
        <w:trPr>
          <w:trHeight w:val="181"/>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Comprehensive income, net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0" w:type="dxa"/>
            <w:vAlign w:val="bottom"/>
          </w:tcPr>
          <w:p>
            <w:pPr>
              <w:spacing w:after="0"/>
              <w:rPr>
                <w:sz w:val="1"/>
                <w:szCs w:val="1"/>
                <w:color w:val="auto"/>
              </w:rPr>
            </w:pPr>
          </w:p>
        </w:tc>
      </w:tr>
      <w:tr>
        <w:trPr>
          <w:trHeight w:val="170"/>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(23,962)</w:t>
            </w:r>
          </w:p>
        </w:tc>
        <w:tc>
          <w:tcPr>
            <w:tcW w:w="0" w:type="dxa"/>
            <w:vAlign w:val="bottom"/>
          </w:tcPr>
          <w:p>
            <w:pPr>
              <w:spacing w:after="0"/>
              <w:rPr>
                <w:sz w:val="1"/>
                <w:szCs w:val="1"/>
                <w:color w:val="auto"/>
              </w:rPr>
            </w:pPr>
          </w:p>
        </w:tc>
      </w:tr>
      <w:tr>
        <w:trPr>
          <w:trHeight w:val="175"/>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2019</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27,045</w:t>
            </w:r>
          </w:p>
        </w:tc>
        <w:tc>
          <w:tcPr>
            <w:tcW w:w="1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640,550</w:t>
            </w: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(192,730)</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448,421</w:t>
            </w:r>
          </w:p>
        </w:tc>
        <w:tc>
          <w:tcPr>
            <w:tcW w:w="0" w:type="dxa"/>
            <w:vAlign w:val="bottom"/>
          </w:tcPr>
          <w:p>
            <w:pPr>
              <w:spacing w:after="0"/>
              <w:rPr>
                <w:sz w:val="1"/>
                <w:szCs w:val="1"/>
                <w:color w:val="auto"/>
              </w:rPr>
            </w:pPr>
          </w:p>
        </w:tc>
      </w:tr>
      <w:tr>
        <w:trPr>
          <w:trHeight w:val="163"/>
        </w:trPr>
        <w:tc>
          <w:tcPr>
            <w:tcW w:w="41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Shares issued under employee stock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0" w:type="dxa"/>
            <w:vAlign w:val="bottom"/>
          </w:tcPr>
          <w:p>
            <w:pPr>
              <w:spacing w:after="0"/>
              <w:rPr>
                <w:sz w:val="1"/>
                <w:szCs w:val="1"/>
                <w:color w:val="auto"/>
              </w:rPr>
            </w:pPr>
          </w:p>
        </w:tc>
      </w:tr>
      <w:tr>
        <w:trPr>
          <w:trHeight w:val="181"/>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3,144</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3,144</w:t>
            </w:r>
          </w:p>
        </w:tc>
        <w:tc>
          <w:tcPr>
            <w:tcW w:w="0" w:type="dxa"/>
            <w:vAlign w:val="bottom"/>
          </w:tcPr>
          <w:p>
            <w:pPr>
              <w:spacing w:after="0"/>
              <w:rPr>
                <w:sz w:val="1"/>
                <w:szCs w:val="1"/>
                <w:color w:val="auto"/>
              </w:rPr>
            </w:pPr>
          </w:p>
        </w:tc>
      </w:tr>
      <w:tr>
        <w:trPr>
          <w:trHeight w:val="170"/>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 net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81"/>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(31,033)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(31,033)</w:t>
            </w:r>
          </w:p>
        </w:tc>
        <w:tc>
          <w:tcPr>
            <w:tcW w:w="0" w:type="dxa"/>
            <w:vAlign w:val="bottom"/>
          </w:tcPr>
          <w:p>
            <w:pPr>
              <w:spacing w:after="0"/>
              <w:rPr>
                <w:sz w:val="1"/>
                <w:szCs w:val="1"/>
                <w:color w:val="auto"/>
              </w:rPr>
            </w:pPr>
          </w:p>
        </w:tc>
      </w:tr>
      <w:tr>
        <w:trPr>
          <w:trHeight w:val="16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September 30, 2019</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27,098</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644,148</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(223,763)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420,892</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95"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FF0FC"/>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(77,073)</w:t>
            </w:r>
          </w:p>
        </w:tc>
        <w:tc>
          <w:tcPr>
            <w:tcW w:w="0" w:type="dxa"/>
            <w:vAlign w:val="bottom"/>
          </w:tcPr>
          <w:p>
            <w:pPr>
              <w:spacing w:after="0"/>
              <w:rPr>
                <w:sz w:val="1"/>
                <w:szCs w:val="1"/>
                <w:color w:val="auto"/>
              </w:rPr>
            </w:pPr>
          </w:p>
        </w:tc>
      </w:tr>
      <w:tr>
        <w:trPr>
          <w:trHeight w:val="232"/>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9,654</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Accretion/amortization of investments, net</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13,180</w:t>
            </w:r>
          </w:p>
        </w:tc>
        <w:tc>
          <w:tcPr>
            <w:tcW w:w="0" w:type="dxa"/>
            <w:vAlign w:val="bottom"/>
          </w:tcPr>
          <w:p>
            <w:pPr>
              <w:spacing w:after="0"/>
              <w:rPr>
                <w:sz w:val="1"/>
                <w:szCs w:val="1"/>
                <w:color w:val="auto"/>
              </w:rPr>
            </w:pPr>
          </w:p>
        </w:tc>
      </w:tr>
      <w:tr>
        <w:trPr>
          <w:trHeight w:val="212"/>
        </w:trPr>
        <w:tc>
          <w:tcPr>
            <w:tcW w:w="77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(51,735)</w:t>
            </w:r>
          </w:p>
        </w:tc>
        <w:tc>
          <w:tcPr>
            <w:tcW w:w="1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(53,712)</w:t>
            </w:r>
          </w:p>
        </w:tc>
        <w:tc>
          <w:tcPr>
            <w:tcW w:w="0" w:type="dxa"/>
            <w:vAlign w:val="bottom"/>
          </w:tcPr>
          <w:p>
            <w:pPr>
              <w:spacing w:after="0"/>
              <w:rPr>
                <w:sz w:val="1"/>
                <w:szCs w:val="1"/>
                <w:color w:val="auto"/>
              </w:rPr>
            </w:pPr>
          </w:p>
        </w:tc>
      </w:tr>
      <w:tr>
        <w:trPr>
          <w:trHeight w:val="19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investments</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(156,572)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(175,049)</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maturities of investments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303,146</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90,877</w:t>
            </w:r>
          </w:p>
        </w:tc>
        <w:tc>
          <w:tcPr>
            <w:tcW w:w="1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127,396</w:t>
            </w:r>
          </w:p>
        </w:tc>
        <w:tc>
          <w:tcPr>
            <w:tcW w:w="0" w:type="dxa"/>
            <w:vAlign w:val="bottom"/>
          </w:tcPr>
          <w:p>
            <w:pPr>
              <w:spacing w:after="0"/>
              <w:rPr>
                <w:sz w:val="1"/>
                <w:szCs w:val="1"/>
                <w:color w:val="auto"/>
              </w:rPr>
            </w:pPr>
          </w:p>
        </w:tc>
      </w:tr>
      <w:tr>
        <w:trPr>
          <w:trHeight w:val="19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upon the exercise of stock options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0" w:type="dxa"/>
            <w:vAlign w:val="bottom"/>
          </w:tcPr>
          <w:p>
            <w:pPr>
              <w:spacing w:after="0"/>
              <w:rPr>
                <w:sz w:val="1"/>
                <w:szCs w:val="1"/>
                <w:color w:val="auto"/>
              </w:rPr>
            </w:pPr>
          </w:p>
        </w:tc>
      </w:tr>
      <w:tr>
        <w:trPr>
          <w:trHeight w:val="212"/>
        </w:trPr>
        <w:tc>
          <w:tcPr>
            <w:tcW w:w="77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38,137</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69,302</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171,077</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113,656</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000" w:type="dxa"/>
            <w:vAlign w:val="bottom"/>
            <w:tcBorders>
              <w:bottom w:val="single" w:sz="8" w:color="auto"/>
            </w:tcBorders>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209,214</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182,958</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100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Amounts accrued for property and equipment</w:t>
            </w:r>
          </w:p>
        </w:tc>
        <w:tc>
          <w:tcPr>
            <w:tcW w:w="100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40" w:firstLine="567"/>
        <w:spacing w:after="0" w:line="256" w:lineRule="auto"/>
        <w:rPr>
          <w:sz w:val="20"/>
          <w:szCs w:val="20"/>
          <w:color w:val="auto"/>
        </w:rPr>
      </w:pPr>
      <w:r>
        <w:rPr>
          <w:rFonts w:ascii="Times New Roman" w:cs="Times New Roman" w:eastAsia="Times New Roman" w:hAnsi="Times New Roman"/>
          <w:sz w:val="18"/>
          <w:szCs w:val="18"/>
          <w:color w:val="auto"/>
        </w:rPr>
        <w:t xml:space="preserve">AnaptysBio, Inc. (“we,” “us,” “our,” or the “Company”) was incorporated in the state of Delaware in November 2005. We are a clinical-stage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and replicates this natural process of antibody generation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We currently generate revenue from milestones achieved under our collaborative research and development arrangements.</w:t>
      </w:r>
    </w:p>
    <w:p>
      <w:pPr>
        <w:spacing w:after="0" w:line="79" w:lineRule="exact"/>
        <w:rPr>
          <w:sz w:val="20"/>
          <w:szCs w:val="20"/>
          <w:color w:val="auto"/>
        </w:rPr>
      </w:pPr>
    </w:p>
    <w:p>
      <w:pPr>
        <w:ind w:right="20" w:firstLine="180"/>
        <w:spacing w:after="0" w:line="254" w:lineRule="auto"/>
        <w:rPr>
          <w:sz w:val="20"/>
          <w:szCs w:val="20"/>
          <w:color w:val="auto"/>
        </w:rPr>
      </w:pPr>
      <w:r>
        <w:rPr>
          <w:rFonts w:ascii="Times New Roman" w:cs="Times New Roman" w:eastAsia="Times New Roman" w:hAnsi="Times New Roman"/>
          <w:sz w:val="18"/>
          <w:szCs w:val="18"/>
          <w:color w:val="auto"/>
        </w:rPr>
        <w:t>Since our inception, we have devoted our primary effort to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The accompanying consolidated financial statements do not include any adjustments that might be necessary if we are unable to continue as a going concern.</w:t>
      </w:r>
    </w:p>
    <w:p>
      <w:pPr>
        <w:spacing w:after="0" w:line="296" w:lineRule="exact"/>
        <w:rPr>
          <w:sz w:val="20"/>
          <w:szCs w:val="20"/>
          <w:color w:val="auto"/>
        </w:rPr>
      </w:pPr>
    </w:p>
    <w:p>
      <w:pPr>
        <w:ind w:left="260" w:right="7680" w:hanging="252"/>
        <w:spacing w:after="0" w:line="378" w:lineRule="auto"/>
        <w:tabs>
          <w:tab w:leader="none" w:pos="19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Also, certain reclassifications have been made to 2019 financial information to conform to the current year presentation of prepaid expenses and other assets on the Consolidated Statements of Cash Flows. Operating results for the nine months ended September 30, 2020 are not necessarily indicative of the results that may be expected for the year ending December 31, 2020. Interim results are not necessarily indicative of results for a full year, particularly in light of the novel coronavirus (“COVID-19”) pandemic, and its impact on domestic and global economies. To limit the spread of COVID-19, governments have taken various actions, including the issuance of stay-at-home orders and social distancing guidelines, which have resulted in some businesses suspending operations or experiencing a reduction in demand for many products from direct or ultimate customers. Accordingly, businesses have adjusted, reduced or suspended operating activities. The effects of the stay-at-home orders and our work-from-home policies may negatively impact productivity, disrupt our business, and delay our development programs and regulatory and commercialization timelines, the magnitude of which will depend, in part, on the length and severity of the restrictions and other limitations on our ability to conduct our business in the ordinary course. Our future research and development expenses and general and administrative expenses may vary significantly if we experience an increased impact from the COVID-19 pandemic on the costs and timing associated with the conduct of our clinical trials and other related business activities. The financial statements should be read in conjunction with our audited financial statements for the year ended December 31, 2019 included in our Annual Form 10-K.</w:t>
      </w:r>
    </w:p>
    <w:p>
      <w:pPr>
        <w:spacing w:after="0" w:line="2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400" w:firstLine="445"/>
        <w:spacing w:after="0" w:line="312"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60"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it, as well as the economic impact on local, regional, national and international markets. Our actual results could differ from these estimates under different assumptions or conditions.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180"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0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2,838</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2,467</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119" w:lineRule="exact"/>
        <w:rPr>
          <w:sz w:val="20"/>
          <w:szCs w:val="20"/>
          <w:color w:val="auto"/>
        </w:rPr>
      </w:pPr>
    </w:p>
    <w:p>
      <w:pPr>
        <w:ind w:right="20" w:firstLine="567"/>
        <w:spacing w:after="0" w:line="252" w:lineRule="auto"/>
        <w:rPr>
          <w:sz w:val="20"/>
          <w:szCs w:val="20"/>
          <w:color w:val="auto"/>
        </w:rPr>
      </w:pPr>
      <w:r>
        <w:rPr>
          <w:rFonts w:ascii="Times New Roman" w:cs="Times New Roman" w:eastAsia="Times New Roman" w:hAnsi="Times New Roman"/>
          <w:sz w:val="18"/>
          <w:szCs w:val="18"/>
          <w:color w:val="auto"/>
        </w:rPr>
        <w:t xml:space="preserve">In December 2019, the Financial Accounting Standards Board (the “FASB”) issued ASU 2019-12,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intended to simplify the accounting for income taxes. The guidance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Additionally, the guidance simplifies the accounting for income taxes by: (1) requiring that an entity recognize a franchise tax (or similar tax) that is partially based on income as an income-based tax and account for any incremental amount incurred as a non-income-based tax, (2) requiring that an entity evaluate when a step up in the tax basis of goodwill should be considered part of the business combination in which the book goodwill was originally recognized and when it should be considered a separate transaction, (3) specifying that an entity is not required to allocate the consolidated amount of current and deferred tax expense to a legal entity that is not subject to tax in its separate financial statements (although the entity may elect to do so (on an entity-by-entity basis) for a legal entity that is both not subject to tax and disregarded by the taxing authority), (4) requiring that an entity reflect the effect of an enacted change in tax laws or rates in the annual effective tax rate computation in the interim period that includes the enactment date, and (5) making minor improvements for income tax accounting related to employee stock ownership plans and investments in qualified affordable housing projects accounted for using the equity method. The guidance will be effective for fiscal years and interim periods beginning after December 15, 2020. Different components of the guidance require retrospective, modified retrospective or prospective adoption, and early adoption is permitted. We early adopted this standard on January 1, 2020, and the adoption of the standard did not have a material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Measurement of Credit Losses on Financial</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Instruments (Topic 326)</w:t>
      </w:r>
      <w:r>
        <w:rPr>
          <w:rFonts w:ascii="Times New Roman" w:cs="Times New Roman" w:eastAsia="Times New Roman" w:hAnsi="Times New Roman"/>
          <w:sz w:val="18"/>
          <w:szCs w:val="18"/>
          <w:color w:val="auto"/>
        </w:rPr>
        <w:t>, which changes the accounting treatment for recognizing the impairment of financial assets. Under the new guidance,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certain types of financial instruments will be estimated based on expected losses. The new guidance also eliminates the other-than-temporary impairment model for available-for-sale (“AFS”) debt securities. Entities will begin to recognize credit losses on AFS debt securities as allowances rather than as reductions in the carrying value of the securities. Impairment that is not credit-related impairment will continue to be recognized in other comprehensive income and entities will no longer consider the length of time a security has been in an unrealized loss position when determining whether a credit loss exists. ASU 2016-13 becomes effective for annual and interim periods beginning after December 15, 2019. We adopted this standard prospectively on January 1, 2020, and the adoption of the standard did not have a material impact to our consolidated financial statements as credit losses are not expected to be significant based on historical trends, the financial condition of our investments and external market factors. We will continue to actively monitor the impact of the COVID-19 pandemic on expected credit losses.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Accounts and Supplemental Disclosures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79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1"/>
        </w:trPr>
        <w:tc>
          <w:tcPr>
            <w:tcW w:w="79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79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development and manufacturing expenses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accrued expenses</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260" w:right="6900" w:hanging="252"/>
        <w:spacing w:after="0" w:line="378" w:lineRule="auto"/>
        <w:tabs>
          <w:tab w:leader="none" w:pos="19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Collaborative Research and Development Agreements </w:t>
      </w:r>
      <w:r>
        <w:rPr>
          <w:rFonts w:ascii="Times New Roman" w:cs="Times New Roman" w:eastAsia="Times New Roman" w:hAnsi="Times New Roman"/>
          <w:sz w:val="18"/>
          <w:szCs w:val="18"/>
          <w:b w:val="1"/>
          <w:bCs w:val="1"/>
          <w:i w:val="1"/>
          <w:iCs w:val="1"/>
          <w:color w:val="auto"/>
        </w:rPr>
        <w:t>GlaxoSmithKline Collaboration</w:t>
      </w:r>
    </w:p>
    <w:p>
      <w:pPr>
        <w:ind w:right="220" w:firstLine="445"/>
        <w:spacing w:after="0" w:line="255"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(the “GSK Agreement”) with TESARO, Inc., an oncology-focused biopharmaceutical company now a part of GlaxoSmithKline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we and TESARO, Inc. entered into Amendment No. 1 to the GSK Agreement to add an antibody discovery program against an undisclosed fourth target for an upfront license fee of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For each development program, we are eligible to receive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we determined that the upfront license fees and research funding under the GSK Agreement, as amended, should be accounted for as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discovery milestones were recognized was extended through December 31, 2016 and have since been recognized in full.</w:t>
      </w:r>
    </w:p>
    <w:p>
      <w:pPr>
        <w:spacing w:after="0" w:line="8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assessed this arrangement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GSK’s inability to sub-license,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8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of September 30, 2020, the transaction price for the GSK Agreement includes the upfront payment, research reimbursement revenue, and milestones earned to date, which are allocated in their entirety to the single performance obligation. We earned and recognized two clinical milestones for $15.0 million during the nine months ended September 30, 2020.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Milestones recognized through September 30, 2020 under the GSK Agreement are as follows:</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Anti-PD-1</w:t>
            </w:r>
          </w:p>
        </w:tc>
        <w:tc>
          <w:tcPr>
            <w:tcW w:w="2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Anti-TIM-3</w:t>
            </w: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Anti-LAG-3</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2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(GSK4057190A/Dostarlimab)</w:t>
            </w:r>
          </w:p>
        </w:tc>
        <w:tc>
          <w:tcPr>
            <w:tcW w:w="2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(GSK4069889A/Cobolimab)</w:t>
            </w: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(GSK40974386)</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tcPr>
          <w:p>
            <w:pPr>
              <w:jc w:val="center"/>
              <w:ind w:left="248"/>
              <w:spacing w:after="0" w:line="12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1"/>
                <w:szCs w:val="11"/>
                <w:color w:val="auto"/>
              </w:rPr>
            </w:pP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tcPr>
          <w:p>
            <w:pPr>
              <w:jc w:val="center"/>
              <w:ind w:left="8"/>
              <w:spacing w:after="0" w:line="12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1"/>
                <w:szCs w:val="11"/>
                <w:color w:val="auto"/>
              </w:rPr>
            </w:pP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89"/>
        </w:trPr>
        <w:tc>
          <w:tcPr>
            <w:tcW w:w="3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120" w:type="dxa"/>
            <w:vAlign w:val="bottom"/>
            <w:vMerge w:val="continue"/>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12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351"/>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xml:space="preserve">Initiated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studies using good laboratory practices</w:t>
            </w:r>
          </w:p>
        </w:tc>
        <w:tc>
          <w:tcPr>
            <w:tcW w:w="860" w:type="dxa"/>
            <w:vAlign w:val="bottom"/>
            <w:vMerge w:val="restart"/>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$1.0M</w:t>
            </w:r>
          </w:p>
        </w:tc>
        <w:tc>
          <w:tcPr>
            <w:tcW w:w="1600" w:type="dxa"/>
            <w:vAlign w:val="bottom"/>
            <w:gridSpan w:val="2"/>
            <w:vMerge w:val="restart"/>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Q2'15</w:t>
            </w: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$1.0M</w:t>
            </w:r>
          </w:p>
        </w:tc>
        <w:tc>
          <w:tcPr>
            <w:tcW w:w="1340" w:type="dxa"/>
            <w:vAlign w:val="bottom"/>
            <w:gridSpan w:val="2"/>
            <w:vMerge w:val="restart"/>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rPr>
              <w:t>Q4'15</w:t>
            </w: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$1.0M</w:t>
            </w:r>
          </w:p>
        </w:tc>
        <w:tc>
          <w:tcPr>
            <w:tcW w:w="1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Q3'16</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(GLPs)</w:t>
            </w:r>
          </w:p>
        </w:tc>
        <w:tc>
          <w:tcPr>
            <w:tcW w:w="860" w:type="dxa"/>
            <w:vAlign w:val="bottom"/>
            <w:vMerge w:val="continue"/>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 clearance from the FDA</w:t>
            </w:r>
          </w:p>
        </w:tc>
        <w:tc>
          <w:tcPr>
            <w:tcW w:w="8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$4.0M</w:t>
            </w:r>
          </w:p>
        </w:tc>
        <w:tc>
          <w:tcPr>
            <w:tcW w:w="16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Q1'16</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$4.0M</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Q2'16</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$4.0M</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Q2'17</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Phase 2 clinical trial initiation</w:t>
            </w:r>
          </w:p>
        </w:tc>
        <w:tc>
          <w:tcPr>
            <w:tcW w:w="860" w:type="dxa"/>
            <w:vAlign w:val="bottom"/>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$3.0M</w:t>
            </w:r>
          </w:p>
        </w:tc>
        <w:tc>
          <w:tcPr>
            <w:tcW w:w="160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Q2'17</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$3.0M</w:t>
            </w:r>
          </w:p>
        </w:tc>
        <w:tc>
          <w:tcPr>
            <w:tcW w:w="134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4"/>
                <w:szCs w:val="14"/>
                <w:color w:val="auto"/>
              </w:rPr>
              <w:t>Q4'17</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$3.0M</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Q4'19</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Phase 3 clinical trial initiation - first indication</w:t>
            </w:r>
          </w:p>
        </w:tc>
        <w:tc>
          <w:tcPr>
            <w:tcW w:w="8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$5.0M</w:t>
            </w:r>
          </w:p>
        </w:tc>
        <w:tc>
          <w:tcPr>
            <w:tcW w:w="16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Q3'18</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Phase 3 clinical trial initiation - second indication</w:t>
            </w:r>
          </w:p>
        </w:tc>
        <w:tc>
          <w:tcPr>
            <w:tcW w:w="860" w:type="dxa"/>
            <w:vAlign w:val="bottom"/>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$5.0M</w:t>
            </w:r>
          </w:p>
        </w:tc>
        <w:tc>
          <w:tcPr>
            <w:tcW w:w="160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Q2'19</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Filing of the first NDA - first indication</w:t>
            </w:r>
          </w:p>
        </w:tc>
        <w:tc>
          <w:tcPr>
            <w:tcW w:w="8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$10.0M</w:t>
            </w:r>
          </w:p>
        </w:tc>
        <w:tc>
          <w:tcPr>
            <w:tcW w:w="16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Q1'20</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Filing of the first MAA - first indication</w:t>
            </w:r>
          </w:p>
        </w:tc>
        <w:tc>
          <w:tcPr>
            <w:tcW w:w="860" w:type="dxa"/>
            <w:vAlign w:val="bottom"/>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$5.0M</w:t>
            </w:r>
          </w:p>
        </w:tc>
        <w:tc>
          <w:tcPr>
            <w:tcW w:w="160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Q1'20</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10" w:lineRule="exact"/>
        <w:rPr>
          <w:sz w:val="20"/>
          <w:szCs w:val="20"/>
          <w:color w:val="auto"/>
        </w:rPr>
      </w:pPr>
    </w:p>
    <w:p>
      <w:pPr>
        <w:ind w:right="360" w:firstLine="567"/>
        <w:spacing w:after="0" w:line="266" w:lineRule="auto"/>
        <w:rPr>
          <w:sz w:val="20"/>
          <w:szCs w:val="20"/>
          <w:color w:val="auto"/>
        </w:rPr>
      </w:pPr>
      <w:r>
        <w:rPr>
          <w:rFonts w:ascii="Times New Roman" w:cs="Times New Roman" w:eastAsia="Times New Roman" w:hAnsi="Times New Roman"/>
          <w:sz w:val="18"/>
          <w:szCs w:val="18"/>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68"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We recognized $0 and $15.0 million in revenue under the GSK Agreement during the three and nine months ended September 30, 2020, respectively, and $0 and $5.0 million during the three and nine months ended September 30, 2019, respectively.</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Antibody Generation Agreement with Bristol-Myers Squibb</w:t>
      </w:r>
    </w:p>
    <w:p>
      <w:pPr>
        <w:spacing w:after="0" w:line="121" w:lineRule="exact"/>
        <w:rPr>
          <w:sz w:val="20"/>
          <w:szCs w:val="20"/>
          <w:color w:val="auto"/>
        </w:rPr>
      </w:pPr>
    </w:p>
    <w:p>
      <w:pPr>
        <w:ind w:right="20" w:firstLine="445"/>
        <w:spacing w:after="0" w:line="245" w:lineRule="auto"/>
        <w:rPr>
          <w:sz w:val="20"/>
          <w:szCs w:val="20"/>
          <w:color w:val="auto"/>
        </w:rPr>
      </w:pPr>
      <w:r>
        <w:rPr>
          <w:rFonts w:ascii="Times New Roman" w:cs="Times New Roman" w:eastAsia="Times New Roman" w:hAnsi="Times New Roman"/>
          <w:sz w:val="18"/>
          <w:szCs w:val="18"/>
          <w:color w:val="auto"/>
        </w:rPr>
        <w:t>In December 2011, we entered into a license and collaboration agreement (the “BMS Agreement”) with Celgene, now a part of Bristol-Myers Squibb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73" w:lineRule="exact"/>
        <w:rPr>
          <w:sz w:val="20"/>
          <w:szCs w:val="20"/>
          <w:color w:val="auto"/>
        </w:rPr>
      </w:pPr>
    </w:p>
    <w:p>
      <w:pPr>
        <w:jc w:val="both"/>
        <w:ind w:right="660" w:firstLine="445"/>
        <w:spacing w:after="0" w:line="266" w:lineRule="auto"/>
        <w:rPr>
          <w:sz w:val="20"/>
          <w:szCs w:val="20"/>
          <w:color w:val="auto"/>
        </w:rPr>
      </w:pPr>
      <w:r>
        <w:rPr>
          <w:rFonts w:ascii="Times New Roman" w:cs="Times New Roman" w:eastAsia="Times New Roman" w:hAnsi="Times New Roman"/>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68"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assessed this arrangement in accordance with ASC Topic 606 and concluded that the contract counterparty, BMS, is a customer. We identified the following material promises under the BMS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BMS, BMS’s inability to sub-license the four targets,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84" w:lineRule="exact"/>
        <w:rPr>
          <w:sz w:val="20"/>
          <w:szCs w:val="20"/>
          <w:color w:val="auto"/>
        </w:rPr>
      </w:pPr>
    </w:p>
    <w:p>
      <w:pPr>
        <w:ind w:right="180" w:firstLine="445"/>
        <w:spacing w:after="0" w:line="255" w:lineRule="auto"/>
        <w:rPr>
          <w:sz w:val="20"/>
          <w:szCs w:val="20"/>
          <w:color w:val="auto"/>
        </w:rPr>
      </w:pPr>
      <w:r>
        <w:rPr>
          <w:rFonts w:ascii="Times New Roman" w:cs="Times New Roman" w:eastAsia="Times New Roman" w:hAnsi="Times New Roman"/>
          <w:sz w:val="18"/>
          <w:szCs w:val="18"/>
          <w:color w:val="auto"/>
        </w:rPr>
        <w:t>As of September 30, 2020, the transaction price of the BMS Agreement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BMS’s efforts. Any consideration related to sales-based milestones, including royalties, will be recognized when the related sales occur as they were determined to relate predominantly to the intellectual property license granted to BMS and therefore have also been excluded from the transaction price. We will re-evaluate the transaction price in each reporting period and as uncertain events are resolved or other changes in circumstances occur.</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Milestones achieved through September 30, 2020 under the BMS Agreement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4900" w:type="dxa"/>
            <w:vAlign w:val="bottom"/>
            <w:gridSpan w:val="2"/>
          </w:tcPr>
          <w:p>
            <w:pPr>
              <w:jc w:val="center"/>
              <w:ind w:left="2548"/>
              <w:spacing w:after="0"/>
              <w:rPr>
                <w:sz w:val="20"/>
                <w:szCs w:val="20"/>
                <w:color w:val="auto"/>
              </w:rPr>
            </w:pPr>
            <w:r>
              <w:rPr>
                <w:rFonts w:ascii="Times New Roman" w:cs="Times New Roman" w:eastAsia="Times New Roman" w:hAnsi="Times New Roman"/>
                <w:sz w:val="14"/>
                <w:szCs w:val="14"/>
                <w:b w:val="1"/>
                <w:bCs w:val="1"/>
                <w:color w:val="auto"/>
              </w:rPr>
              <w:t>Anti-PD-1</w:t>
            </w:r>
          </w:p>
        </w:tc>
        <w:tc>
          <w:tcPr>
            <w:tcW w:w="0" w:type="dxa"/>
            <w:vAlign w:val="bottom"/>
          </w:tcPr>
          <w:p>
            <w:pPr>
              <w:spacing w:after="0"/>
              <w:rPr>
                <w:sz w:val="1"/>
                <w:szCs w:val="1"/>
                <w:color w:val="auto"/>
              </w:rPr>
            </w:pPr>
          </w:p>
        </w:tc>
      </w:tr>
      <w:tr>
        <w:trPr>
          <w:trHeight w:val="189"/>
        </w:trPr>
        <w:tc>
          <w:tcPr>
            <w:tcW w:w="634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2"/>
          </w:tcPr>
          <w:p>
            <w:pPr>
              <w:jc w:val="center"/>
              <w:ind w:left="2568"/>
              <w:spacing w:after="0"/>
              <w:rPr>
                <w:sz w:val="20"/>
                <w:szCs w:val="20"/>
                <w:color w:val="auto"/>
              </w:rPr>
            </w:pPr>
            <w:r>
              <w:rPr>
                <w:rFonts w:ascii="Times New Roman" w:cs="Times New Roman" w:eastAsia="Times New Roman" w:hAnsi="Times New Roman"/>
                <w:sz w:val="14"/>
                <w:szCs w:val="14"/>
                <w:b w:val="1"/>
                <w:bCs w:val="1"/>
                <w:color w:val="auto"/>
              </w:rPr>
              <w:t>(CC-90006)</w:t>
            </w:r>
          </w:p>
        </w:tc>
        <w:tc>
          <w:tcPr>
            <w:tcW w:w="0" w:type="dxa"/>
            <w:vAlign w:val="bottom"/>
          </w:tcPr>
          <w:p>
            <w:pPr>
              <w:spacing w:after="0"/>
              <w:rPr>
                <w:sz w:val="1"/>
                <w:szCs w:val="1"/>
                <w:color w:val="auto"/>
              </w:rPr>
            </w:pPr>
          </w:p>
        </w:tc>
      </w:tr>
      <w:tr>
        <w:trPr>
          <w:trHeight w:val="128"/>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3760" w:type="dxa"/>
            <w:vAlign w:val="bottom"/>
            <w:vMerge w:val="restart"/>
          </w:tcPr>
          <w:p>
            <w:pPr>
              <w:jc w:val="center"/>
              <w:ind w:left="26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center"/>
              <w:ind w:left="8"/>
              <w:spacing w:after="0" w:line="12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89"/>
        </w:trPr>
        <w:tc>
          <w:tcPr>
            <w:tcW w:w="634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11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405"/>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xml:space="preserve">Completion of first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studies using GLPs</w:t>
            </w:r>
          </w:p>
        </w:tc>
        <w:tc>
          <w:tcPr>
            <w:tcW w:w="3760" w:type="dxa"/>
            <w:vAlign w:val="bottom"/>
            <w:shd w:val="clear" w:color="auto" w:fill="CFF0FC"/>
          </w:tcPr>
          <w:p>
            <w:pPr>
              <w:jc w:val="center"/>
              <w:ind w:left="2668"/>
              <w:spacing w:after="0"/>
              <w:rPr>
                <w:sz w:val="20"/>
                <w:szCs w:val="20"/>
                <w:color w:val="auto"/>
              </w:rPr>
            </w:pPr>
            <w:r>
              <w:rPr>
                <w:rFonts w:ascii="Times New Roman" w:cs="Times New Roman" w:eastAsia="Times New Roman" w:hAnsi="Times New Roman"/>
                <w:sz w:val="14"/>
                <w:szCs w:val="14"/>
                <w:color w:val="auto"/>
              </w:rPr>
              <w:t>$0.5M</w:t>
            </w:r>
          </w:p>
        </w:tc>
        <w:tc>
          <w:tcPr>
            <w:tcW w:w="114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Q2'16</w:t>
            </w:r>
          </w:p>
        </w:tc>
        <w:tc>
          <w:tcPr>
            <w:tcW w:w="0" w:type="dxa"/>
            <w:vAlign w:val="bottom"/>
          </w:tcPr>
          <w:p>
            <w:pPr>
              <w:spacing w:after="0"/>
              <w:rPr>
                <w:sz w:val="1"/>
                <w:szCs w:val="1"/>
                <w:color w:val="auto"/>
              </w:rPr>
            </w:pPr>
          </w:p>
        </w:tc>
      </w:tr>
      <w:tr>
        <w:trPr>
          <w:trHeight w:val="188"/>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Phase 1 clinical trial initiation</w:t>
            </w:r>
          </w:p>
        </w:tc>
        <w:tc>
          <w:tcPr>
            <w:tcW w:w="3760" w:type="dxa"/>
            <w:vAlign w:val="bottom"/>
          </w:tcPr>
          <w:p>
            <w:pPr>
              <w:jc w:val="center"/>
              <w:ind w:left="2668"/>
              <w:spacing w:after="0"/>
              <w:rPr>
                <w:sz w:val="20"/>
                <w:szCs w:val="20"/>
                <w:color w:val="auto"/>
              </w:rPr>
            </w:pPr>
            <w:r>
              <w:rPr>
                <w:rFonts w:ascii="Times New Roman" w:cs="Times New Roman" w:eastAsia="Times New Roman" w:hAnsi="Times New Roman"/>
                <w:sz w:val="14"/>
                <w:szCs w:val="14"/>
                <w:color w:val="auto"/>
              </w:rPr>
              <w:t>$1.0M</w:t>
            </w:r>
          </w:p>
        </w:tc>
        <w:tc>
          <w:tcPr>
            <w:tcW w:w="11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Q4'16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firstLine="567"/>
        <w:spacing w:after="0" w:line="282" w:lineRule="auto"/>
        <w:rPr>
          <w:sz w:val="20"/>
          <w:szCs w:val="20"/>
          <w:color w:val="auto"/>
        </w:rPr>
      </w:pPr>
      <w:r>
        <w:rPr>
          <w:rFonts w:ascii="Times New Roman" w:cs="Times New Roman" w:eastAsia="Times New Roman" w:hAnsi="Times New Roman"/>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revenue recognized under this agreement during the three and 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 Payable</w:t>
      </w:r>
    </w:p>
    <w:p>
      <w:pPr>
        <w:spacing w:after="0" w:line="121"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68" w:lineRule="exact"/>
        <w:rPr>
          <w:sz w:val="20"/>
          <w:szCs w:val="20"/>
          <w:color w:val="auto"/>
        </w:rPr>
      </w:pPr>
    </w:p>
    <w:p>
      <w:pPr>
        <w:ind w:right="80" w:firstLine="445"/>
        <w:spacing w:after="0" w:line="270" w:lineRule="auto"/>
        <w:rPr>
          <w:sz w:val="20"/>
          <w:szCs w:val="20"/>
          <w:color w:val="auto"/>
        </w:rPr>
      </w:pPr>
      <w:r>
        <w:rPr>
          <w:rFonts w:ascii="Times New Roman" w:cs="Times New Roman" w:eastAsia="Times New Roman" w:hAnsi="Times New Roman"/>
          <w:sz w:val="17"/>
          <w:szCs w:val="17"/>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w:t>
      </w:r>
    </w:p>
    <w:p>
      <w:pPr>
        <w:spacing w:after="0" w:line="3" w:lineRule="exact"/>
        <w:rPr>
          <w:sz w:val="20"/>
          <w:szCs w:val="20"/>
          <w:color w:val="auto"/>
        </w:rPr>
      </w:pPr>
    </w:p>
    <w:p>
      <w:pPr>
        <w:jc w:val="both"/>
        <w:ind w:firstLine="8"/>
        <w:spacing w:after="0" w:line="25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interest rate for each Term Loan. The Term B Loans and the Term C Loans were drawn on December 30, 2016, and Term A, B and C Loans are now collectively referred to as the Term Loans. Principal repayments began in February 2018, and the Term Loans were paid in full, without penalty or premium, on January 1, 2020.</w:t>
      </w:r>
    </w:p>
    <w:p>
      <w:pPr>
        <w:spacing w:after="0" w:line="78"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costs incurred to issue the Term Loans were deferred and were included in the discount to the carrying value of the Term Loans in the accompanying balance sheet. The Term Loans also included a final payment fee of $0.8 million due at the earlier of prepayment or the maturity date of the Term Loans. The deferred costs and the final payment fee were amortized to interest expense over the expected term of the Term A Loans using the effective interest method.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 and Available for Sale Investments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restricted cash, short-term and long-term investments, receivables, accounts payable, and notes payable. Certain of our financial assets and liabilities have been recorded at fair value in the consolidated balance sheet in accordance with the accounting standards for fair value measurements.</w:t>
      </w:r>
    </w:p>
    <w:p>
      <w:pPr>
        <w:spacing w:after="0" w:line="6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Market</w:t>
            </w: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12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Prices for</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8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4"/>
        </w:trPr>
        <w:tc>
          <w:tcPr>
            <w:tcW w:w="20" w:type="dxa"/>
            <w:vAlign w:val="bottom"/>
            <w:tcBorders>
              <w:top w:val="single" w:sz="8" w:color="CFF0FC"/>
            </w:tcBorders>
            <w:shd w:val="clear" w:color="auto" w:fill="CFF0FC"/>
          </w:tcPr>
          <w:p>
            <w:pPr>
              <w:spacing w:after="0"/>
              <w:rPr>
                <w:sz w:val="16"/>
                <w:szCs w:val="16"/>
                <w:color w:val="auto"/>
              </w:rPr>
            </w:pPr>
          </w:p>
        </w:tc>
        <w:tc>
          <w:tcPr>
            <w:tcW w:w="4840" w:type="dxa"/>
            <w:vAlign w:val="bottom"/>
            <w:tcBorders>
              <w:top w:val="single" w:sz="8" w:color="CFF0FC"/>
            </w:tcBorders>
            <w:gridSpan w:val="3"/>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At September 30, 2020</w:t>
            </w:r>
          </w:p>
        </w:tc>
        <w:tc>
          <w:tcPr>
            <w:tcW w:w="36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FF0FC"/>
            </w:tcBorders>
          </w:tcPr>
          <w:p>
            <w:pPr>
              <w:spacing w:after="0"/>
              <w:rPr>
                <w:sz w:val="21"/>
                <w:szCs w:val="21"/>
                <w:color w:val="auto"/>
              </w:rPr>
            </w:pPr>
          </w:p>
        </w:tc>
        <w:tc>
          <w:tcPr>
            <w:tcW w:w="1740" w:type="dxa"/>
            <w:vAlign w:val="bottom"/>
            <w:tcBorders>
              <w:top w:val="single" w:sz="8" w:color="auto"/>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100" w:type="dxa"/>
            <w:vAlign w:val="bottom"/>
            <w:tcBorders>
              <w:top w:val="single" w:sz="8" w:color="CFF0FC"/>
            </w:tcBorders>
          </w:tcPr>
          <w:p>
            <w:pPr>
              <w:spacing w:after="0"/>
              <w:rPr>
                <w:sz w:val="21"/>
                <w:szCs w:val="21"/>
                <w:color w:val="auto"/>
              </w:rPr>
            </w:pPr>
          </w:p>
        </w:tc>
        <w:tc>
          <w:tcPr>
            <w:tcW w:w="360" w:type="dxa"/>
            <w:vAlign w:val="bottom"/>
            <w:tcBorders>
              <w:top w:val="single" w:sz="8" w:color="CFF0FC"/>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204,678</w:t>
            </w:r>
          </w:p>
        </w:tc>
        <w:tc>
          <w:tcPr>
            <w:tcW w:w="12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204,678</w:t>
            </w:r>
          </w:p>
        </w:tc>
        <w:tc>
          <w:tcPr>
            <w:tcW w:w="10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FF0FC"/>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At December 31, 2019</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162,928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162,928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4840" w:type="dxa"/>
            <w:vAlign w:val="bottom"/>
            <w:gridSpan w:val="3"/>
            <w:shd w:val="clear" w:color="auto" w:fill="CFF0FC"/>
          </w:tcPr>
          <w:p>
            <w:pPr>
              <w:ind w:left="40"/>
              <w:spacing w:after="0" w:line="230"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80" w:hanging="232"/>
        <w:spacing w:after="0"/>
        <w:tabs>
          <w:tab w:leader="none" w:pos="2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cash and cash equivalents or restricted cash in the accompanying consolidated balance sheets.</w:t>
      </w:r>
    </w:p>
    <w:p>
      <w:pPr>
        <w:spacing w:after="0" w:line="28" w:lineRule="exact"/>
        <w:rPr>
          <w:rFonts w:ascii="Times New Roman" w:cs="Times New Roman" w:eastAsia="Times New Roman" w:hAnsi="Times New Roman"/>
          <w:sz w:val="23"/>
          <w:szCs w:val="23"/>
          <w:color w:val="auto"/>
          <w:vertAlign w:val="superscript"/>
        </w:rPr>
      </w:pPr>
    </w:p>
    <w:p>
      <w:pPr>
        <w:ind w:left="300" w:hanging="252"/>
        <w:spacing w:after="0" w:line="194" w:lineRule="auto"/>
        <w:tabs>
          <w:tab w:leader="none" w:pos="3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short-term or long-term investments in the accompanying consolidated balance sheets depending on the respective maturity date.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97" w:lineRule="exact"/>
        <w:rPr>
          <w:sz w:val="20"/>
          <w:szCs w:val="20"/>
          <w:color w:val="auto"/>
        </w:rPr>
      </w:pPr>
    </w:p>
    <w:p>
      <w:pPr>
        <w:jc w:val="both"/>
        <w:ind w:right="2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our other financial instruments estimated as of September 30, 2020 and December 31, 2019 are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80" w:type="dxa"/>
            <w:vAlign w:val="bottom"/>
            <w:tcBorders>
              <w:bottom w:val="single" w:sz="8" w:color="auto"/>
            </w:tcBorders>
          </w:tcPr>
          <w:p>
            <w:pPr>
              <w:spacing w:after="0"/>
              <w:rPr>
                <w:sz w:val="16"/>
                <w:szCs w:val="16"/>
                <w:color w:val="auto"/>
              </w:rPr>
            </w:pPr>
          </w:p>
        </w:tc>
      </w:tr>
      <w:tr>
        <w:trPr>
          <w:trHeight w:val="163"/>
        </w:trPr>
        <w:tc>
          <w:tcPr>
            <w:tcW w:w="5220" w:type="dxa"/>
            <w:vAlign w:val="bottom"/>
          </w:tcPr>
          <w:p>
            <w:pPr>
              <w:spacing w:after="0"/>
              <w:rPr>
                <w:sz w:val="14"/>
                <w:szCs w:val="14"/>
                <w:color w:val="auto"/>
              </w:rPr>
            </w:pPr>
          </w:p>
        </w:tc>
        <w:tc>
          <w:tcPr>
            <w:tcW w:w="108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Fair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520" w:type="dxa"/>
            <w:vAlign w:val="bottom"/>
          </w:tcPr>
          <w:p>
            <w:pPr>
              <w:spacing w:after="0"/>
              <w:rPr>
                <w:sz w:val="14"/>
                <w:szCs w:val="14"/>
                <w:color w:val="auto"/>
              </w:rPr>
            </w:pPr>
          </w:p>
        </w:tc>
        <w:tc>
          <w:tcPr>
            <w:tcW w:w="88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6"/>
                <w:szCs w:val="16"/>
                <w:color w:val="auto"/>
              </w:rPr>
            </w:pPr>
          </w:p>
        </w:tc>
        <w:tc>
          <w:tcPr>
            <w:tcW w:w="8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2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080" w:type="dxa"/>
            <w:vAlign w:val="bottom"/>
            <w:tcBorders>
              <w:top w:val="single" w:sz="8" w:color="auto"/>
            </w:tcBorders>
            <w:shd w:val="clear" w:color="auto" w:fill="CFF0FC"/>
          </w:tcPr>
          <w:p>
            <w:pPr>
              <w:jc w:val="right"/>
              <w:ind w:right="90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1,365</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notes payable:</w:t>
      </w:r>
    </w:p>
    <w:p>
      <w:pPr>
        <w:spacing w:after="0" w:line="11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—We use the income approach to value the aforementioned debt instrument. We use a present value calculation to discount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94" w:lineRule="exact"/>
        <w:rPr>
          <w:sz w:val="20"/>
          <w:szCs w:val="20"/>
          <w:color w:val="auto"/>
        </w:rPr>
      </w:pPr>
    </w:p>
    <w:p>
      <w:pPr>
        <w:ind w:right="720" w:firstLine="528"/>
        <w:spacing w:after="0" w:line="282"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accounts payable, and accrued expenses approximate fair value due to their short-term nature.</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Available for Sale Investments</w:t>
      </w:r>
    </w:p>
    <w:p>
      <w:pPr>
        <w:spacing w:after="0" w:line="121"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September 30, 2020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6"/>
                <w:szCs w:val="16"/>
                <w:color w:val="auto"/>
              </w:rPr>
            </w:pP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107,159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-33655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-33655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42945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429450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94505"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-779145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-779145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ind w:left="460" w:right="220" w:hanging="412"/>
        <w:spacing w:after="0" w:line="229" w:lineRule="auto"/>
        <w:tabs>
          <w:tab w:leader="none" w:pos="29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agency securities, $0.8 million have maturity dates of less than one year and $15.0 million have a maturity date of between one to two years as of September 30, 2020.</w:t>
      </w:r>
    </w:p>
    <w:p>
      <w:pPr>
        <w:spacing w:after="0" w:line="36" w:lineRule="exact"/>
        <w:rPr>
          <w:rFonts w:ascii="Times New Roman" w:cs="Times New Roman" w:eastAsia="Times New Roman" w:hAnsi="Times New Roman"/>
          <w:sz w:val="23"/>
          <w:szCs w:val="23"/>
          <w:color w:val="auto"/>
          <w:vertAlign w:val="superscript"/>
        </w:rPr>
      </w:pPr>
    </w:p>
    <w:p>
      <w:pPr>
        <w:ind w:left="460" w:right="160" w:hanging="412"/>
        <w:spacing w:after="0" w:line="229"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certificates of deposit, $3.0 million have maturity dates of less than one year and $0.7 million have a maturity date of between one to two years as of September 30, 2020.</w:t>
      </w:r>
    </w:p>
    <w:p>
      <w:pPr>
        <w:spacing w:after="0" w:line="6" w:lineRule="exact"/>
        <w:rPr>
          <w:rFonts w:ascii="Times New Roman" w:cs="Times New Roman" w:eastAsia="Times New Roman" w:hAnsi="Times New Roman"/>
          <w:sz w:val="23"/>
          <w:szCs w:val="23"/>
          <w:color w:val="auto"/>
          <w:vertAlign w:val="superscript"/>
        </w:rPr>
      </w:pPr>
    </w:p>
    <w:p>
      <w:pPr>
        <w:ind w:left="300" w:hanging="252"/>
        <w:spacing w:after="0"/>
        <w:tabs>
          <w:tab w:leader="none" w:pos="3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of our outstanding commercial and corporate obligations have maturity dates of less than one year as of September 30, 2020.</w:t>
      </w:r>
    </w:p>
    <w:p>
      <w:pPr>
        <w:spacing w:after="0" w:line="55" w:lineRule="exact"/>
        <w:rPr>
          <w:rFonts w:ascii="Times New Roman" w:cs="Times New Roman" w:eastAsia="Times New Roman" w:hAnsi="Times New Roman"/>
          <w:sz w:val="23"/>
          <w:szCs w:val="23"/>
          <w:color w:val="auto"/>
          <w:vertAlign w:val="superscript"/>
        </w:rPr>
      </w:pPr>
    </w:p>
    <w:p>
      <w:pPr>
        <w:ind w:left="460" w:right="120" w:hanging="412"/>
        <w:spacing w:after="0" w:line="219" w:lineRule="auto"/>
        <w:tabs>
          <w:tab w:leader="none" w:pos="29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U.S. Treasury securities, $86.7 million have maturity dates of less than one year and $20.4 million have a maturity date of between one to two years as of September 30, 2020.</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gross unrealized losses and fair values for those investments that were in an unrealized loss position as</w:t>
      </w:r>
    </w:p>
    <w:p>
      <w:pPr>
        <w:spacing w:after="0" w:line="27"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of September 30, 2020 and December 31, 2019, aggregated by investment category and the length of time that individual securities have been in a continuous loss position:</w:t>
      </w: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center"/>
              <w:ind w:left="299"/>
              <w:spacing w:after="0" w:line="142"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10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89"/>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corporate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39,317</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Pr>
          <w:p>
            <w:pPr>
              <w:jc w:val="center"/>
              <w:ind w:left="259"/>
              <w:spacing w:after="0" w:line="142" w:lineRule="exact"/>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1000" w:type="dxa"/>
            <w:vAlign w:val="bottom"/>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89"/>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corporate obligations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Of the 500,000,000 shares of common stock authorized, 27,346,228 shares were issued and outstanding as of September 30, 2020. Common stock reserved for future issuance upon the exercise, issuance or conversion of the respective equity instruments at September 30, 2020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w:t>
            </w:r>
          </w:p>
        </w:tc>
        <w:tc>
          <w:tcPr>
            <w:tcW w:w="1580" w:type="dxa"/>
            <w:vAlign w:val="bottom"/>
            <w:shd w:val="clear" w:color="auto" w:fill="CCEEFF"/>
          </w:tcPr>
          <w:p>
            <w:pPr>
              <w:spacing w:after="0"/>
              <w:rPr>
                <w:sz w:val="19"/>
                <w:szCs w:val="19"/>
                <w:color w:val="auto"/>
              </w:rPr>
            </w:pPr>
          </w:p>
        </w:tc>
      </w:tr>
      <w:tr>
        <w:trPr>
          <w:trHeight w:val="229"/>
        </w:trPr>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2,876,063</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w:t>
            </w:r>
          </w:p>
        </w:tc>
        <w:tc>
          <w:tcPr>
            <w:tcW w:w="1580" w:type="dxa"/>
            <w:vAlign w:val="bottom"/>
            <w:shd w:val="clear" w:color="auto" w:fill="CCEEFF"/>
          </w:tcPr>
          <w:p>
            <w:pPr>
              <w:spacing w:after="0"/>
              <w:rPr>
                <w:sz w:val="19"/>
                <w:szCs w:val="19"/>
                <w:color w:val="auto"/>
              </w:rPr>
            </w:pPr>
          </w:p>
        </w:tc>
      </w:tr>
      <w:tr>
        <w:trPr>
          <w:trHeight w:val="243"/>
        </w:trPr>
        <w:tc>
          <w:tcPr>
            <w:tcW w:w="9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2017 Equity Incentive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3,040,085</w:t>
            </w:r>
          </w:p>
        </w:tc>
      </w:tr>
      <w:tr>
        <w:trPr>
          <w:trHeight w:val="229"/>
        </w:trPr>
        <w:tc>
          <w:tcPr>
            <w:tcW w:w="9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2017 Employee Stock Purchase Plan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997,682</w:t>
            </w:r>
          </w:p>
        </w:tc>
      </w:tr>
      <w:tr>
        <w:trPr>
          <w:trHeight w:val="22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6,913,830</w:t>
            </w:r>
          </w:p>
        </w:tc>
      </w:tr>
      <w:tr>
        <w:trPr>
          <w:trHeight w:val="20"/>
        </w:trPr>
        <w:tc>
          <w:tcPr>
            <w:tcW w:w="9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2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existing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1,090,203 shares as of January 1, 2020.</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272,550 shares as of January 1, 2020.</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Stock options granted to employees and non-employees generally vest over a four-year period while stock options granted to directors vest over a one year period. Each stock option award has a maximum term of 10 years from the date of grant, subject to earlier cancellation prior to vesting upon cessation of service to us. A summary of the activity related to stock option awards during the nine months ended September 30, 2020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4780" w:type="dxa"/>
            <w:vAlign w:val="bottom"/>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82"/>
              <w:spacing w:after="0" w:line="160"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98"/>
        </w:trPr>
        <w:tc>
          <w:tcPr>
            <w:tcW w:w="47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8"/>
        </w:trPr>
        <w:tc>
          <w:tcPr>
            <w:tcW w:w="47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3,039,880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(534,096)</w:t>
            </w:r>
          </w:p>
        </w:tc>
        <w:tc>
          <w:tcPr>
            <w:tcW w:w="2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2,876,063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6,747</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CFF0FC"/>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380" w:type="dxa"/>
            <w:vAlign w:val="bottom"/>
            <w:tcBorders>
              <w:top w:val="single" w:sz="8" w:color="CFF0FC"/>
              <w:bottom w:val="single" w:sz="8" w:color="CFF0FC"/>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FF0FC"/>
              <w:bottom w:val="single" w:sz="8" w:color="CFF0FC"/>
            </w:tcBorders>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6,365</w:t>
            </w:r>
          </w:p>
        </w:tc>
        <w:tc>
          <w:tcPr>
            <w:tcW w:w="0" w:type="dxa"/>
            <w:vAlign w:val="bottom"/>
          </w:tcPr>
          <w:p>
            <w:pPr>
              <w:spacing w:after="0" w:line="20" w:lineRule="exact"/>
              <w:rPr>
                <w:sz w:val="1"/>
                <w:szCs w:val="1"/>
                <w:color w:val="auto"/>
              </w:rPr>
            </w:pPr>
          </w:p>
        </w:tc>
      </w:tr>
      <w:tr>
        <w:trPr>
          <w:trHeight w:val="208"/>
        </w:trPr>
        <w:tc>
          <w:tcPr>
            <w:tcW w:w="4780" w:type="dxa"/>
            <w:vAlign w:val="bottom"/>
            <w:vMerge w:val="continue"/>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1,355,530</w:t>
            </w:r>
          </w:p>
        </w:tc>
        <w:tc>
          <w:tcPr>
            <w:tcW w:w="26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estimated fair values of stock option awards granted to employees were determined on the date of grant using the Black-Scholes option valuation model with the following weighted-average assumptions:</w:t>
      </w:r>
    </w:p>
    <w:p>
      <w:pPr>
        <w:spacing w:after="0" w:line="53"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CFF0FC"/>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auto"/>
            </w:tcBorders>
          </w:tcPr>
          <w:p>
            <w:pPr>
              <w:spacing w:after="0"/>
              <w:rPr>
                <w:sz w:val="16"/>
                <w:szCs w:val="16"/>
                <w:color w:val="auto"/>
              </w:rPr>
            </w:pPr>
          </w:p>
        </w:tc>
      </w:tr>
      <w:tr>
        <w:trPr>
          <w:trHeight w:val="22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shd w:val="clear" w:color="auto" w:fill="CFF0FC"/>
          </w:tcPr>
          <w:p>
            <w:pPr>
              <w:spacing w:after="0"/>
              <w:rPr>
                <w:sz w:val="19"/>
                <w:szCs w:val="19"/>
                <w:color w:val="auto"/>
              </w:rPr>
            </w:pPr>
          </w:p>
        </w:tc>
        <w:tc>
          <w:tcPr>
            <w:tcW w:w="1480" w:type="dxa"/>
            <w:vAlign w:val="bottom"/>
            <w:gridSpan w:val="4"/>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Pr>
          <w:p>
            <w:pPr>
              <w:spacing w:after="0"/>
              <w:rPr>
                <w:sz w:val="19"/>
                <w:szCs w:val="19"/>
                <w:color w:val="auto"/>
              </w:rPr>
            </w:pPr>
          </w:p>
        </w:tc>
      </w:tr>
      <w:tr>
        <w:trPr>
          <w:trHeight w:val="23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12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9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43.08</w:t>
            </w:r>
          </w:p>
        </w:tc>
        <w:tc>
          <w:tcPr>
            <w:tcW w:w="260" w:type="dxa"/>
            <w:vAlign w:val="bottom"/>
            <w:shd w:val="clear" w:color="auto" w:fill="CFF0FC"/>
          </w:tcPr>
          <w:p>
            <w:pPr>
              <w:spacing w:after="0"/>
              <w:rPr>
                <w:sz w:val="19"/>
                <w:szCs w:val="19"/>
                <w:color w:val="auto"/>
              </w:rPr>
            </w:pPr>
          </w:p>
        </w:tc>
      </w:tr>
    </w:tbl>
    <w:p>
      <w:pPr>
        <w:spacing w:after="0" w:line="144"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application of the simplified method, which defines the life as the average of the contractual term of the options and the weighted-average vesting period for all option tranches. Estimated volatility incorporates historical volatility of our stock price as well as similar entities whose share prices are publicly available.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79"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consolidated statements of operations and comprehensive loss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0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7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w:t>
            </w:r>
          </w:p>
        </w:tc>
      </w:tr>
      <w:tr>
        <w:trPr>
          <w:trHeight w:val="230"/>
        </w:trPr>
        <w:tc>
          <w:tcPr>
            <w:tcW w:w="57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r>
      <w:tr>
        <w:trPr>
          <w:trHeight w:val="248"/>
        </w:trPr>
        <w:tc>
          <w:tcPr>
            <w:tcW w:w="57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9,654</w:t>
            </w: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At September 30, 2020, there was $24.8 million of unrecognized compensation cost related to unvested stock option awards, which is expected to be recognized over a remaining weighted-average vesting period of 3.03 years.</w:t>
      </w:r>
    </w:p>
    <w:p>
      <w:pPr>
        <w:spacing w:after="0" w:line="266" w:lineRule="exact"/>
        <w:rPr>
          <w:sz w:val="20"/>
          <w:szCs w:val="20"/>
          <w:color w:val="auto"/>
        </w:rPr>
      </w:pPr>
    </w:p>
    <w:p>
      <w:pPr>
        <w:ind w:left="300" w:right="8500" w:hanging="292"/>
        <w:spacing w:after="0" w:line="378" w:lineRule="auto"/>
        <w:tabs>
          <w:tab w:leader="none" w:pos="19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Operating Leases</w:t>
      </w: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have two non-cancellable office leases (the “Office Leases”), with remaining lease terms of approximately one year, each of which are classified as operating leases. Both leases expire in 2021. Only one of our leases has remaining renewal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options, which includes three options to renew for one additional year. The exercise of lease renewal options is at our sole discretion, which we currently do not anticipate exercising and as such were not recognized as part of our right-of-use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balance sheet includes our ROU assets and lease liabilities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Balance Sheet</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ROU assets</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5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costs are included in our consolidated statements of cash flow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4"/>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Borders>
              <w:bottom w:val="single" w:sz="8" w:color="CCEEFF"/>
            </w:tcBorders>
          </w:tcPr>
          <w:p>
            <w:pPr>
              <w:spacing w:after="0"/>
              <w:rPr>
                <w:sz w:val="15"/>
                <w:szCs w:val="15"/>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Cash Flow</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76"/>
        </w:trPr>
        <w:tc>
          <w:tcPr>
            <w:tcW w:w="4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September 30, 2020, the future minimum annual obligations for the Office Leases in excess of one year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283"/>
        <w:spacing w:after="0" w:line="254" w:lineRule="auto"/>
        <w:rPr>
          <w:sz w:val="20"/>
          <w:szCs w:val="20"/>
          <w:color w:val="auto"/>
        </w:rPr>
      </w:pPr>
      <w:r>
        <w:rPr>
          <w:rFonts w:ascii="Times New Roman" w:cs="Times New Roman" w:eastAsia="Times New Roman" w:hAnsi="Times New Roman"/>
          <w:sz w:val="18"/>
          <w:szCs w:val="18"/>
          <w:color w:val="auto"/>
        </w:rPr>
        <w:t>On May 4, 2020, we entered into a lease agreement (the “Lease Agreement”) with Wateridge Property Owner, LP, with respect to facilities in the building at 10770 Wateridge Circle, San Diego, California 92121. Under the Lease Agreement, we agreed to lease approximately 45,000 square feet of space in the 10770 Wateridge Circle Building for a term of 124 months, beginning on March 1, 2021 (or on such later date as described in the Lease Agreement). The terms of the Lease Agreement provide us with an option to extend the term of the lease for an additional five years, as well as a one-time option to terminate the lease after seven years with the payment of a termination fee. The monthly base rent will be $4.20 per rentable square foot and will be increased by 3% annually. Under the Lease Agreement, we are also responsible for our pro rata share of real estate taxes, building insurance, maintenance, direct expenses, and utilities. As of September 30, 2020, we have recorded $0.2 million in prepaid rent and $0.3 million as a security deposit in accordance with the terms of the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Lawsuit</w:t>
      </w:r>
    </w:p>
    <w:p>
      <w:pPr>
        <w:spacing w:after="0" w:line="121"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On March 25, 2020, a putative securities class action was filed in the United States District Court for the Southern District of California naming the Company and certain of its current or former officers as defendants. The complaint purports to assert claims under Section 10(b) of the Securities Exchange Act of 1934, as amended (the “Exchange Act”), Exchange Act Rule 10b-5, and Section 20(a) of the Exchange Act, on behalf of persons and entities who acquired our common stock between October 10, 2017 and November 7, 2019 (the “Class Period”). An amended complaint was filed on September 30, 2020 alleging that, during the Class Period, the defendants made material misrepresentations or omissions regarding our etokimab product candidate that artificially inflated our stock price. The plaintiff seeks, among other things, damages in an unspecified amount, as well as costs and expenses. We believe that the plaintiff’s allegations are without merit and intend to vigorously defend against the claims. On September 1, 2020, a related shareholder derivative complaint was filed based on allegations substantially similar to those in the class action, and asserting claims against current or former officers and directors for contribution under Sections 10(b) and 21D of the Exchange Act, breach of fiduciary duty, unjust enrichment and corporate waste. Because the Company is in the early stages of this litigation matter, we are unable to estimate a reasonably possible loss or range of loss, if any, that may result from these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w:t>
      </w:r>
    </w:p>
    <w:p>
      <w:pPr>
        <w:spacing w:after="0" w:line="1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On October 23, 2020, we entered into a confidential settlement agreement (the “Settlement Agreement”) with GSK and TESARO, Inc., and TESARO Development, Ltd. (together, “Tesaro”) to resolve the claims previously raised in the notice of breach (the “Notice”) we delivered to GSK and Tesaro on August 20, 2020. Pursuant to the Settlement Agreement, we, GSK and Tesaro agreed to the terms of the Amendment described below and a mutual release of claims relating to the Notice, the Delaware Chancery Court action related to the Notice, the Collaboration Agreement and the obligations of the parties under the Collaboration Agreement. Pursuant to the terms of the Settlement Agreement, we and Tesaro agreed to enter into the Amendment that provided GSK with freedom to conduct development and commercialization of Zejula in combination with third-party molecules.</w:t>
      </w:r>
    </w:p>
    <w:p>
      <w:pPr>
        <w:spacing w:after="0" w:line="79" w:lineRule="exact"/>
        <w:rPr>
          <w:sz w:val="20"/>
          <w:szCs w:val="20"/>
          <w:color w:val="auto"/>
        </w:rPr>
      </w:pPr>
    </w:p>
    <w:p>
      <w:pPr>
        <w:ind w:right="40" w:firstLine="486"/>
        <w:spacing w:after="0" w:line="247" w:lineRule="auto"/>
        <w:rPr>
          <w:sz w:val="20"/>
          <w:szCs w:val="20"/>
          <w:color w:val="auto"/>
        </w:rPr>
      </w:pPr>
      <w:r>
        <w:rPr>
          <w:rFonts w:ascii="Times New Roman" w:cs="Times New Roman" w:eastAsia="Times New Roman" w:hAnsi="Times New Roman"/>
          <w:sz w:val="18"/>
          <w:szCs w:val="18"/>
          <w:color w:val="auto"/>
        </w:rPr>
        <w:t xml:space="preserve">On October 23, 2020, we amended our GSK Agreement (the “Amendment”) with GSK and Tesaro. Under the Amendment, we allowed for GSK to conduct development and commercialization of Zejula and we are entitled to increased royalties upon sales of dostarlimab, an anti-PD-1 antagonist antibody under development by GSK for multiple oncological disorders, including endometrial cancer, non-small cell lung cancer, ovarian cancer, colorectal cancer and mismatch repair deficient solid tumors, equal to 8% of Net Sales (as defined in the GSK Agreement) below $1.0 billion and from 12% up to 25% of Net Sales above $1.0 billion. The Amendment also entitles us a one-time non-refundable cash payment of $60.0 million payable to us within 30 days of the date of the Amendment. Tesaro also agreed, starting January 1, 2021, to pay us a 1% royalty on all GSK and Tesaro Net Sales of Zejula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 oral, once-daily poly (ADP-ribose) polymerase (PARP) inhibitor, which has received US approval for the maintenance treatment of adult patients with advanced epithelial ovarian, fallopian tube, or primary peritoneal cancer who are in a complete or partial response to first-line platinum-based chemotherapy, and is under development for additional cancer indications. The $1.1 billion in cash milestone payments due under the GSK Agreement remain unchanged. Additionally, under the terms of the Amendment, Tesaro and GSK have agreed to certain diligence commitments with respect to the future development of dostarlimab, and the parties have agreed to review such commitments under regular joint review committee (JRC) meetings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ongoing and planned clinical trials;</w:t>
      </w:r>
    </w:p>
    <w:p>
      <w:pPr>
        <w:spacing w:after="0" w:line="27" w:lineRule="exact"/>
        <w:rPr>
          <w:rFonts w:ascii="Times New Roman" w:cs="Times New Roman" w:eastAsia="Times New Roman" w:hAnsi="Times New Roman"/>
          <w:sz w:val="18"/>
          <w:szCs w:val="18"/>
          <w:color w:val="auto"/>
        </w:rPr>
      </w:pPr>
    </w:p>
    <w:p>
      <w:pPr>
        <w:ind w:left="660" w:right="460" w:hanging="328"/>
        <w:spacing w:after="0" w:line="24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antibodies, including our lead product candidate: imsidolimab for patients with generalized pustular psoriasis (“GPP”) and palmoplantar pustulosis (“PPP”);</w:t>
      </w:r>
    </w:p>
    <w:p>
      <w:pPr>
        <w:spacing w:after="0" w:line="7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coronavirus (“COVID-19”) pandemic on our business and the United States (“U.S.”) and global economies;</w:t>
      </w:r>
    </w:p>
    <w:p>
      <w:pPr>
        <w:spacing w:after="0" w:line="117" w:lineRule="exact"/>
        <w:rPr>
          <w:rFonts w:ascii="Times New Roman" w:cs="Times New Roman" w:eastAsia="Times New Roman" w:hAnsi="Times New Roman"/>
          <w:sz w:val="18"/>
          <w:szCs w:val="18"/>
          <w:color w:val="auto"/>
        </w:rPr>
      </w:pPr>
    </w:p>
    <w:p>
      <w:pPr>
        <w:jc w:val="both"/>
        <w:ind w:left="660" w:right="3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likelihood that the clinical data generated in any study we performed, are performing, or plan to perform in a non-U.S. jurisdiction will be subsequently accepted by the </w:t>
      </w:r>
      <w:r>
        <w:rPr>
          <w:rFonts w:ascii="Times New Roman" w:cs="Times New Roman" w:eastAsia="Times New Roman" w:hAnsi="Times New Roman"/>
          <w:sz w:val="18"/>
          <w:szCs w:val="18"/>
          <w:color w:val="231F20"/>
        </w:rPr>
        <w:t>U.S. Food and Drug Administration (“FDA”)</w:t>
      </w:r>
      <w:r>
        <w:rPr>
          <w:rFonts w:ascii="Times New Roman" w:cs="Times New Roman" w:eastAsia="Times New Roman" w:hAnsi="Times New Roman"/>
          <w:sz w:val="18"/>
          <w:szCs w:val="18"/>
          <w:color w:val="auto"/>
        </w:rPr>
        <w:t xml:space="preserve"> and/or by foreign regulatory authorities outside of the jurisdiction where the study was being performed;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our collaborators to develop and commercialize our partnered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advantages of our product candidates and approaches versus those of our competitors;</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imsidolimab and our other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approved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the United Kingdom, Australia, and other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our public offerings;</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 that are consistent with our commercial objectives;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sz w:val="20"/>
          <w:szCs w:val="20"/>
          <w:color w:val="auto"/>
        </w:rPr>
      </w:pPr>
    </w:p>
    <w:p>
      <w:pPr>
        <w:jc w:val="both"/>
        <w:ind w:right="240" w:firstLine="567"/>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3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0" w:lineRule="exact"/>
        <w:rPr>
          <w:sz w:val="20"/>
          <w:szCs w:val="20"/>
          <w:color w:val="auto"/>
        </w:rPr>
      </w:pPr>
    </w:p>
    <w:p>
      <w:pPr>
        <w:ind w:right="280" w:firstLine="567"/>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80" w:lineRule="exact"/>
        <w:rPr>
          <w:sz w:val="20"/>
          <w:szCs w:val="20"/>
          <w:color w:val="auto"/>
        </w:rPr>
      </w:pPr>
    </w:p>
    <w:p>
      <w:pPr>
        <w:ind w:right="680" w:firstLine="567"/>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consolidated financial statements and related notes for the nine months ended September 30, 2020, included in Part I, Item 1 of this report and with our audited consolidated financial statements and related notes thereto for the year ended December 31, 2019 included in the Company’s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67"/>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 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(“SHM”), and replicates this natural process of antibody generation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etokimab, ANB030 and ANB032, are designed to modulate therapeutic targets that are genetically associated with human inflammatory disorders.</w:t>
      </w:r>
    </w:p>
    <w:p>
      <w:pPr>
        <w:spacing w:after="0" w:line="189" w:lineRule="exact"/>
        <w:rPr>
          <w:sz w:val="20"/>
          <w:szCs w:val="20"/>
          <w:color w:val="auto"/>
        </w:rPr>
      </w:pPr>
    </w:p>
    <w:p>
      <w:pPr>
        <w:ind w:right="100" w:firstLine="567"/>
        <w:spacing w:after="0" w:line="236" w:lineRule="auto"/>
        <w:rPr>
          <w:sz w:val="20"/>
          <w:szCs w:val="20"/>
          <w:color w:val="auto"/>
        </w:rPr>
      </w:pPr>
      <w:r>
        <w:rPr>
          <w:rFonts w:ascii="Times New Roman" w:cs="Times New Roman" w:eastAsia="Times New Roman" w:hAnsi="Times New Roman"/>
          <w:sz w:val="18"/>
          <w:szCs w:val="18"/>
          <w:color w:val="auto"/>
        </w:rPr>
        <w:t xml:space="preserve">Imsidolimab, our IL-36R antibody previously referred to as ANB019, inhibits the interleukin-36 receptor (“IL-36R”), and is being developed for the treatment of rare inflammatory diseases, including generalized pustular psoriasis (“GPP”) and palmoplantar pustulosis (“PPP”).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trial. In July 2020, the U.S. Food and Drug Administration (the “FDA”) granted Orphan Drug Designation for imsidolimab for the treatment of patients with GPP. We are conducting an open-label, multi-dose, single-arm Phase 2 clinical trial of imsidolimab in 8 GPP patients, also referred to as the GALLOP trial, where we announced positive topline data in October 2020. Six of 8 (75%) patients treated with imsidolimab monotherapy achieved the primary endpoint of improvement in the clinical global impression scale (“CGI”) on Day 29. Two of 8 (25%) patients were considered to have not met the primary endpoint because they dropped out of the trial prior to Day 29. The modified Japanese Dermatology Association Severity Index (“mJDA-SI”) score, which incorporates both dermatological and systemic aspects of GPP, decreased on average by 29% on Day 8 and 54% on Day 29. Erythema with skin pustules, which clinically defines GPP, decreased by 60% on Day 8 and 94% on Day 29. Serum c-reactive protein (“CRP”), which is an indicator of systemic inflammation, was normal (less than 5 mg/L) for 5 of the 6 patients achieving the primary endpoint on Day 29. Genotypic testing indicated homozygous wild-type IL-36RN, CARD14 and AP1S3 alleles for all 8 patients. We believe this suggests that imsidolimab may be broadly applicable to pustular diseases irrespective of genetic drivers. Anti-drug antibodies were not detected as of Day 29 in any patient. Imsidolimab was generally well-tolerated and most treatment-emergent adverse events were mild to moderate in severity and resolved without sequelae. No infusion or injection site reactions were observed. One patient dropped out of the trial due to a diagnosis of </w:t>
      </w:r>
      <w:r>
        <w:rPr>
          <w:rFonts w:ascii="Times New Roman" w:cs="Times New Roman" w:eastAsia="Times New Roman" w:hAnsi="Times New Roman"/>
          <w:sz w:val="18"/>
          <w:szCs w:val="18"/>
          <w:i w:val="1"/>
          <w:iCs w:val="1"/>
          <w:color w:val="auto"/>
        </w:rPr>
        <w:t>Staphylococcal aureus</w:t>
      </w:r>
      <w:r>
        <w:rPr>
          <w:rFonts w:ascii="Times New Roman" w:cs="Times New Roman" w:eastAsia="Times New Roman" w:hAnsi="Times New Roman"/>
          <w:sz w:val="18"/>
          <w:szCs w:val="18"/>
          <w:color w:val="auto"/>
        </w:rPr>
        <w:t xml:space="preserve">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trial, which was mild, unrelated to imsidolimab, and did not lead to study discontinuation. In September 2019, we announced from the first two patients to have completed the Day 113 treatment period under this trial, which indicated sustained efficacy in these two patients through Day 113. We plan to report full data from the GALLOP trial at a medical conference in 2021. We anticipate an FDA end-of-Phase 2 meeting during the fourth quarter of 2020 to outline the registration path of imsidolimab for the treatment of GPP.</w:t>
      </w:r>
    </w:p>
    <w:p>
      <w:pPr>
        <w:spacing w:after="0" w:line="192" w:lineRule="exact"/>
        <w:rPr>
          <w:sz w:val="20"/>
          <w:szCs w:val="20"/>
          <w:color w:val="auto"/>
        </w:rPr>
      </w:pPr>
    </w:p>
    <w:p>
      <w:pPr>
        <w:ind w:right="140" w:firstLine="567"/>
        <w:spacing w:after="0" w:line="250" w:lineRule="auto"/>
        <w:rPr>
          <w:sz w:val="20"/>
          <w:szCs w:val="20"/>
          <w:color w:val="auto"/>
        </w:rPr>
      </w:pPr>
      <w:r>
        <w:rPr>
          <w:rFonts w:ascii="Times New Roman" w:cs="Times New Roman" w:eastAsia="Times New Roman" w:hAnsi="Times New Roman"/>
          <w:sz w:val="18"/>
          <w:szCs w:val="18"/>
          <w:color w:val="auto"/>
        </w:rPr>
        <w:t>We are also conducting a randomized, double-blind, placebo-controlled approximately 50-patient multi-dose trial of imsidolimab in PPP, also referred to as the POPLAR trial, where enrollment has been completed and the trial was over-enrolled, and top-line data are anticipated in the first quarter of 2021. We also plan to initiate a global registry of GPP and PPP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also referred to as the RADIANCE study, starting in the first quarter of 2021, which we anticipate will assist in enrollment of future clinical trials.</w:t>
      </w:r>
    </w:p>
    <w:p>
      <w:pPr>
        <w:spacing w:after="0" w:line="212" w:lineRule="exact"/>
        <w:rPr>
          <w:sz w:val="20"/>
          <w:szCs w:val="20"/>
          <w:color w:val="auto"/>
        </w:rPr>
      </w:pPr>
    </w:p>
    <w:p>
      <w:pPr>
        <w:ind w:firstLine="567"/>
        <w:spacing w:after="0" w:line="238" w:lineRule="auto"/>
        <w:rPr>
          <w:sz w:val="20"/>
          <w:szCs w:val="20"/>
          <w:color w:val="auto"/>
        </w:rPr>
      </w:pPr>
      <w:r>
        <w:rPr>
          <w:rFonts w:ascii="Times New Roman" w:cs="Times New Roman" w:eastAsia="Times New Roman" w:hAnsi="Times New Roman"/>
          <w:sz w:val="18"/>
          <w:szCs w:val="18"/>
          <w:color w:val="auto"/>
        </w:rPr>
        <w:t>In addition to GPP and PPP, we anticipate initiation of Phase 2 clinical trials of imsidolimab in two additional indications: (1) skin toxicities associated with treatments with inhibitors of epidermal growth factor (“EGFRi”) and MAPK/ERK kinase (“MEKi”) and (2) ichthyosis Treatment of solid tumors with EGFRi and/or MEKI is frequently limited by the occurrence of skin toxicities, including acneiform or papulopustular rash. Recent translational data has suggested that these skin toxicities are mediated by excess IL-36 signaling, leading to IL-8-mediated cutaneous neutrophilia and acneiform rash. Based on existing claims data, approximately 60,000 patients are prescribed EGFRi and/or MEKi treatments annually, and the vast majority of these patients experience skin toxicity, which in some cases leads to dose reduction and/or discontinuation of treatment. Current standard-of-care treatments are generally ineffective in patients with the most severe grades of EGFRi and/or MEKi mediated skin toxicity. During the fourth quarter of 2020, we anticipate initiating a Phase 2 clinical trial of imsidolimab, in combination with EGFRi inhibitors, for the treatment of patients diagnosed with a certain baseline severity of skin toxicity, to assess the efficacy of imsidolimab in the treatment of this indication.</w:t>
      </w:r>
    </w:p>
    <w:p>
      <w:pPr>
        <w:spacing w:after="0" w:line="191"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Ichthyosis is a family of rare, inherited, dermatological disorders characterized by dry, scaling and thickened skin. Recent human translational studies have suggested that the underlying skin inflammation responsible for ichthyosis is mediated by dysregulated IL-36 signaling, and we believe that imsidolimab treatment may be efficacious in treatment of this condition. Approximately 6,000 patients in the United States are affected with moderate-to-severe levels of ichthyosis and no approved therapies are available for this disease. We anticipate initiating a Phase 2 clinical trial of imsidolimab in patients with certain baseline severity of ichthyosis, during the fourth quarter of 2020.</w:t>
      </w:r>
    </w:p>
    <w:p>
      <w:pPr>
        <w:spacing w:after="0" w:line="185" w:lineRule="exact"/>
        <w:rPr>
          <w:sz w:val="20"/>
          <w:szCs w:val="20"/>
          <w:color w:val="auto"/>
        </w:rPr>
      </w:pPr>
    </w:p>
    <w:p>
      <w:pPr>
        <w:ind w:right="80" w:firstLine="567"/>
        <w:spacing w:after="0" w:line="254" w:lineRule="auto"/>
        <w:rPr>
          <w:sz w:val="20"/>
          <w:szCs w:val="20"/>
          <w:color w:val="auto"/>
        </w:rPr>
      </w:pPr>
      <w:r>
        <w:rPr>
          <w:rFonts w:ascii="Times New Roman" w:cs="Times New Roman" w:eastAsia="Times New Roman" w:hAnsi="Times New Roman"/>
          <w:sz w:val="18"/>
          <w:szCs w:val="18"/>
          <w:color w:val="auto"/>
        </w:rPr>
        <w:t>Etokimab, our anti-IL-33 antibody previously referred to as ANB020, inhibits the activity of the interleukin-33 cytokine (“IL-33”), which we believe may be applicable to the treatment of respiratory disorders. We are conducting a randomized, placebo-controlled Phase 2 clinical trial of etokimab in approximately 100 adult patients with CRSwNP (a debilitating atopic disorder associated with elevated IL-33 pathway signaling), also referred to as the ECLIPSE trial. We recently reported top-line data from a week 8 interim analysis of the ECLIPSE trial. Patients dosed with etokimab every four (q4w) or eight weeks (q8w) failed to achieve statistically significant improvement in their bilateral nasal polyps score (“NPS”), an endoscopic measure of nasal occlusion, and in their sino-nasal outcome test (“SNOT-22”), a patient reported quality-of-life assessment, versus placebo at the week 8 time point. Both endpoints demonstrated statistically significant improvement over baseline levels of NPS and SNOT-22. Blood eosinophil levels, which are a biomarker of etokimab’s mechanism, demonstrated statistically significant reduction relative to baseline in both etokimab treatment arms. We intend to determine next steps for the etokimab program after reviewing week 16 primary endpoint data by year-end 2020.</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third wholly-owned program, ANB030, is an anti-PD-1 agonist antibody program designed to augment PD-1 signaling through ANB030 treatment to suppress T-cell driven human inflammatory diseases. Genetic mutations in the PD-1 pathway are known to be associated with increased susceptibility to human inflammatory diseases, and hence we believe that ANB030 is applicable to diseases where PD-1 checkpoint receptor function may be under-represented. We presented preclinical data for ANB030 at the Festival of Biologics Annual Meeting in March 2020. We initiated a Phase 1 healthy volunteer clinical trial in the first half of 2020 subsequent to clearance of our Investigational New Drug Application (“IND”) for ANB030 by the FDA, which is designed to assess the safety, pharmacokinetics and pharmacodynamics of ANB030 in single and multiple ascending dose cohorts. We anticipate top-line data from this Phase 1 clinical trial in mid-2021.</w:t>
      </w:r>
    </w:p>
    <w:p>
      <w:pPr>
        <w:spacing w:after="0" w:line="189" w:lineRule="exact"/>
        <w:rPr>
          <w:sz w:val="20"/>
          <w:szCs w:val="20"/>
          <w:color w:val="auto"/>
        </w:rPr>
      </w:pPr>
    </w:p>
    <w:p>
      <w:pPr>
        <w:ind w:right="140" w:firstLine="567"/>
        <w:spacing w:after="0" w:line="242" w:lineRule="auto"/>
        <w:rPr>
          <w:sz w:val="20"/>
          <w:szCs w:val="20"/>
          <w:color w:val="auto"/>
        </w:rPr>
      </w:pPr>
      <w:r>
        <w:rPr>
          <w:rFonts w:ascii="Times New Roman" w:cs="Times New Roman" w:eastAsia="Times New Roman" w:hAnsi="Times New Roman"/>
          <w:sz w:val="18"/>
          <w:szCs w:val="18"/>
          <w:color w:val="auto"/>
        </w:rPr>
        <w:t>Our fourth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anticipate filing an IND for ANB032 during the fourth quarter of 2020. We presented preclinical data regarding ANB032 at the 2020 Federation of Clinical Immunology Societies (FOCIS) Virtual Annual Meeting in October 2020.</w:t>
      </w:r>
    </w:p>
    <w:p>
      <w:pPr>
        <w:spacing w:after="0" w:line="185" w:lineRule="exact"/>
        <w:rPr>
          <w:sz w:val="20"/>
          <w:szCs w:val="20"/>
          <w:color w:val="auto"/>
        </w:rPr>
      </w:pPr>
    </w:p>
    <w:p>
      <w:pPr>
        <w:ind w:right="500" w:firstLine="567"/>
        <w:spacing w:after="0" w:line="242" w:lineRule="auto"/>
        <w:rPr>
          <w:sz w:val="20"/>
          <w:szCs w:val="20"/>
          <w:color w:val="auto"/>
        </w:rPr>
      </w:pPr>
      <w:r>
        <w:rPr>
          <w:rFonts w:ascii="Times New Roman" w:cs="Times New Roman" w:eastAsia="Times New Roman" w:hAnsi="Times New Roman"/>
          <w:sz w:val="18"/>
          <w:szCs w:val="18"/>
          <w:color w:val="auto"/>
        </w:rPr>
        <w:t>In addition to our wholly-owned antibody programs, multiple Company-developed antibody programs have been advanced to preclinical and clinical milestones under our collaborations. We have received to date approximately $105.0 million in cash receipts from collaborations. Our collaborations include an immuno-oncology-focused collaboration with GSK, Inc. (“GSK”) and an inflammation-focused collaboration with BMS Corporation. A Biologics License Application (“BLA”) for our most advanced partnered program, which is an anti-PD-1 antagonist antibody called dostarlimab, was submitted by GSK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0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and accepted by the FDA for the treatment of advanced or recurrent deficient mismatch repair endometrial cancer (“dMMREC”). In addition, the European Medicines Agency (“EMA”) recently accepted GSK’s Marketing Authorization Application (“MAA”) for dostarlimab in the EU for dMMREC. We received a $10.0 million cash milestone payment upon the FDA acceptance of GSK’s NDA and anticipate an additional $20.0 million cash milestone payment upon first FDA approval of dostarlimab during the fourth quarter of 2020. This FDA approval is dependent on a pre-approval inspection of the dostarlimab manufacturing site by the FDA and is therefore contingent on easing of the coronavirus (“COVID-19”) pandemic travel restrictions. We also received a $5.0 million milestone payment for the EMA acceptance of GSK’s MAA and anticipate an additional $10.0 million cash milestone payment upon EMA approval. In addition, GSK anticipates submitting a regulatory filing for potential approval of dostarlimab in a second indication, the treatment of pan-deficient mismatch repair tumors, during the first half of 2021.We anticipate receiving additional milestones from GSK, of equal magnitude to the milestone payments outlined above, upon acceptance and approval of BLA and EMA filings of dostarlimab for this second indication. Depending upon the timing of the aforementioned dostarlimab regulatory acceptance and approval milestones, we anticipate a total of $75.0 million in such milestone payments over the upcoming 18 months. An additional $165.0 million in sales milestones is anticipated upon achievement of certain dostarlimab annual sales revenues. Dostarlimab is also under development at GSK for a number of oncological indications, including endometrial cancer, non-small cell lung cancer, ovarian cancer, colorectal cancer and mismatch repair deficient solid tumors. In October 2020, we amended our GSK collaboration to increase royalties on global net sales of dostarlimab to 8-25%, add a royalty to GSK’s global net sales of Zejula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a one-time cash payment of $60.0 million. For more information about these collaborations, see Part I-Note 4, Collaborative Research and Development Agreements, and Part I-Note 10, Subsequent Event above.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85725</wp:posOffset>
            </wp:positionV>
            <wp:extent cx="5863590" cy="3694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6359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addition, in December 2019, a strain of coronavirus was reported in Wuhan, China and began to spread globally, including to the United States and Europe, in the following months. The World Health Organization has declared COVID-19 to be a pandemic and a public health emergency of international concern. The full impact of the COVID-19 pandemic is inherently uncertain at the time of this Quarterly Report. The COVID-19 pandemic has resulted in travel restrictions and, in some cases, prohibitions of non-essential activities, disruption and shutdown of businesses, and greater uncertainty in global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3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financial markets. As COVID-19 has spread, it has significantly impacted the health and economic environment around the world, and many governments have closed most public establishments, including restaurants, workplaces, and schools. Our ongoing clinical trials have been, and may continue to be, affected by the closure of offices, or country borders, among other measures being put in place around the world. The inability to travel and conduct face-to-face meetings can also make it more difficult to enroll new patients in ongoing or planned clinical trials. Any of these circumstances will potentially have a negative impact on our financial results and the timing of our clinical trials.</w:t>
      </w:r>
    </w:p>
    <w:p>
      <w:pPr>
        <w:spacing w:after="0" w:line="75"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patients, and business partners.</w:t>
      </w:r>
    </w:p>
    <w:p>
      <w:pPr>
        <w:spacing w:after="0" w:line="68"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extent of the impact of the COVID-19 pandemic on our future liquidity and operational performance will depend on certain developments, including the duration and spread of the outbreak, the impact on our trials, patients, and collaboration partners, and the effect on our suppliers.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jc w:val="both"/>
        <w:ind w:right="200" w:firstLine="445"/>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Our revenue has been derived from amortization of upfront license payments, research and development funding and milestone payments under collaboration and license agreements with our collaborators. From inception through September 30, 2020, we have received $104.6 million in cash in non-dilutive funding from our collaborators.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54" w:lineRule="exact"/>
        <w:rPr>
          <w:sz w:val="20"/>
          <w:szCs w:val="20"/>
          <w:color w:val="auto"/>
        </w:rPr>
      </w:pPr>
    </w:p>
    <w:p>
      <w:pPr>
        <w:ind w:left="900" w:hanging="406"/>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117" w:lineRule="exact"/>
        <w:rPr>
          <w:rFonts w:ascii="Times New Roman" w:cs="Times New Roman" w:eastAsia="Times New Roman" w:hAnsi="Times New Roman"/>
          <w:sz w:val="18"/>
          <w:szCs w:val="18"/>
          <w:color w:val="auto"/>
        </w:rPr>
      </w:pPr>
    </w:p>
    <w:p>
      <w:pPr>
        <w:ind w:left="900" w:right="580" w:hanging="406"/>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225"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54"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and pharmacology studies, drug product manufacturing, and clinical trials.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completed Phase 1 and 2a clinical trials for etokimab and Phase 1 clinical trials for imsidolimab and have ongoing Phase 2 clinical trials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Interest expense consists of floating interest payments and amortization of discounts on our outstanding notes payable relating to our Loan and Security Agreement with Oxford Finance LLC and Silicon Valley Bank, as amended (the “Loan Agreement”). On January 1, 2020, the Loan Agreement was paid in full, without penalty or premium.</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March 2, 2020.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the Three and Nine Months Ended September 30, 2020 and 2019</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recognized $0 million and $15.0 million in collaboration revenue for the three and nine months ended September 30, 2020, respectively, related to two milestone payments associated with dostarlimab, the anti-PD-1 antagonist antibody partnered with GSK. The first milestone payment was for $10.0 million for successful filing of the first NDA in a first indication and the second milestone payment was for $5.0 million for successful filing of the first MAA in a first indication. We recognized $0 million and $5.0 million for the three and nine months ended September 30, 2019, respectively related to a milestone payment for the initiation of a Phase 3 clinical trial in a second indication for dostarlimab, the anti-PD-1 antagonist antibody. We expect that any collaboration revenue we generate will continue to fluctuate from period to period as a result of the timing and amount of milestones from our existing collaborations.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$19.5 million during the three months ended September 30, 2020 compared to $29.9 million during the three months ended September 30, 2019 for a decrease of $10.4 million, primarily due to a $7.8 million decrease in outside services for manufacturing expenses, $1.8 million decrease in clinical expenses, $0.7 million decrease in salaries and related expenses, including stock compensation expense, and a $0.1 million decrease in other research and development expenses.</w:t>
      </w:r>
    </w:p>
    <w:p>
      <w:pPr>
        <w:spacing w:after="0" w:line="72"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$58.5 million during the nine months ended September 30, 2020 compared to $77.9 million during the nine months ended September 30, 2019 for a decrease of $19.4 million, primarily due to a $15.2 million decrease in outside services for manufacturing expenses, $2.3 million decrease in clinical expenses,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salaries and related expenses, including stock compensation expense, and a $0.2 million decrease in other research and development expenses.</w:t>
      </w:r>
    </w:p>
    <w:p>
      <w:pPr>
        <w:spacing w:after="0" w:line="11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9"/>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3"/>
        </w:trPr>
        <w:tc>
          <w:tcPr>
            <w:tcW w:w="40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Costs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Imsidolimab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14,382</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Etokimab</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(19,609)</w:t>
            </w:r>
          </w:p>
        </w:tc>
      </w:tr>
      <w:tr>
        <w:trPr>
          <w:trHeight w:val="230"/>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ANB030</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r>
      <w:tr>
        <w:trPr>
          <w:trHeight w:val="22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External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77,912</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w:t>
            </w: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40" w:firstLine="567"/>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$4.8 million during the three months ended September 30, 2020 compared to $3.8 million during the three months ended September 30, 2019 for an increase of $1.0 million, primarily due to a $0.5 million increase in personnel costs including stock compensation expense, $0.5 million increase in legal expenses and $0.2 million increase in insurance expense, offset by a $0.2 million decrease in professional fees.</w:t>
      </w:r>
    </w:p>
    <w:p>
      <w:pPr>
        <w:spacing w:after="0" w:line="72" w:lineRule="exact"/>
        <w:rPr>
          <w:sz w:val="20"/>
          <w:szCs w:val="20"/>
          <w:color w:val="auto"/>
        </w:rPr>
      </w:pPr>
    </w:p>
    <w:p>
      <w:pPr>
        <w:ind w:right="20" w:firstLine="567"/>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$13.8 million during the nine months ended September 30, 2020 compared to $12.3 million during the nine months ended September 30, 2019 for an increase of $1.5 million, primarily due to a $1.0 million increase in legal expenses, $0.5 million increase in insurance expense and $0.4 million increase in personnel costs including stock compensation expense, offset by a $0.3 million decrease in professional fees and $0.1 million decrease in travel expenses.</w:t>
      </w:r>
    </w:p>
    <w:p>
      <w:pPr>
        <w:spacing w:after="0" w:line="72"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Interest expense was $0 for both the three and nine months ended September 30, 2020, and $0.2 million and $0.8 million during the three and nine months ended September 30, 2019, respectively. The decrease in interest expense during the periods is due to the final payment made on the Loan Agreement on January 1, 2020.</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Interest income was $0.6 million and $3.6 million during the three and nine months ended September 30, 2020, respectively, and was $2.8 million and $8.7 million during the three and nine months ended September 30, 2019, respectively, which primarily related to our short-term and long-term investments, the balance of which decreased during the periods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result of funding our clinical trial programs. The decrease in interest income is also attributable to lower interest rates during the three and nine months ended September 30, 2020.</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Other income (expense), net was expense of less than $0.1 million and income of less than $0.1 million for the three and nine months ended September 30, 2020, respectively, and income of $0.1 million for both the three and nine months ended September 30, 2019, respectively, and primarily related to foreign exchange transactions through our Australian subsidiary and with our foreign CROs and CMOs.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320" w:firstLine="445"/>
        <w:spacing w:after="0" w:line="266" w:lineRule="auto"/>
        <w:rPr>
          <w:sz w:val="20"/>
          <w:szCs w:val="20"/>
          <w:color w:val="auto"/>
        </w:rPr>
      </w:pPr>
      <w:r>
        <w:rPr>
          <w:rFonts w:ascii="Times New Roman" w:cs="Times New Roman" w:eastAsia="Times New Roman" w:hAnsi="Times New Roman"/>
          <w:sz w:val="18"/>
          <w:szCs w:val="18"/>
          <w:color w:val="auto"/>
        </w:rPr>
        <w:t>From our inception through September 30, 2020, we have received an aggregate of $743.9 million to fund our operations, which included $620.2 million from the sale of equity securities, $104.6 million from our collaboration agreements and $19.1 million from venture debt. As of September 30, 2020, we had $374.5 million in cash, cash equivalents and investments.</w:t>
      </w:r>
    </w:p>
    <w:p>
      <w:pPr>
        <w:spacing w:after="0" w:line="68"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75" w:lineRule="exact"/>
        <w:rPr>
          <w:sz w:val="20"/>
          <w:szCs w:val="20"/>
          <w:color w:val="auto"/>
        </w:rPr>
      </w:pPr>
    </w:p>
    <w:p>
      <w:pPr>
        <w:ind w:right="100" w:firstLine="445"/>
        <w:spacing w:after="0" w:line="245" w:lineRule="auto"/>
        <w:rPr>
          <w:sz w:val="20"/>
          <w:szCs w:val="20"/>
          <w:color w:val="auto"/>
        </w:rPr>
      </w:pPr>
      <w:r>
        <w:rPr>
          <w:rFonts w:ascii="Times New Roman" w:cs="Times New Roman" w:eastAsia="Times New Roman" w:hAnsi="Times New Roman"/>
          <w:sz w:val="18"/>
          <w:szCs w:val="18"/>
          <w:color w:val="auto"/>
        </w:rPr>
        <w:t xml:space="preserve">On October 23, 2020, we amended our GSK Agreement, as disclosed in Note 10. Under the Amendment, we allowed for GSK to conduct development and commercialization of Zejula and we are entitled to increased royalties upon sales of dostarlimab, an anti-PD-1 antagonist antibody under development by GSK for multiple oncological disorders, including endometrial cancer, non-small cell lung cancer, ovarian cancer, colorectal cancer and mismatch repair deficient solid tumors, equal to 8% of Net Sales (as defined in the GSK Agreement) below $1.0 billion and from 12% up to 25% of Net Sales above $1.0 billion. The Amendment also entitles us to a one-time non-refundable cash payment of $60.0 million payable to us within 30 days of the date of the Amendment. Tesaro also agreed, starting January 1, 2021, to pay us a 1% royalty on all GSK and Tesaro Net Sales of Zejula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 oral, once-daily poly (ADP-ribose) polymerase (PARP) inhibitor, which has received US approval for the maintenance treatment of adult patients with advanced epithelial ovarian, fallopian tube, or primary peritoneal cancer who are in a complete or partial response to first-line platinum-based chemotherapy, and is under development for additional cancer indications.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83" w:lineRule="exact"/>
        <w:rPr>
          <w:sz w:val="20"/>
          <w:szCs w:val="20"/>
          <w:color w:val="auto"/>
        </w:rPr>
      </w:pPr>
    </w:p>
    <w:p>
      <w:pPr>
        <w:ind w:right="100" w:firstLine="567"/>
        <w:spacing w:after="0" w:line="242" w:lineRule="auto"/>
        <w:rPr>
          <w:sz w:val="20"/>
          <w:szCs w:val="20"/>
          <w:color w:val="auto"/>
        </w:rPr>
      </w:pPr>
      <w:r>
        <w:rPr>
          <w:rFonts w:ascii="Times New Roman" w:cs="Times New Roman" w:eastAsia="Times New Roman" w:hAnsi="Times New Roman"/>
          <w:sz w:val="18"/>
          <w:szCs w:val="18"/>
          <w:color w:val="auto"/>
        </w:rPr>
        <w:t>As a publicly traded company, we incur significant legal, accounting, and other expenses that were not required as a private company. In addition, the Sarbanes-Oxley Act of 2002, as well as rules adopted by the Securities and Exchange Commission (the “SEC”) and The Nasdaq Global Stock Market, requires public companies to implement specified corporate governance practices that were inapplicable to us as a private company. These rules and regulations have increased our legal and financial compliance costs and have made and will continue to make certain activities more time-consuming and costly.</w:t>
      </w:r>
    </w:p>
    <w:p>
      <w:pPr>
        <w:spacing w:after="0" w:line="77"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Cash, cash equivalents and investments totaled $374.5 million as of September 30, 2020, compared to $428.5 million as of December 31, 2019. We believe that our existing cash, cash equivalents and investments will fund our current operating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into 2023. We have based this estimate on assumptions that may prove to be wrong, and we could use our capital resources sooner than we expect.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process of testing product candidates in clinical trials is costly, and the timing of progress and expenses in these trials is uncertain.</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2020 and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FF0FC"/>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(51,735)</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(53,712)</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90,877</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127,396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38,137</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69,302</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2020 of $51.7 million was primarily due to our net loss of $53.6 million, adjusted for addbacks for non-cash expenses of $9.2 million, which includes stock-based compensation and net decreases in working capital of $7.3 million. Net cash used in operating activities during the nine months ended September 30, 2019 of $53.7 million was primarily due to our net loss of $77.1 million, adjusted for non-cash expenses of $8.1 million, which includes stock-based compensation and net increases in working capital of $15.3 million.</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800" w:firstLine="445"/>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2020 and 2019 of $90.9 million and $127.4 million, respectively, primarily relates to the timing of our investment maturity, which was used to fund our operating expenses.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net cash used in financing activities during the nine months ended September 30, 2020 of $1.0 million primarily related to principal and final payments of $1.4 million made on the Loan Agreement, offset by $0.4 million in proceeds from the issuance of common stock upon the exercise of stock options. The net cash used in financing activities during the nine months ended September 30, 2019 of $4.4 million primarily related to principal payments of $5.6 million made on the Loan Agreement, offset by $1.2 million in proceeds from the issuance of common stock upon the exercise of stock options.</w:t>
      </w:r>
    </w:p>
    <w:p>
      <w:pPr>
        <w:spacing w:after="0" w:line="284" w:lineRule="exact"/>
        <w:rPr>
          <w:sz w:val="20"/>
          <w:szCs w:val="20"/>
          <w:color w:val="auto"/>
        </w:rPr>
      </w:pPr>
    </w:p>
    <w:p>
      <w:pPr>
        <w:jc w:val="center"/>
        <w:ind w:right="93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7" w:lineRule="exact"/>
        <w:rPr>
          <w:sz w:val="20"/>
          <w:szCs w:val="20"/>
          <w:color w:val="auto"/>
        </w:rPr>
      </w:pPr>
    </w:p>
    <w:p>
      <w:pPr>
        <w:jc w:val="center"/>
        <w:ind w:right="93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have two non-cancellable office leases (the “Office Leases”) with remaining lease terms of approximately one year, each of which are classified as operating leases. Both leases expire in 2021. Only one of our leases has remaining renewal options, which includes three options to renew for one additional year. The exercise of lease renewal options is at our sole discretion, which we currently do not anticipate exercising and as such were not recognized as part of our right-of-use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19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At September 30, 2020, the future minimum annual obligations under the Office Leases are $0.2 million and $0.7 million for the remainder of fiscal years ending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02" w:lineRule="exact"/>
        <w:rPr>
          <w:sz w:val="20"/>
          <w:szCs w:val="20"/>
          <w:color w:val="auto"/>
        </w:rPr>
      </w:pPr>
    </w:p>
    <w:p>
      <w:pPr>
        <w:ind w:right="100" w:firstLine="486"/>
        <w:spacing w:after="0"/>
        <w:rPr>
          <w:sz w:val="20"/>
          <w:szCs w:val="20"/>
          <w:color w:val="auto"/>
        </w:rPr>
      </w:pPr>
      <w:r>
        <w:rPr>
          <w:rFonts w:ascii="Times New Roman" w:cs="Times New Roman" w:eastAsia="Times New Roman" w:hAnsi="Times New Roman"/>
          <w:sz w:val="18"/>
          <w:szCs w:val="18"/>
          <w:color w:val="auto"/>
        </w:rPr>
        <w:t>On May 4, 2020, we entered into a lease agreement (the “Lease Agreement”) with Wateridge Property Owner, LP, with respect to facilities in the building at 10770 Wateridge Circle, San Diego, California 92121. Under the Lease Agreement, we agreed to lease approximately 45,000 square feet of space in the 10770 Wateridge Circle Building for a term of 124 months, beginning on March 1, 2021 (or on such later date as described in the Lease Agreement). The terms of the Lease Agreement provide us with an option to extend the term of the lease for an additional five years, as well as a one-time option we have to terminate the lease after seven years with the payment of a termination fee. The monthly base rent will be $4.20 per rentable square foot and will be increased by 3% annually. Under the Lease Agreement, we are also responsible for our pro rata share of real estate taxes, building insurance, maintenance, direct expenses, and utilities.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We have entered into agreements with certain vendors for the provision of goods and services, which includes manufacturing services with CMOs and development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29" w:lineRule="exact"/>
        <w:rPr>
          <w:sz w:val="20"/>
          <w:szCs w:val="20"/>
          <w:color w:val="auto"/>
        </w:rPr>
      </w:pPr>
    </w:p>
    <w:p>
      <w:pPr>
        <w:ind w:right="160" w:firstLine="567"/>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87"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We also entered into indemnification agreements with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180" w:lineRule="exact"/>
        <w:rPr>
          <w:sz w:val="20"/>
          <w:szCs w:val="20"/>
          <w:color w:val="auto"/>
        </w:rPr>
      </w:pPr>
    </w:p>
    <w:p>
      <w:pPr>
        <w:jc w:val="both"/>
        <w:ind w:right="320" w:firstLine="567"/>
        <w:spacing w:after="0" w:line="266" w:lineRule="auto"/>
        <w:rPr>
          <w:sz w:val="20"/>
          <w:szCs w:val="20"/>
          <w:color w:val="auto"/>
        </w:rPr>
      </w:pPr>
      <w:r>
        <w:rPr>
          <w:rFonts w:ascii="Times New Roman" w:cs="Times New Roman" w:eastAsia="Times New Roman" w:hAnsi="Times New Roman"/>
          <w:sz w:val="18"/>
          <w:szCs w:val="18"/>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176" w:lineRule="exact"/>
        <w:rPr>
          <w:sz w:val="20"/>
          <w:szCs w:val="20"/>
          <w:color w:val="auto"/>
        </w:rPr>
      </w:pPr>
    </w:p>
    <w:p>
      <w:pPr>
        <w:ind w:right="120" w:firstLine="567"/>
        <w:spacing w:after="0" w:line="282" w:lineRule="auto"/>
        <w:rPr>
          <w:sz w:val="20"/>
          <w:szCs w:val="20"/>
          <w:color w:val="auto"/>
        </w:rPr>
      </w:pPr>
      <w:r>
        <w:rPr>
          <w:rFonts w:ascii="Times New Roman" w:cs="Times New Roman" w:eastAsia="Times New Roman" w:hAnsi="Times New Roman"/>
          <w:sz w:val="18"/>
          <w:szCs w:val="18"/>
          <w:color w:val="auto"/>
        </w:rPr>
        <w:t>We believe that the fair value of these indemnification obligations is minimal. Accordingly, we have not recognized any liabilities relating to these obligations for any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740" w:firstLine="445"/>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18"/>
          <w:szCs w:val="18"/>
          <w:color w:val="auto"/>
        </w:rPr>
        <w:t>As of September 30, 2020,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2, 2020.</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September 30, 2020, our management, with the participation of our Chief Executive Officer and Interim Chief Financial Officer, performed an evaluation of the effectiveness of the design and operation of our disclosure controls and procedures as defined in Rules 13a-15(e) and 15d-15(e) of the Exchange Act. Based on this evaluation, our Chief Executive Officer and Interim Chief Financial Officer concluded that the design and operation of our disclosure controls and procedures were effective at a reasonable assurance level.</w:t>
      </w:r>
    </w:p>
    <w:p>
      <w:pPr>
        <w:spacing w:after="0" w:line="192"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13a-15(f) and 15d-15(f) of the Exchange Act that occurred during the quarter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1" w:name="page32"/>
    <w:bookmarkEnd w:id="31"/>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On March 25, 2020, a putative securities class action was filed in the United States District Court for the Southern District of California naming the Company and certain of its current or former officers as defendants. The complaint purports to assert claims under Section 10(b) of the Securities Exchange Act of 1934, as amended (the “Exchange Act”), Exchange Act Rule 10b-5, and Section 20(a) of the Exchange Act, on behalf of persons and entities who acquired our common stock between October 10, 2017 and November 7, 2019 (the “Class Period”). An amended complaint was filed on September 30, 2020 alleging that, during the Class Period, the defendants made material misrepresentations or omissions regarding our etokimab product candidate that artificially inflated our stock price. The plaintiff seeks, among other things, damages in an unspecified amount, as well as costs and expenses. We believe that the plaintiff’s allegations are without merit and intend to vigorously defend against the claims. On September 1, 2020, a related shareholder derivative complaint was filed based on allegations substantially similar to those in the class action, and asserting claims against current or former officers and directors for contribution under Sections 10(b) and 21D of the Exchange Act, breach of fiduciary duty, unjust enrichment and corporate waste. Because the Company is in the early stages of this litigation matter, we are unable to estimate a reasonably possible loss or range of loss, if any, that may result from these matters.</w:t>
      </w:r>
    </w:p>
    <w:p>
      <w:pPr>
        <w:spacing w:after="0" w:line="78" w:lineRule="exact"/>
        <w:rPr>
          <w:sz w:val="20"/>
          <w:szCs w:val="20"/>
          <w:color w:val="auto"/>
        </w:rPr>
      </w:pPr>
    </w:p>
    <w:p>
      <w:pPr>
        <w:jc w:val="both"/>
        <w:ind w:right="80" w:firstLine="486"/>
        <w:spacing w:after="0" w:line="289"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and Development of Our Product Candidates</w:t>
      </w:r>
    </w:p>
    <w:p>
      <w:pPr>
        <w:spacing w:after="0" w:line="22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180" w:lineRule="exact"/>
        <w:rPr>
          <w:sz w:val="20"/>
          <w:szCs w:val="20"/>
          <w:color w:val="auto"/>
        </w:rPr>
      </w:pPr>
    </w:p>
    <w:p>
      <w:pPr>
        <w:ind w:right="20" w:firstLine="567"/>
        <w:spacing w:after="0" w:line="289" w:lineRule="auto"/>
        <w:rPr>
          <w:sz w:val="20"/>
          <w:szCs w:val="20"/>
          <w:color w:val="auto"/>
        </w:rPr>
      </w:pPr>
      <w:r>
        <w:rPr>
          <w:rFonts w:ascii="Times New Roman" w:cs="Times New Roman" w:eastAsia="Times New Roman" w:hAnsi="Times New Roman"/>
          <w:sz w:val="17"/>
          <w:szCs w:val="17"/>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58" w:lineRule="exact"/>
        <w:rPr>
          <w:sz w:val="20"/>
          <w:szCs w:val="20"/>
          <w:color w:val="auto"/>
        </w:rPr>
      </w:pPr>
    </w:p>
    <w:p>
      <w:pPr>
        <w:ind w:right="20" w:firstLine="567"/>
        <w:spacing w:after="0" w:line="239" w:lineRule="auto"/>
        <w:rPr>
          <w:sz w:val="20"/>
          <w:szCs w:val="20"/>
          <w:color w:val="auto"/>
        </w:rPr>
      </w:pPr>
      <w:r>
        <w:rPr>
          <w:rFonts w:ascii="Times New Roman" w:cs="Times New Roman" w:eastAsia="Times New Roman" w:hAnsi="Times New Roman"/>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was not representative of the results we experienced in our later etokimab moderate-to-severe atopic dermatitis Phase 2b clinical trial called “ATLAS”. Similarly, we reported interim results of our GALLOP Phase 2 clinical trial of imsidolimab, which included data for two patients who had completed the Day 113 trial period. While we believe these results are likely to be representative of subsequent patients in the clinical trial, the results we have observed to date may not be predictive of results once all 8 patients have completed the clinical trial. If our later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trials are unsuccessful, our product candidates may be delayed in development or fail entirely, which would have a material adverse impact on our business.</w:t>
      </w:r>
    </w:p>
    <w:p>
      <w:pPr>
        <w:spacing w:after="0" w:line="223"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have elected to structure our initial Phase 2a clinical trials with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severe adult eosinophilic asthma may suggest a reasonable basis for continuing development of etokimab in this indication through a larger Phase 2b clinical trial. However, as a result of the recently announced topline data from our ATLAS etokimab Phase 2b trial in atopic dermatitis, we have decided to postpone the initiation of our planned Phase 2b etokimab clinical trial in eosinophilic asthma (a multi-dose, randomized, double-blinded, placebo-controlled trial in 300-400 patients) until we have the opportunity to analyze the complete results from our currently ongoing Phase 2 trial of etokimab in CRSwNP. Our Phase 2a clinical trials involved relatively small patient populations (for example, 25 patients in our Phase 2a clinical trial in severe adult eosinophilic asthma). The results we have observed in these smaller patient populations may not be predictive of results we will experience in later studies. Furthermore, the average results reported from our Phase 2a clinical trial in severe eosinophilic asthma (for example, the average change in FEV1 reported) were subject to significant variability due to the small number of patients enrolled and, as expected, were not statistically significant. In addition, we elected to structure our initial Phase 2a clinical trial in eosinophilic asthma as a single dose study, which may not be representative of the efficacy and/or safety observed in subsequent multi-dose Phase 2, Phase 2b, or Phase 3 clinical trials.</w:t>
      </w:r>
    </w:p>
    <w:p>
      <w:pPr>
        <w:spacing w:after="0" w:line="18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addition, later studies may also include different design elements that could contribute to us experiencing different results than we have observed in our Phase 2a clinical trials. One such design element may be differences in efficacy endpoints between Phase 2a clinical trials and subsequent Phase 2, Phase 2b or Phase 3 clinical trials. For instance, while our single dose Phase 2a clinical trial of etokimab in eosinophilic asthma demonstrated efficacy in terms of FEV1 improvement versus placebo, we did not structure that clinical trial to assess efficacy in terms of exacerbation reduction, which is the endpoint historically used by the FDA for drug approval in asthma. Hence our future Phase 2, Phase 2b, or Phase 3 clinical trials in asthma may not demonstrate efficacy in exacerbation reduction leading to potential delays or failure to obtain approval of etokimab in asthma. In addition, the initial results we have reported from our Phase 2a clinical trials have included interim analyses and top-line results at early time points, which may not accurately predict the final results of these clinical trials or the results of future clinical trials. For instance, our single dose Phase 2a clinical trial of etokimab in atopic dermatitis demonstrated certain levels of EASI-50 response upon interim analysis at Day 29, but this EASI-50 response level was not maintained at the end of this clinical trial at Day 140. In another example, interim analysis data from our Phase 2a clinical trial of severe adult eosinophilic asthma demonstrated FEV1 improvement over placebo at Day 64, but this FEV1 improvement was not maintained at the same levels through study completion at the Day 127 time point.</w:t>
      </w:r>
    </w:p>
    <w:p>
      <w:pPr>
        <w:spacing w:after="0" w:line="190"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18"/>
          <w:szCs w:val="18"/>
          <w:color w:val="auto"/>
        </w:rPr>
        <w:t>Furthermore, our rationale for conducting clinical trials of etokimab in multiple indications is that we believe etokimab’s mechanism of action, the inhibition of IL-33, has the potential be effective for treatment of a range of atopic inflammatory disorders. However, in light of the recently announced topline data from our ATLAS Phase 2b clinical trial of etokimab in atopic dermatitis and our recently announced interim analysis from our ECLIPSE clinical trial of etokimab in CRSwNP, it is possible that our assumptions regarding the effectiveness of etokimab’s mechanism of action may be incorrect and that etokimab may be ineffective in certain inflammatory disorders or in treating inflammatory disorders generally. If this were the case, then the complete results from our ongoing Phase 2 clinical trial of etokimab in CRSwNP, and results from any other clinical trials of etokimab that we conduct, are less likely to be positive.</w:t>
      </w:r>
    </w:p>
    <w:p>
      <w:pPr>
        <w:spacing w:after="0" w:line="18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If our later clinical trials of imsidolimab or etokimab are unsuccessful, whether for one of the reasons mentioned above or otherwise, imsidolimab or etokimab may be delayed in development or fail entirely, which would have a material adverse impact on our business.</w:t>
      </w:r>
    </w:p>
    <w:p>
      <w:pPr>
        <w:spacing w:after="0" w:line="162" w:lineRule="exact"/>
        <w:rPr>
          <w:sz w:val="20"/>
          <w:szCs w:val="20"/>
          <w:color w:val="auto"/>
        </w:rPr>
      </w:pPr>
    </w:p>
    <w:p>
      <w:pPr>
        <w:ind w:right="540" w:firstLine="567"/>
        <w:spacing w:after="0" w:line="282" w:lineRule="auto"/>
        <w:rPr>
          <w:sz w:val="20"/>
          <w:szCs w:val="20"/>
          <w:color w:val="auto"/>
        </w:rPr>
      </w:pPr>
      <w:r>
        <w:rPr>
          <w:rFonts w:ascii="Times New Roman" w:cs="Times New Roman" w:eastAsia="Times New Roman" w:hAnsi="Times New Roman"/>
          <w:sz w:val="18"/>
          <w:szCs w:val="18"/>
          <w:color w:val="auto"/>
        </w:rPr>
        <w:t>The success of our current product candidates, and any other product candidates we may develop in the future, will depend on many factors, including the following:</w:t>
      </w:r>
    </w:p>
    <w:p>
      <w:pPr>
        <w:spacing w:after="0" w:line="54" w:lineRule="exact"/>
        <w:rPr>
          <w:sz w:val="20"/>
          <w:szCs w:val="20"/>
          <w:color w:val="auto"/>
        </w:rPr>
      </w:pPr>
    </w:p>
    <w:p>
      <w:pPr>
        <w:ind w:left="900" w:hanging="40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our planned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94" w:lineRule="exact"/>
        <w:rPr>
          <w:sz w:val="20"/>
          <w:szCs w:val="20"/>
          <w:color w:val="auto"/>
        </w:rPr>
      </w:pPr>
    </w:p>
    <w:p>
      <w:pPr>
        <w:ind w:left="900" w:hanging="40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 and their components;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third parties;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80" w:firstLine="567"/>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62" w:lineRule="exact"/>
        <w:rPr>
          <w:sz w:val="20"/>
          <w:szCs w:val="20"/>
          <w:color w:val="auto"/>
        </w:rPr>
      </w:pPr>
    </w:p>
    <w:p>
      <w:pPr>
        <w:ind w:right="40" w:firstLine="567"/>
        <w:spacing w:after="0" w:line="238" w:lineRule="auto"/>
        <w:rPr>
          <w:sz w:val="20"/>
          <w:szCs w:val="20"/>
          <w:color w:val="auto"/>
        </w:rPr>
      </w:pPr>
      <w:r>
        <w:rPr>
          <w:rFonts w:ascii="Times New Roman" w:cs="Times New Roman" w:eastAsia="Times New Roman" w:hAnsi="Times New Roman"/>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w:t>
      </w:r>
    </w:p>
    <w:p>
      <w:pPr>
        <w:spacing w:after="0" w:line="295"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36" w:lineRule="exact"/>
        <w:rPr>
          <w:sz w:val="20"/>
          <w:szCs w:val="20"/>
          <w:color w:val="auto"/>
        </w:rPr>
      </w:pPr>
    </w:p>
    <w:p>
      <w:pPr>
        <w:jc w:val="both"/>
        <w:ind w:right="60" w:firstLine="567"/>
        <w:spacing w:after="0" w:line="245" w:lineRule="auto"/>
        <w:rPr>
          <w:sz w:val="20"/>
          <w:szCs w:val="20"/>
          <w:color w:val="auto"/>
        </w:rPr>
      </w:pPr>
      <w:r>
        <w:rPr>
          <w:rFonts w:ascii="Times New Roman" w:cs="Times New Roman" w:eastAsia="Times New Roman" w:hAnsi="Times New Roman"/>
          <w:sz w:val="18"/>
          <w:szCs w:val="18"/>
          <w:color w:val="auto"/>
        </w:rPr>
        <w:t>The COVID-19 pandemic and mitigation measures have had, and may continue to have, an adverse impact on global economic conditions, which could have an adverse effect on our business and financial condition, including impairing our ability to raise capital when needed. The extent to which the COVID-19 pandemic impacts our business and operations will depend on future developments that are highly uncertain and cannot be predicted, including new information that may emerge concerning the severity of the virus and the actions to contain its impact.</w:t>
      </w:r>
    </w:p>
    <w:p>
      <w:pPr>
        <w:spacing w:after="0" w:line="181" w:lineRule="exact"/>
        <w:rPr>
          <w:sz w:val="20"/>
          <w:szCs w:val="20"/>
          <w:color w:val="auto"/>
        </w:rPr>
      </w:pPr>
    </w:p>
    <w:p>
      <w:pPr>
        <w:ind w:firstLine="567"/>
        <w:spacing w:after="0" w:line="237" w:lineRule="auto"/>
        <w:rPr>
          <w:sz w:val="20"/>
          <w:szCs w:val="20"/>
          <w:color w:val="auto"/>
        </w:rPr>
      </w:pPr>
      <w:r>
        <w:rPr>
          <w:rFonts w:ascii="Times New Roman" w:cs="Times New Roman" w:eastAsia="Times New Roman" w:hAnsi="Times New Roman"/>
          <w:sz w:val="18"/>
          <w:szCs w:val="18"/>
          <w:color w:val="auto"/>
        </w:rPr>
        <w:t>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and patients. In response to the COVID-19 pandemic, we limited our office to only those employees completing laboratory-based tasks essential to our development efforts, and are starting to allow other employees to work in our office with certain precautions in place that we believe will ensure our employees’ safety and wellbeing. “Essential” employees that are unable to telework continue to work at our facilities, and we have implemented appropriate safety measures, including social distancing, face covering, and increased sanitation standards. We are following guidance from the Center for Disease Control and the Occupational Safety and Health Administration regarding suspension of nonessential travel, self-isolation recommendations for employees returning from certain geographic areas, confirmed reports of any COVID-19 diagnosis among our employees, and the return of such employees to our workplace. Pursuant to updated guidance from the Equal Employment Opportunity Commission, we are engaging in limited and appropriate inquiries of employees regarding potential COVID-19 exposure based on the direct threat that such exposure may present to our workforce. We continue to address other unique situations that arise among our workforce due to the COVID-19 pandemic on a case-by-case basis. While we believe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302"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8"/>
          <w:szCs w:val="18"/>
          <w:color w:val="auto"/>
        </w:rPr>
        <w:t>have taken appropriate measures to ensure the health and well-being of our “essential” employees, there can be no assurances that our measures will be sufficient to protect our employees in our workplace, and they may be exposed to COVID-19 outside of our workplace. If a number of our essential employees become ill, incapacitated or are otherwise unable to continue working during the current or any future epidemic, our operations may be adversely impacted.</w:t>
      </w:r>
    </w:p>
    <w:p>
      <w:pPr>
        <w:spacing w:after="0" w:line="181" w:lineRule="exact"/>
        <w:rPr>
          <w:sz w:val="20"/>
          <w:szCs w:val="20"/>
          <w:color w:val="auto"/>
        </w:rPr>
      </w:pPr>
    </w:p>
    <w:p>
      <w:pPr>
        <w:ind w:firstLine="567"/>
        <w:spacing w:after="0" w:line="238" w:lineRule="auto"/>
        <w:rPr>
          <w:sz w:val="20"/>
          <w:szCs w:val="20"/>
          <w:color w:val="auto"/>
        </w:rPr>
      </w:pPr>
      <w:r>
        <w:rPr>
          <w:rFonts w:ascii="Times New Roman" w:cs="Times New Roman" w:eastAsia="Times New Roman" w:hAnsi="Times New Roman"/>
          <w:sz w:val="18"/>
          <w:szCs w:val="18"/>
          <w:color w:val="auto"/>
        </w:rPr>
        <w:t>A prolonged disruption or any further unforeseen delay in our operations or within any of our business activities could continue to result in reduced participation in ongoing clinical trials or delays in enrolling our planned clinical trials because we rely on contract research organizations (for non-clinical and clinical activities) (“CROs”) and contract manufacturing organizations (“CMOs”) to conduct our clinical trials and to manufacture our product candidates. If our CROs are unable to continue ongoing clinical trials or to enroll new patients for new clinical trials, or if our CMOs are unable to obtain sufficient quantities of reagents or manufacture adequate drug quantities, our clinical trials could be materially delayed or disrupted. We may also encounter delays from the FDA, EMA or other health authorities in our clinical development efforts. Any elongation or de-prioritization of our preclinical studies or delay in regulatory review resulting from such disruptions could materially affect the development and study of our product candidates. Further, in reaction to the spread of COVID-19 in the United States and internationally, many patients and medical facilities are delaying or canceling elective procedures, adding further strain to health care budgets globally.</w:t>
      </w:r>
    </w:p>
    <w:p>
      <w:pPr>
        <w:spacing w:after="0" w:line="191" w:lineRule="exact"/>
        <w:rPr>
          <w:sz w:val="20"/>
          <w:szCs w:val="20"/>
          <w:color w:val="auto"/>
        </w:rPr>
      </w:pPr>
    </w:p>
    <w:p>
      <w:pPr>
        <w:ind w:right="60" w:firstLine="567"/>
        <w:spacing w:after="0" w:line="242" w:lineRule="auto"/>
        <w:rPr>
          <w:sz w:val="20"/>
          <w:szCs w:val="20"/>
          <w:color w:val="auto"/>
        </w:rPr>
      </w:pPr>
      <w:r>
        <w:rPr>
          <w:rFonts w:ascii="Times New Roman" w:cs="Times New Roman" w:eastAsia="Times New Roman" w:hAnsi="Times New Roman"/>
          <w:sz w:val="18"/>
          <w:szCs w:val="18"/>
          <w:color w:val="auto"/>
        </w:rPr>
        <w:t>The COVID-19 pandemic may result in the inability of our suppliers to deliver supplies to us on a timely basis. We currently utilize third parties to, among other things, manufacture components of our product candidates and, in the future, intend to utilize third parties to conduct our preclinical and clinical studies. If either we or any third-party parties in the supply chain for materials used in the production of our product candidates are adversely impacted by restrictions resulting from the COVID-19 pandemic, our supply chain may be disrupted, limiting our ability to manufacture our product candidates for our preclinical studies.</w:t>
      </w:r>
    </w:p>
    <w:p>
      <w:pPr>
        <w:spacing w:after="0" w:line="185" w:lineRule="exact"/>
        <w:rPr>
          <w:sz w:val="20"/>
          <w:szCs w:val="20"/>
          <w:color w:val="auto"/>
        </w:rPr>
      </w:pPr>
    </w:p>
    <w:p>
      <w:pPr>
        <w:ind w:right="80" w:firstLine="567"/>
        <w:spacing w:after="0" w:line="245" w:lineRule="auto"/>
        <w:rPr>
          <w:sz w:val="20"/>
          <w:szCs w:val="20"/>
          <w:color w:val="auto"/>
        </w:rPr>
      </w:pPr>
      <w:r>
        <w:rPr>
          <w:rFonts w:ascii="Times New Roman" w:cs="Times New Roman" w:eastAsia="Times New Roman" w:hAnsi="Times New Roman"/>
          <w:sz w:val="18"/>
          <w:szCs w:val="18"/>
          <w:color w:val="auto"/>
        </w:rPr>
        <w:t>Both the health and economic aspects of the COVID-19 virus are highly fluid, and the future course of each is uncertain. For these reasons and other reasons that may come to light if the COVID-19 pandemic and associated protective or preventative measures expand, we may experience a material adverse effect, either directly or indirectly through our CROs, CMOs, collaboration partners or patients, on our business operations, revenues and financial condition; however, its ultimate impact is highly uncertain and subject to change.</w:t>
      </w:r>
    </w:p>
    <w:p>
      <w:pPr>
        <w:spacing w:after="0" w:line="28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175" w:lineRule="exact"/>
        <w:rPr>
          <w:sz w:val="20"/>
          <w:szCs w:val="20"/>
          <w:color w:val="auto"/>
        </w:rPr>
      </w:pPr>
    </w:p>
    <w:p>
      <w:pPr>
        <w:ind w:right="200" w:firstLine="567"/>
        <w:spacing w:after="0" w:line="242"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5" w:lineRule="exact"/>
        <w:rPr>
          <w:sz w:val="20"/>
          <w:szCs w:val="20"/>
          <w:color w:val="auto"/>
        </w:rPr>
      </w:pPr>
    </w:p>
    <w:p>
      <w:pPr>
        <w:ind w:right="40" w:firstLine="567"/>
        <w:spacing w:after="0" w:line="238" w:lineRule="auto"/>
        <w:rPr>
          <w:sz w:val="20"/>
          <w:szCs w:val="20"/>
          <w:color w:val="auto"/>
        </w:rPr>
      </w:pPr>
      <w:r>
        <w:rPr>
          <w:rFonts w:ascii="Times New Roman" w:cs="Times New Roman" w:eastAsia="Times New Roman" w:hAnsi="Times New Roman"/>
          <w:sz w:val="18"/>
          <w:szCs w:val="18"/>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early clinical trials for etokimab, and subsequent patient trials with etokimab are currently ongoing. We also have only completed a Phase 1 clinical trial with imsidolimab, and subsequent patient trials with imsidolimab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02" w:lineRule="exact"/>
        <w:rPr>
          <w:sz w:val="20"/>
          <w:szCs w:val="20"/>
          <w:color w:val="auto"/>
        </w:rPr>
      </w:pPr>
    </w:p>
    <w:p>
      <w:pPr>
        <w:ind w:firstLine="567"/>
        <w:spacing w:after="0" w:line="237" w:lineRule="auto"/>
        <w:rPr>
          <w:sz w:val="20"/>
          <w:szCs w:val="20"/>
          <w:color w:val="auto"/>
        </w:rPr>
      </w:pPr>
      <w:r>
        <w:rPr>
          <w:rFonts w:ascii="Times New Roman" w:cs="Times New Roman" w:eastAsia="Times New Roman" w:hAnsi="Times New Roman"/>
          <w:sz w:val="18"/>
          <w:szCs w:val="18"/>
          <w:color w:val="auto"/>
        </w:rPr>
        <w:t>Some patients in our clinical trials have experienced adverse events, including serious adverse events. The most frequent treatment-emergent adverse events reported were mild dizziness or vomiting in patients subsequent to placebo dosing, and mild headache, strep throat, upper respiratory tract infection, or, in one case, severe neutropenia which was acute and not persistent in patients post-etokimab administration. In addition,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9" w:lineRule="exact"/>
        <w:rPr>
          <w:sz w:val="20"/>
          <w:szCs w:val="20"/>
          <w:color w:val="auto"/>
        </w:rPr>
      </w:pPr>
    </w:p>
    <w:p>
      <w:pPr>
        <w:ind w:right="20" w:firstLine="567"/>
        <w:spacing w:after="0" w:line="239"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7" w:lineRule="exact"/>
        <w:rPr>
          <w:sz w:val="20"/>
          <w:szCs w:val="20"/>
          <w:color w:val="auto"/>
        </w:rPr>
      </w:pPr>
    </w:p>
    <w:p>
      <w:pPr>
        <w:ind w:right="20" w:firstLine="567"/>
        <w:spacing w:after="0" w:line="245" w:lineRule="auto"/>
        <w:rPr>
          <w:sz w:val="20"/>
          <w:szCs w:val="20"/>
          <w:color w:val="auto"/>
        </w:rPr>
      </w:pPr>
      <w:r>
        <w:rPr>
          <w:rFonts w:ascii="Times New Roman" w:cs="Times New Roman" w:eastAsia="Times New Roman" w:hAnsi="Times New Roman"/>
          <w:sz w:val="18"/>
          <w:szCs w:val="18"/>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59" w:lineRule="exact"/>
        <w:rPr>
          <w:sz w:val="20"/>
          <w:szCs w:val="20"/>
          <w:color w:val="auto"/>
        </w:rPr>
      </w:pPr>
    </w:p>
    <w:p>
      <w:pPr>
        <w:ind w:firstLine="567"/>
        <w:spacing w:after="0" w:line="237" w:lineRule="auto"/>
        <w:rPr>
          <w:sz w:val="20"/>
          <w:szCs w:val="20"/>
          <w:color w:val="auto"/>
        </w:rPr>
      </w:pPr>
      <w:r>
        <w:rPr>
          <w:rFonts w:ascii="Times New Roman" w:cs="Times New Roman" w:eastAsia="Times New Roman" w:hAnsi="Times New Roman"/>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clinical trial application (“CTA”) to conduct clinical trials for both etokimab and imsidolimab in the United States and certain foreign jurisdictions,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02" w:lineRule="exact"/>
        <w:rPr>
          <w:sz w:val="20"/>
          <w:szCs w:val="20"/>
          <w:color w:val="auto"/>
        </w:rPr>
      </w:pPr>
    </w:p>
    <w:p>
      <w:pPr>
        <w:ind w:right="20" w:firstLine="567"/>
        <w:spacing w:after="0" w:line="238" w:lineRule="auto"/>
        <w:rPr>
          <w:sz w:val="20"/>
          <w:szCs w:val="20"/>
          <w:color w:val="auto"/>
        </w:rPr>
      </w:pPr>
      <w:r>
        <w:rPr>
          <w:rFonts w:ascii="Times New Roman" w:cs="Times New Roman" w:eastAsia="Times New Roman" w:hAnsi="Times New Roman"/>
          <w:sz w:val="18"/>
          <w:szCs w:val="18"/>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a small pivotal clinical trial, potentially with less than 100 patients, may be sufficient to demonstrate substantial evidence of efficacy of imsidolimab in GPP patients. However, we have not yet discussed clinical trial design for this indication with the FDA, and the FDA may disagree with our proposed clinical trial design, including the number of patients necessary to demonstrate efficacy and/or may require us to conduct more than one pivotal clinical trial in order to obtain approval of a BLA.</w:t>
      </w:r>
    </w:p>
    <w:p>
      <w:pPr>
        <w:spacing w:after="0" w:line="186"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68" w:lineRule="exact"/>
        <w:rPr>
          <w:sz w:val="20"/>
          <w:szCs w:val="20"/>
          <w:color w:val="auto"/>
        </w:rPr>
      </w:pPr>
    </w:p>
    <w:p>
      <w:pPr>
        <w:ind w:left="900" w:right="360" w:hanging="406"/>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for safety reasons or following an inspection of clinical trial operations or site by the FDA or other regulatory authorities;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quality of product candidates or other materials necessary to conduct clinical trials;</w:t>
      </w:r>
    </w:p>
    <w:p>
      <w:pPr>
        <w:spacing w:after="0" w:line="117" w:lineRule="exact"/>
        <w:rPr>
          <w:rFonts w:ascii="Times New Roman" w:cs="Times New Roman" w:eastAsia="Times New Roman" w:hAnsi="Times New Roman"/>
          <w:sz w:val="18"/>
          <w:szCs w:val="18"/>
          <w:color w:val="auto"/>
        </w:rPr>
      </w:pPr>
    </w:p>
    <w:p>
      <w:pPr>
        <w:ind w:left="900" w:right="200" w:hanging="406"/>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clinical sites becoming unavailable due to political, economic, or public health events, such as the COVID-19 pandemic;</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electing to terminate their participation in one of our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medical investigators to follow clinical trial protocols;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clinical trial administrative actions;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patient enrollment;</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standards of care;</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prevalence of use of a comparative drug or required prior therapy; or</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outcomes or financial constraints.</w:t>
      </w:r>
    </w:p>
    <w:p>
      <w:pPr>
        <w:spacing w:after="0" w:line="225"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experience any of the issues described above, or other similar or related issues, we may:</w:t>
      </w:r>
    </w:p>
    <w:p>
      <w:pPr>
        <w:spacing w:after="0" w:line="117" w:lineRule="exact"/>
        <w:rPr>
          <w:sz w:val="20"/>
          <w:szCs w:val="20"/>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right="240" w:hanging="406"/>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 obtain approval for indications or patient populations that are not as broad as intended or desired;</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329"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color w:val="auto"/>
        </w:rPr>
        <w:t>We may not be successful in our efforts to use our technology platform to expand our pipeline of product candidates and develop marketable products.</w:t>
      </w:r>
    </w:p>
    <w:p>
      <w:pPr>
        <w:spacing w:after="0" w:line="50" w:lineRule="exact"/>
        <w:rPr>
          <w:sz w:val="20"/>
          <w:szCs w:val="20"/>
          <w:color w:val="auto"/>
        </w:rPr>
      </w:pPr>
    </w:p>
    <w:p>
      <w:pPr>
        <w:ind w:right="140" w:firstLine="567"/>
        <w:spacing w:after="0" w:line="238"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8" w:lineRule="exact"/>
        <w:rPr>
          <w:sz w:val="20"/>
          <w:szCs w:val="20"/>
          <w:color w:val="auto"/>
        </w:rPr>
      </w:pPr>
    </w:p>
    <w:p>
      <w:pPr>
        <w:ind w:firstLine="567"/>
        <w:spacing w:after="0" w:line="239" w:lineRule="auto"/>
        <w:rPr>
          <w:sz w:val="20"/>
          <w:szCs w:val="20"/>
          <w:color w:val="auto"/>
        </w:rPr>
      </w:pPr>
      <w:r>
        <w:rPr>
          <w:rFonts w:ascii="Times New Roman" w:cs="Times New Roman" w:eastAsia="Times New Roman" w:hAnsi="Times New Roman"/>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color w:val="auto"/>
        </w:rPr>
        <w:t>We have recently commenced clinical development of etokimab, imsidolimab and ANB030 and have no other history of conducting clinical trials or commercializing biotechnology products, which may make it difficult to evaluate the prospects for our future viability.</w:t>
      </w:r>
    </w:p>
    <w:p>
      <w:pPr>
        <w:spacing w:after="0" w:line="50" w:lineRule="exact"/>
        <w:rPr>
          <w:sz w:val="20"/>
          <w:szCs w:val="20"/>
          <w:color w:val="auto"/>
        </w:rPr>
      </w:pPr>
    </w:p>
    <w:p>
      <w:pPr>
        <w:ind w:right="140" w:firstLine="567"/>
        <w:spacing w:after="0" w:line="239" w:lineRule="auto"/>
        <w:rPr>
          <w:sz w:val="20"/>
          <w:szCs w:val="20"/>
          <w:color w:val="auto"/>
        </w:rPr>
      </w:pPr>
      <w:r>
        <w:rPr>
          <w:rFonts w:ascii="Times New Roman" w:cs="Times New Roman" w:eastAsia="Times New Roman" w:hAnsi="Times New Roman"/>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302" w:lineRule="exact"/>
        <w:rPr>
          <w:sz w:val="20"/>
          <w:szCs w:val="20"/>
          <w:color w:val="auto"/>
        </w:rPr>
      </w:pPr>
    </w:p>
    <w:p>
      <w:pPr>
        <w:ind w:right="380" w:firstLine="567"/>
        <w:spacing w:after="0" w:line="250"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69" w:lineRule="exact"/>
        <w:rPr>
          <w:sz w:val="20"/>
          <w:szCs w:val="20"/>
          <w:color w:val="auto"/>
        </w:rPr>
      </w:pPr>
    </w:p>
    <w:p>
      <w:pPr>
        <w:ind w:left="900" w:right="600" w:hanging="406"/>
        <w:spacing w:after="0" w:line="266"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54" w:lineRule="exact"/>
        <w:rPr>
          <w:rFonts w:ascii="Times New Roman" w:cs="Times New Roman" w:eastAsia="Times New Roman" w:hAnsi="Times New Roman"/>
          <w:sz w:val="18"/>
          <w:szCs w:val="18"/>
          <w:color w:val="auto"/>
        </w:rPr>
      </w:pPr>
    </w:p>
    <w:p>
      <w:pPr>
        <w:ind w:left="900" w:right="460" w:hanging="406"/>
        <w:spacing w:after="0" w:line="266"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54"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foreign regulatory authorities regarding the number, scope or design of our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clinical trial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or unacceptable side effects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900" w:right="80" w:hanging="406"/>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planned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900" w:right="500" w:hanging="406"/>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authorities.</w:t>
      </w:r>
    </w:p>
    <w:p>
      <w:pPr>
        <w:spacing w:after="0" w:line="225" w:lineRule="exact"/>
        <w:rPr>
          <w:sz w:val="20"/>
          <w:szCs w:val="20"/>
          <w:color w:val="auto"/>
        </w:rPr>
      </w:pPr>
    </w:p>
    <w:p>
      <w:pPr>
        <w:ind w:right="220" w:firstLine="567"/>
        <w:spacing w:after="0" w:line="282" w:lineRule="auto"/>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62" w:lineRule="exact"/>
        <w:rPr>
          <w:sz w:val="20"/>
          <w:szCs w:val="20"/>
          <w:color w:val="auto"/>
        </w:rPr>
      </w:pPr>
    </w:p>
    <w:p>
      <w:pPr>
        <w:ind w:right="340" w:firstLine="567"/>
        <w:spacing w:after="0" w:line="266" w:lineRule="auto"/>
        <w:rPr>
          <w:sz w:val="20"/>
          <w:szCs w:val="20"/>
          <w:color w:val="auto"/>
        </w:rPr>
      </w:pPr>
      <w:r>
        <w:rPr>
          <w:rFonts w:ascii="Times New Roman" w:cs="Times New Roman" w:eastAsia="Times New Roman" w:hAnsi="Times New Roman"/>
          <w:sz w:val="18"/>
          <w:szCs w:val="18"/>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1"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9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80" w:lineRule="exact"/>
        <w:rPr>
          <w:sz w:val="20"/>
          <w:szCs w:val="20"/>
          <w:color w:val="auto"/>
        </w:rPr>
      </w:pPr>
    </w:p>
    <w:p>
      <w:pPr>
        <w:ind w:firstLine="567"/>
        <w:spacing w:after="0" w:line="237" w:lineRule="auto"/>
        <w:rPr>
          <w:sz w:val="20"/>
          <w:szCs w:val="20"/>
          <w:color w:val="auto"/>
        </w:rPr>
      </w:pPr>
      <w:r>
        <w:rPr>
          <w:rFonts w:ascii="Times New Roman" w:cs="Times New Roman" w:eastAsia="Times New Roman" w:hAnsi="Times New Roman"/>
          <w:sz w:val="18"/>
          <w:szCs w:val="18"/>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GSK) and reslizumab (Cinqair; Teva), both of which the FDA has approved for the add-on maintenance treatment in patients with severe eosinophilic asthma; antibodies such as benralizumab (FASENRA, AstraZeneca) that bind the IL-5 receptor; antibodies that bind the IL-4 receptor and inhibit its signaling through IL-4 and IL-13 cytokines such as dupilumab (Dupixent; Regeneron/Sanofi), which has been approved by the FDA for use with other asthma medicines for the maintenance treatment of moderate-to-severe asthma in patients aged 12 years and older whose asthma is not controlled with their current asthma medicines; antibodies that bind to IL-13 such as lebrikizumab (Dermira), tralokinumab (AstraZeneca, LEO Pharma) and anrukinzumab (Pfizer), which are in clinical testing; antibodies that bind the IL-4 receptor alpha chain, such as AMG 317 (Amgen) in clinical testing; ST2-binding antibodies including Roche’s RG6149 which is in clinical testing for asthma and the treatment of COVID-19, and GSK’s GSK3772847, and Regeneron’s IL-33 antibody (REGN3500) each in clinical development for asthma and chronic obstructive pulmonary disease; a recently announced IL-33 related program by AstraZeneca (MEDI3506) in a Phase 1 clinical trial indicated for chronic obstructive pulmonary disease and the treatment of COVID-19; DP-2 antagonists including fevipiprant (Novartis) under development for asthma and GB001 (Gossamer Bio) under development for asthma; and an anti-TSLP antibody called tezepelumab (AMG 157, MEDI9929, Amgen/AstraZeneca) being developed by Amgen and AstraZeneca for asthma.</w:t>
      </w:r>
    </w:p>
    <w:p>
      <w:pPr>
        <w:spacing w:after="0" w:line="191" w:lineRule="exact"/>
        <w:rPr>
          <w:sz w:val="20"/>
          <w:szCs w:val="20"/>
          <w:color w:val="auto"/>
        </w:rPr>
      </w:pPr>
    </w:p>
    <w:p>
      <w:pPr>
        <w:ind w:right="140" w:firstLine="567"/>
        <w:spacing w:after="0" w:line="282" w:lineRule="auto"/>
        <w:rPr>
          <w:sz w:val="20"/>
          <w:szCs w:val="20"/>
          <w:color w:val="auto"/>
        </w:rPr>
      </w:pPr>
      <w:r>
        <w:rPr>
          <w:rFonts w:ascii="Times New Roman" w:cs="Times New Roman" w:eastAsia="Times New Roman" w:hAnsi="Times New Roman"/>
          <w:sz w:val="18"/>
          <w:szCs w:val="18"/>
          <w:color w:val="auto"/>
        </w:rPr>
        <w:t>Our competitors in CRSwNP include dupilumab (Regeneron/Sanofi), mepolizumab (GSK), benralizumab (AstraZeneca), omalizumab (Novartis), GB001 (Gossamer Bio) and PF-06817024 (Pfizer), each of which are in clinical testing.</w:t>
      </w:r>
    </w:p>
    <w:p>
      <w:pPr>
        <w:spacing w:after="0" w:line="162" w:lineRule="exact"/>
        <w:rPr>
          <w:sz w:val="20"/>
          <w:szCs w:val="20"/>
          <w:color w:val="auto"/>
        </w:rPr>
      </w:pPr>
    </w:p>
    <w:p>
      <w:pPr>
        <w:ind w:right="120" w:firstLine="567"/>
        <w:spacing w:after="0" w:line="258" w:lineRule="auto"/>
        <w:rPr>
          <w:sz w:val="20"/>
          <w:szCs w:val="20"/>
          <w:color w:val="auto"/>
        </w:rPr>
      </w:pPr>
      <w:r>
        <w:rPr>
          <w:rFonts w:ascii="Times New Roman" w:cs="Times New Roman" w:eastAsia="Times New Roman" w:hAnsi="Times New Roman"/>
          <w:sz w:val="18"/>
          <w:szCs w:val="18"/>
          <w:color w:val="auto"/>
        </w:rPr>
        <w:t>For GPP and PPP, our competitors include marketed therapies such as secukinumab (Cosentyx; Novartis), which binds IL-17A; ustekinumab (Stelara; Janssen), which blocks IL-12 and 23 cytokine function; and acitretin (Soriatane; GSK), as well as therapies in development such as guselkumab (Janssen), which blocks IL-23 cytokine function, gevokizumab (Xoma 052) and canakinumab (Ilaris, Novartis), which binds IL-1 beta, anakinra (Kineret; Swedish Orphan Biovitrum AB), a recombinant form of the IL-1 receptor antagonist and an anti-IL-36 receptor antibody called BI-655130 (Boehringer Ingelheim).</w:t>
      </w:r>
    </w:p>
    <w:p>
      <w:pPr>
        <w:spacing w:after="0" w:line="170" w:lineRule="exact"/>
        <w:rPr>
          <w:sz w:val="20"/>
          <w:szCs w:val="20"/>
          <w:color w:val="auto"/>
        </w:rPr>
      </w:pPr>
    </w:p>
    <w:p>
      <w:pPr>
        <w:ind w:firstLine="567"/>
        <w:spacing w:after="0" w:line="263" w:lineRule="auto"/>
        <w:rPr>
          <w:sz w:val="20"/>
          <w:szCs w:val="20"/>
          <w:color w:val="auto"/>
        </w:rPr>
      </w:pPr>
      <w:r>
        <w:rPr>
          <w:rFonts w:ascii="Times New Roman" w:cs="Times New Roman" w:eastAsia="Times New Roman" w:hAnsi="Times New Roman"/>
          <w:sz w:val="17"/>
          <w:szCs w:val="17"/>
          <w:color w:val="auto"/>
        </w:rPr>
        <w:t>For ichthyosis, systemically administered competitors include secukinumab (Cosentyx; Novartis), liarozole (GSK), dupilumab (Dupixent; Regeneron/Sanofi), and adalimumab (Humira; Abbvie). Various topical treatments may also be used off-label for treatment of ichthyosis related symptoms.</w:t>
      </w:r>
    </w:p>
    <w:p>
      <w:pPr>
        <w:spacing w:after="0" w:line="152" w:lineRule="exact"/>
        <w:rPr>
          <w:sz w:val="20"/>
          <w:szCs w:val="20"/>
          <w:color w:val="auto"/>
        </w:rPr>
      </w:pPr>
    </w:p>
    <w:p>
      <w:pPr>
        <w:jc w:val="both"/>
        <w:ind w:right="380" w:firstLine="567"/>
        <w:spacing w:after="0" w:line="266" w:lineRule="auto"/>
        <w:rPr>
          <w:sz w:val="20"/>
          <w:szCs w:val="20"/>
          <w:color w:val="auto"/>
        </w:rPr>
      </w:pPr>
      <w:r>
        <w:rPr>
          <w:rFonts w:ascii="Times New Roman" w:cs="Times New Roman" w:eastAsia="Times New Roman" w:hAnsi="Times New Roman"/>
          <w:sz w:val="18"/>
          <w:szCs w:val="18"/>
          <w:color w:val="auto"/>
        </w:rPr>
        <w:t>For our anti-inflammatory checkpoint modulator antibody programs, our competitors include CC-90006 (BMS), which is an anti-PD-1 agonist antibody developed under our partnership with BMS, a BTLA modulator antibody called LY3361237 being developed by Eli Lilly and a PD-1 agonist antibody also being developed by Eli Lilly.</w:t>
      </w:r>
    </w:p>
    <w:p>
      <w:pPr>
        <w:spacing w:after="0" w:line="176"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92"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3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2"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87" w:lineRule="exact"/>
        <w:rPr>
          <w:sz w:val="20"/>
          <w:szCs w:val="20"/>
          <w:color w:val="auto"/>
        </w:rPr>
      </w:pPr>
    </w:p>
    <w:p>
      <w:pPr>
        <w:ind w:right="140" w:firstLine="567"/>
        <w:spacing w:after="0" w:line="256"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1" w:lineRule="exact"/>
        <w:rPr>
          <w:sz w:val="20"/>
          <w:szCs w:val="20"/>
          <w:color w:val="auto"/>
        </w:rPr>
      </w:pPr>
    </w:p>
    <w:p>
      <w:pPr>
        <w:ind w:right="40" w:firstLine="567"/>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68" w:lineRule="exact"/>
        <w:rPr>
          <w:sz w:val="20"/>
          <w:szCs w:val="20"/>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planned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products, if approved, such as boxed warnings or contraindications in labeling or a risk evaluation and mitigation strategy (“REMS”),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225"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1" w:name="page42"/>
    <w:bookmarkEnd w:id="41"/>
    <w:p>
      <w:pPr>
        <w:spacing w:after="0" w:line="200" w:lineRule="exact"/>
        <w:rPr>
          <w:sz w:val="20"/>
          <w:szCs w:val="20"/>
          <w:color w:val="auto"/>
        </w:rPr>
      </w:pPr>
    </w:p>
    <w:p>
      <w:pPr>
        <w:spacing w:after="0" w:line="206" w:lineRule="exact"/>
        <w:rPr>
          <w:sz w:val="20"/>
          <w:szCs w:val="20"/>
          <w:color w:val="auto"/>
        </w:rPr>
      </w:pPr>
    </w:p>
    <w:p>
      <w:pPr>
        <w:ind w:right="420"/>
        <w:spacing w:after="0" w:line="317" w:lineRule="auto"/>
        <w:rPr>
          <w:sz w:val="20"/>
          <w:szCs w:val="20"/>
          <w:color w:val="auto"/>
        </w:rPr>
      </w:pPr>
      <w:r>
        <w:rPr>
          <w:rFonts w:ascii="Times New Roman" w:cs="Times New Roman" w:eastAsia="Times New Roman" w:hAnsi="Times New Roman"/>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28"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imsidolimab for the treatment of GPP or PPP by designing our pivotal clinical trial or clinical trials of imsidolimab in that indication to require that subjects test positive for specific genetic mutations as a criterion for enrollment, then we will likely be required to obtain FDA approval or clearance of a companion diagnostic, concurrent with approval of imsidolimab,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94" w:lineRule="exact"/>
        <w:rPr>
          <w:sz w:val="20"/>
          <w:szCs w:val="20"/>
          <w:color w:val="auto"/>
        </w:rPr>
      </w:pPr>
    </w:p>
    <w:p>
      <w:pPr>
        <w:ind w:right="80" w:firstLine="567"/>
        <w:spacing w:after="0" w:line="282" w:lineRule="auto"/>
        <w:rPr>
          <w:sz w:val="20"/>
          <w:szCs w:val="20"/>
          <w:color w:val="auto"/>
        </w:rPr>
      </w:pPr>
      <w:r>
        <w:rPr>
          <w:rFonts w:ascii="Times New Roman" w:cs="Times New Roman" w:eastAsia="Times New Roman" w:hAnsi="Times New Roman"/>
          <w:sz w:val="18"/>
          <w:szCs w:val="18"/>
          <w:color w:val="auto"/>
        </w:rPr>
        <w:t>If we or our partners, or any third party, are unable to successfully develop companion diagnostics for our product candidates, or experience delays in doing so:</w:t>
      </w:r>
    </w:p>
    <w:p>
      <w:pPr>
        <w:spacing w:after="0" w:line="54" w:lineRule="exact"/>
        <w:rPr>
          <w:sz w:val="20"/>
          <w:szCs w:val="20"/>
          <w:color w:val="auto"/>
        </w:rPr>
      </w:pPr>
    </w:p>
    <w:p>
      <w:pPr>
        <w:ind w:left="900" w:right="360" w:hanging="406"/>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may be adversely affected if we are unable to appropriately select patients for enrollment in our planned clinical trials;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receive marketing approval if their safe and effective use depends on a companion diagnostic; and</w:t>
      </w:r>
    </w:p>
    <w:p>
      <w:pPr>
        <w:spacing w:after="0" w:line="117" w:lineRule="exact"/>
        <w:rPr>
          <w:rFonts w:ascii="Times New Roman" w:cs="Times New Roman" w:eastAsia="Times New Roman" w:hAnsi="Times New Roman"/>
          <w:sz w:val="18"/>
          <w:szCs w:val="18"/>
          <w:color w:val="auto"/>
        </w:rPr>
      </w:pPr>
    </w:p>
    <w:p>
      <w:pPr>
        <w:ind w:left="900" w:right="320" w:hanging="406"/>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62" w:lineRule="exact"/>
        <w:rPr>
          <w:sz w:val="20"/>
          <w:szCs w:val="20"/>
          <w:color w:val="auto"/>
        </w:rPr>
      </w:pPr>
    </w:p>
    <w:p>
      <w:pPr>
        <w:ind w:right="160" w:firstLine="567"/>
        <w:spacing w:after="0" w:line="261" w:lineRule="auto"/>
        <w:rPr>
          <w:sz w:val="20"/>
          <w:szCs w:val="20"/>
          <w:color w:val="auto"/>
        </w:rPr>
      </w:pPr>
      <w:r>
        <w:rPr>
          <w:rFonts w:ascii="Times New Roman" w:cs="Times New Roman" w:eastAsia="Times New Roman" w:hAnsi="Times New Roman"/>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any of these events were to occur, our business would be harmed, possibly materially.</w:t>
      </w:r>
    </w:p>
    <w:p>
      <w:pPr>
        <w:spacing w:after="0" w:line="32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7" w:lineRule="exact"/>
        <w:rPr>
          <w:sz w:val="20"/>
          <w:szCs w:val="20"/>
          <w:color w:val="auto"/>
        </w:rPr>
      </w:pPr>
    </w:p>
    <w:p>
      <w:pPr>
        <w:ind w:right="60" w:firstLine="567"/>
        <w:spacing w:after="0" w:line="254" w:lineRule="auto"/>
        <w:rPr>
          <w:sz w:val="20"/>
          <w:szCs w:val="20"/>
          <w:color w:val="auto"/>
        </w:rPr>
      </w:pPr>
      <w:r>
        <w:rPr>
          <w:rFonts w:ascii="Times New Roman" w:cs="Times New Roman" w:eastAsia="Times New Roman" w:hAnsi="Times New Roman"/>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(“cGMPs”), the FDA may deny BLA approval until the deficiencies are corrected or we replace the manufacturer in our BLA with a manufacturer that is in compliance.</w:t>
      </w:r>
    </w:p>
    <w:p>
      <w:pPr>
        <w:spacing w:after="0" w:line="192" w:lineRule="exact"/>
        <w:rPr>
          <w:sz w:val="20"/>
          <w:szCs w:val="20"/>
          <w:color w:val="auto"/>
        </w:rPr>
      </w:pPr>
    </w:p>
    <w:p>
      <w:pPr>
        <w:ind w:right="120" w:firstLine="567"/>
        <w:spacing w:after="0" w:line="266"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0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7"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sz w:val="20"/>
          <w:szCs w:val="20"/>
          <w:color w:val="auto"/>
        </w:rPr>
      </w:pPr>
    </w:p>
    <w:p>
      <w:pPr>
        <w:ind w:right="100" w:firstLine="567"/>
        <w:spacing w:after="0" w:line="258" w:lineRule="auto"/>
        <w:rPr>
          <w:sz w:val="20"/>
          <w:szCs w:val="20"/>
          <w:color w:val="auto"/>
        </w:rPr>
      </w:pPr>
      <w:r>
        <w:rPr>
          <w:rFonts w:ascii="Times New Roman" w:cs="Times New Roman" w:eastAsia="Times New Roman" w:hAnsi="Times New Roman"/>
          <w:sz w:val="18"/>
          <w:szCs w:val="18"/>
          <w:color w:val="auto"/>
        </w:rPr>
        <w:t>We are an early-stage biotechnology company with a limited operating history. We have no approved products. To date, our revenue has been primarily derived from our GSK and BMS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3" w:lineRule="exact"/>
        <w:rPr>
          <w:sz w:val="20"/>
          <w:szCs w:val="20"/>
          <w:color w:val="auto"/>
        </w:rPr>
      </w:pPr>
    </w:p>
    <w:p>
      <w:pPr>
        <w:ind w:right="400" w:firstLine="445"/>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in every year except fiscal year 2014. We had $15.0 million in collaboration revenue and our net loss was $53.6 million for the nine months ended September 30, 2020 and $77.1 million for the nine months ended September 30, 2019, with $5.0 million in collaboration revenue. As of September 30, 2020, we had an accumulated deficit of $297.6 million.</w:t>
      </w:r>
    </w:p>
    <w:p>
      <w:pPr>
        <w:spacing w:after="0" w:line="176"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three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8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and enter into new collaboration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preclinical studies and initiate clinical trials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approvals for the product candidates we develop or developed under our collaboration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collaborators’ products, if any.</w:t>
      </w:r>
    </w:p>
    <w:p>
      <w:pPr>
        <w:spacing w:after="0" w:line="225"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imsidolimab and etokimab, or any of our other product candidates, are approved for commercial sale, we anticipate incurring significant costs associated with the commercial launch of any product candidate.</w:t>
      </w:r>
    </w:p>
    <w:p>
      <w:pPr>
        <w:spacing w:after="0" w:line="183"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1" w:lineRule="exact"/>
        <w:rPr>
          <w:sz w:val="20"/>
          <w:szCs w:val="20"/>
          <w:color w:val="auto"/>
        </w:rPr>
      </w:pPr>
    </w:p>
    <w:p>
      <w:pPr>
        <w:ind w:right="100" w:firstLine="567"/>
        <w:spacing w:after="0" w:line="253" w:lineRule="auto"/>
        <w:rPr>
          <w:sz w:val="20"/>
          <w:szCs w:val="20"/>
          <w:color w:val="auto"/>
        </w:rPr>
      </w:pPr>
      <w:r>
        <w:rPr>
          <w:rFonts w:ascii="Times New Roman" w:cs="Times New Roman" w:eastAsia="Times New Roman" w:hAnsi="Times New Roman"/>
          <w:sz w:val="18"/>
          <w:szCs w:val="18"/>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into 2023.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194" w:lineRule="exact"/>
        <w:rPr>
          <w:sz w:val="20"/>
          <w:szCs w:val="20"/>
          <w:color w:val="auto"/>
        </w:rPr>
      </w:pPr>
    </w:p>
    <w:p>
      <w:pPr>
        <w:jc w:val="both"/>
        <w:ind w:firstLine="567"/>
        <w:spacing w:after="0" w:line="289" w:lineRule="auto"/>
        <w:rPr>
          <w:sz w:val="20"/>
          <w:szCs w:val="20"/>
          <w:color w:val="auto"/>
        </w:rPr>
      </w:pPr>
      <w:r>
        <w:rPr>
          <w:rFonts w:ascii="Times New Roman" w:cs="Times New Roman" w:eastAsia="Times New Roman" w:hAnsi="Times New Roman"/>
          <w:sz w:val="17"/>
          <w:szCs w:val="17"/>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9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 or cease operations altogether;</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we would otherwise desire or on terms less favorable than might otherwise be available;</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future product candidates that we otherwise would seek to develop or commercialize ourselves; or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staff to conserve resources.</w:t>
      </w:r>
    </w:p>
    <w:p>
      <w:pPr>
        <w:spacing w:after="0" w:line="225" w:lineRule="exact"/>
        <w:rPr>
          <w:sz w:val="20"/>
          <w:szCs w:val="20"/>
          <w:color w:val="auto"/>
        </w:rPr>
      </w:pPr>
    </w:p>
    <w:p>
      <w:pPr>
        <w:ind w:right="60" w:firstLine="567"/>
        <w:spacing w:after="0" w:line="256"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9" w:lineRule="exact"/>
        <w:rPr>
          <w:sz w:val="20"/>
          <w:szCs w:val="20"/>
          <w:color w:val="auto"/>
        </w:rPr>
      </w:pPr>
    </w:p>
    <w:p>
      <w:pPr>
        <w:ind w:left="660" w:right="1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size of clinical trials needed to show safety, efficacy and an acceptable risk/benefit profile for any of our product candidates;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or failure of products sold by our collaborators, such as dostarlimab by GSK, and the timing thereof;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enter into new collaboration agreements;</w:t>
      </w:r>
    </w:p>
    <w:p>
      <w:pPr>
        <w:spacing w:after="0" w:line="117" w:lineRule="exact"/>
        <w:rPr>
          <w:rFonts w:ascii="Times New Roman" w:cs="Times New Roman" w:eastAsia="Times New Roman" w:hAnsi="Times New Roman"/>
          <w:sz w:val="18"/>
          <w:szCs w:val="18"/>
          <w:color w:val="auto"/>
        </w:rPr>
      </w:pPr>
    </w:p>
    <w:p>
      <w:pPr>
        <w:jc w:val="both"/>
        <w:ind w:left="660" w:right="6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recruiting and retaining key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any delays or cancellations of forecasted manufacturing batches;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manufacturing sites for commercial-scale manufacturing;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62" w:lineRule="exact"/>
        <w:rPr>
          <w:sz w:val="20"/>
          <w:szCs w:val="20"/>
          <w:color w:val="auto"/>
        </w:rPr>
      </w:pPr>
    </w:p>
    <w:p>
      <w:pPr>
        <w:ind w:right="120" w:firstLine="567"/>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5" w:name="page46"/>
    <w:bookmarkEnd w:id="45"/>
    <w:p>
      <w:pPr>
        <w:spacing w:after="0" w:line="19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96" w:lineRule="exact"/>
        <w:rPr>
          <w:sz w:val="20"/>
          <w:szCs w:val="20"/>
          <w:color w:val="auto"/>
        </w:rPr>
      </w:pPr>
    </w:p>
    <w:p>
      <w:pPr>
        <w:ind w:right="5080"/>
        <w:spacing w:after="0" w:line="450" w:lineRule="auto"/>
        <w:rPr>
          <w:sz w:val="20"/>
          <w:szCs w:val="20"/>
          <w:color w:val="auto"/>
        </w:rPr>
      </w:pPr>
      <w:r>
        <w:rPr>
          <w:rFonts w:ascii="Times New Roman" w:cs="Times New Roman" w:eastAsia="Times New Roman" w:hAnsi="Times New Roman"/>
          <w:sz w:val="17"/>
          <w:szCs w:val="17"/>
          <w:b w:val="1"/>
          <w:bCs w:val="1"/>
          <w:color w:val="auto"/>
        </w:rPr>
        <w:t>Risks Related to Managing Growth, Operations and Macroeconomic Conditions We must attract and retain highly skilled employees in order to succeed.</w:t>
      </w:r>
    </w:p>
    <w:p>
      <w:pPr>
        <w:spacing w:after="0" w:line="27" w:lineRule="exact"/>
        <w:rPr>
          <w:sz w:val="20"/>
          <w:szCs w:val="20"/>
          <w:color w:val="auto"/>
        </w:rPr>
      </w:pPr>
    </w:p>
    <w:p>
      <w:pPr>
        <w:ind w:firstLine="567"/>
        <w:spacing w:after="0" w:line="238"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86"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180" w:lineRule="exact"/>
        <w:rPr>
          <w:sz w:val="20"/>
          <w:szCs w:val="20"/>
          <w:color w:val="auto"/>
        </w:rPr>
      </w:pPr>
    </w:p>
    <w:p>
      <w:pPr>
        <w:ind w:right="40" w:firstLine="567"/>
        <w:spacing w:after="0" w:line="255" w:lineRule="auto"/>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89" w:lineRule="exact"/>
        <w:rPr>
          <w:sz w:val="20"/>
          <w:szCs w:val="20"/>
          <w:color w:val="auto"/>
        </w:rPr>
      </w:pPr>
    </w:p>
    <w:p>
      <w:pPr>
        <w:jc w:val="both"/>
        <w:ind w:right="280" w:firstLine="567"/>
        <w:spacing w:after="0" w:line="261"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02" w:lineRule="exact"/>
        <w:rPr>
          <w:sz w:val="20"/>
          <w:szCs w:val="20"/>
          <w:color w:val="auto"/>
        </w:rPr>
      </w:pPr>
    </w:p>
    <w:p>
      <w:pPr>
        <w:ind w:right="20" w:firstLine="567"/>
        <w:spacing w:after="0" w:line="253"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18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7"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expect to expand our development and regulatory capabilities, and as a result, we may encounter difficulties in managing our growth, which could disrupt our operations.</w:t>
      </w:r>
    </w:p>
    <w:p>
      <w:pPr>
        <w:spacing w:after="0" w:line="51" w:lineRule="exact"/>
        <w:rPr>
          <w:sz w:val="20"/>
          <w:szCs w:val="20"/>
          <w:color w:val="auto"/>
        </w:rPr>
      </w:pPr>
    </w:p>
    <w:p>
      <w:pPr>
        <w:ind w:right="120" w:firstLine="567"/>
        <w:spacing w:after="0" w:line="255" w:lineRule="auto"/>
        <w:rPr>
          <w:sz w:val="20"/>
          <w:szCs w:val="20"/>
          <w:color w:val="auto"/>
        </w:rPr>
      </w:pPr>
      <w:r>
        <w:rPr>
          <w:rFonts w:ascii="Times New Roman" w:cs="Times New Roman" w:eastAsia="Times New Roman" w:hAnsi="Times New Roman"/>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200" w:lineRule="exact"/>
        <w:rPr>
          <w:sz w:val="20"/>
          <w:szCs w:val="20"/>
          <w:color w:val="auto"/>
        </w:rPr>
      </w:pPr>
    </w:p>
    <w:p>
      <w:pPr>
        <w:spacing w:after="0" w:line="206"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color w:val="auto"/>
        </w:rPr>
        <w:t>We conduct certain operations through our Australian wholly-owned subsidiary. If we are unable to receive the research and development tax credit allowed by Australian regulations, our business and results of operations will suffer.</w:t>
      </w:r>
    </w:p>
    <w:p>
      <w:pPr>
        <w:spacing w:after="0" w:line="50" w:lineRule="exact"/>
        <w:rPr>
          <w:sz w:val="20"/>
          <w:szCs w:val="20"/>
          <w:color w:val="auto"/>
        </w:rPr>
      </w:pPr>
    </w:p>
    <w:p>
      <w:pPr>
        <w:jc w:val="both"/>
        <w:ind w:right="40" w:firstLine="445"/>
        <w:spacing w:after="0" w:line="250" w:lineRule="auto"/>
        <w:rPr>
          <w:sz w:val="20"/>
          <w:szCs w:val="20"/>
          <w:color w:val="auto"/>
        </w:rPr>
      </w:pPr>
      <w:r>
        <w:rPr>
          <w:rFonts w:ascii="Times New Roman" w:cs="Times New Roman" w:eastAsia="Times New Roman" w:hAnsi="Times New Roman"/>
          <w:sz w:val="18"/>
          <w:szCs w:val="18"/>
          <w:color w:val="auto"/>
        </w:rPr>
        <w:t>In March 2015, we formed a wholly-owned Australian subsidiary, AnaptysBio Pty Ltd, to develop and commercialize our imsidolimab and etokimab antibody program in Australia. We have no assurance that the results of any clinical trials that we conducted for our product candidates in Australia will be accepted by the FDA or foreign regulatory authorities for development and commercialization approvals.</w:t>
      </w:r>
    </w:p>
    <w:p>
      <w:pPr>
        <w:spacing w:after="0" w:line="177" w:lineRule="exact"/>
        <w:rPr>
          <w:sz w:val="20"/>
          <w:szCs w:val="20"/>
          <w:color w:val="auto"/>
        </w:rPr>
      </w:pPr>
    </w:p>
    <w:p>
      <w:pPr>
        <w:ind w:right="200" w:firstLine="445"/>
        <w:spacing w:after="0" w:line="245"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(“R&amp;D”), tax credit equal to 43.5% of qualified expenditures. We have received $9.3 million USD in R&amp;D tax credits since the inception of our operations in Australia and currently do not intend to submit for any additional tax credits. If we are ineligible or unable to retain the research and development tax credits received thus far and are required to repay all or a portion of the credit, our business and results of operation would be adversely affected.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100" w:firstLine="567"/>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92"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28" w:lineRule="exact"/>
        <w:rPr>
          <w:sz w:val="20"/>
          <w:szCs w:val="20"/>
          <w:color w:val="auto"/>
        </w:rPr>
      </w:pPr>
    </w:p>
    <w:p>
      <w:pPr>
        <w:ind w:firstLine="445"/>
        <w:spacing w:after="0" w:line="239"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87"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67" w:lineRule="exact"/>
        <w:rPr>
          <w:sz w:val="20"/>
          <w:szCs w:val="20"/>
          <w:color w:val="auto"/>
        </w:rPr>
      </w:pPr>
    </w:p>
    <w:p>
      <w:pPr>
        <w:ind w:right="740" w:firstLine="567"/>
        <w:spacing w:after="0" w:line="282" w:lineRule="auto"/>
        <w:rPr>
          <w:sz w:val="20"/>
          <w:szCs w:val="20"/>
          <w:color w:val="auto"/>
        </w:rPr>
      </w:pPr>
      <w:r>
        <w:rPr>
          <w:rFonts w:ascii="Times New Roman" w:cs="Times New Roman" w:eastAsia="Times New Roman" w:hAnsi="Times New Roman"/>
          <w:sz w:val="18"/>
          <w:szCs w:val="18"/>
          <w:color w:val="auto"/>
        </w:rPr>
        <w:t>We have entered into collaborations with GSK and BMS to develop several of our product candidates. We have also entered into antibody generation and/or development collaborations with various collaborators, including GSK and BMS,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which we have generated therapeutic quality antibodies using our technology platform and conducted certain preclinical studies in collaboration. We are currently aware that GSK and BMS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80" w:lineRule="exact"/>
        <w:rPr>
          <w:sz w:val="20"/>
          <w:szCs w:val="20"/>
          <w:color w:val="auto"/>
        </w:rPr>
      </w:pPr>
    </w:p>
    <w:p>
      <w:pPr>
        <w:ind w:right="20" w:firstLine="567"/>
        <w:spacing w:after="0" w:line="238" w:lineRule="auto"/>
        <w:rPr>
          <w:sz w:val="20"/>
          <w:szCs w:val="20"/>
          <w:color w:val="auto"/>
        </w:rPr>
      </w:pPr>
      <w:r>
        <w:rPr>
          <w:rFonts w:ascii="Times New Roman" w:cs="Times New Roman" w:eastAsia="Times New Roman" w:hAnsi="Times New Roman"/>
          <w:sz w:val="18"/>
          <w:szCs w:val="18"/>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October 2020, we settled a dispute with GSK related to an alleged breach of our collaboration agreement in connection with GSK’s use of certain antibodies originally developed by us for the development of a drug</w:t>
      </w:r>
    </w:p>
    <w:p>
      <w:pPr>
        <w:spacing w:after="0" w:line="4"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8"/>
          <w:szCs w:val="18"/>
          <w:color w:val="auto"/>
        </w:rPr>
        <w:t>not covered by the agreement. There can be no assurance that we will not encounter such issues under our collaborations with GSK or other parties in the future.</w:t>
      </w:r>
    </w:p>
    <w:p>
      <w:pPr>
        <w:spacing w:after="0" w:line="2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5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In addition to our current licensing arrangements with GSK and BMS,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and commercialization of any such product candidates.</w:t>
      </w:r>
    </w:p>
    <w:p>
      <w:pPr>
        <w:spacing w:after="0" w:line="32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6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rely on third party clinical investigators, CROs, CMOs, and consultants to design, conduct, supervise and monitor key activities relating to, discovery, manufacturing, non-clinical studies and clinical trials of our product candidates,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9" w:lineRule="exact"/>
        <w:rPr>
          <w:sz w:val="20"/>
          <w:szCs w:val="20"/>
          <w:color w:val="auto"/>
        </w:rPr>
      </w:pPr>
    </w:p>
    <w:p>
      <w:pPr>
        <w:ind w:right="80" w:firstLine="567"/>
        <w:spacing w:after="0" w:line="256"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completely on third parties to manufacture our nonclinical, clinical and future commercial drug supplies of any approved products.</w:t>
      </w:r>
    </w:p>
    <w:p>
      <w:pPr>
        <w:spacing w:after="0" w:line="121"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194" w:lineRule="exact"/>
        <w:rPr>
          <w:sz w:val="20"/>
          <w:szCs w:val="20"/>
          <w:color w:val="auto"/>
        </w:rPr>
      </w:pPr>
    </w:p>
    <w:p>
      <w:pPr>
        <w:ind w:right="200" w:firstLine="567"/>
        <w:spacing w:after="0" w:line="266" w:lineRule="auto"/>
        <w:rPr>
          <w:sz w:val="20"/>
          <w:szCs w:val="20"/>
          <w:color w:val="auto"/>
        </w:rPr>
      </w:pPr>
      <w:r>
        <w:rPr>
          <w:rFonts w:ascii="Times New Roman" w:cs="Times New Roman" w:eastAsia="Times New Roman" w:hAnsi="Times New Roman"/>
          <w:sz w:val="18"/>
          <w:szCs w:val="18"/>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76" w:lineRule="exact"/>
        <w:rPr>
          <w:sz w:val="20"/>
          <w:szCs w:val="20"/>
          <w:color w:val="auto"/>
        </w:rPr>
      </w:pPr>
    </w:p>
    <w:p>
      <w:pPr>
        <w:ind w:right="100" w:firstLine="567"/>
        <w:spacing w:after="0" w:line="256" w:lineRule="auto"/>
        <w:rPr>
          <w:sz w:val="20"/>
          <w:szCs w:val="20"/>
          <w:color w:val="auto"/>
        </w:rPr>
      </w:pPr>
      <w:r>
        <w:rPr>
          <w:rFonts w:ascii="Times New Roman" w:cs="Times New Roman" w:eastAsia="Times New Roman" w:hAnsi="Times New Roman"/>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1" w:lineRule="exact"/>
        <w:rPr>
          <w:sz w:val="20"/>
          <w:szCs w:val="20"/>
          <w:color w:val="auto"/>
        </w:rPr>
      </w:pPr>
    </w:p>
    <w:p>
      <w:pPr>
        <w:ind w:firstLine="567"/>
        <w:spacing w:after="0" w:line="266" w:lineRule="auto"/>
        <w:rPr>
          <w:sz w:val="20"/>
          <w:szCs w:val="20"/>
          <w:color w:val="auto"/>
        </w:rPr>
      </w:pPr>
      <w:r>
        <w:rPr>
          <w:rFonts w:ascii="Times New Roman" w:cs="Times New Roman" w:eastAsia="Times New Roman" w:hAnsi="Times New Roman"/>
          <w:sz w:val="18"/>
          <w:szCs w:val="18"/>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 if our product candidates receive regulatory approval, they will be subject to significant post-marketing regulatory requirements.</w:t>
      </w:r>
    </w:p>
    <w:p>
      <w:pPr>
        <w:spacing w:after="0" w:line="121" w:lineRule="exact"/>
        <w:rPr>
          <w:sz w:val="20"/>
          <w:szCs w:val="20"/>
          <w:color w:val="auto"/>
        </w:rPr>
      </w:pPr>
    </w:p>
    <w:p>
      <w:pPr>
        <w:ind w:firstLine="567"/>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8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BLAs or supplements to approved BLAs.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w:t>
      </w:r>
    </w:p>
    <w:p>
      <w:pPr>
        <w:spacing w:after="0" w:line="225"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1" w:name="page52"/>
    <w:bookmarkEnd w:id="51"/>
    <w:p>
      <w:pPr>
        <w:spacing w:after="0" w:line="3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government. Additionally, comparable foreign regulatory authorities will heavily scrutinize advertising and promotion of any product candidate that obtains approval outside of the United States.</w:t>
      </w:r>
    </w:p>
    <w:p>
      <w:pPr>
        <w:spacing w:after="0" w:line="162"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9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87" w:lineRule="exact"/>
        <w:rPr>
          <w:sz w:val="20"/>
          <w:szCs w:val="20"/>
          <w:color w:val="auto"/>
        </w:rPr>
      </w:pPr>
    </w:p>
    <w:p>
      <w:pPr>
        <w:ind w:right="40" w:firstLine="567"/>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84"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color w:val="auto"/>
        </w:rPr>
        <w:t>We plan to seek Orphan Drug Designation for imsidolimab or certain of our other product candidates, and we may not be able to obtain or maintain Orphan Drug Designation or obtain the benefits associated with Orphan Drug status, including market exclusivity.</w:t>
      </w:r>
    </w:p>
    <w:p>
      <w:pPr>
        <w:spacing w:after="0" w:line="158" w:lineRule="exact"/>
        <w:rPr>
          <w:sz w:val="20"/>
          <w:szCs w:val="20"/>
          <w:color w:val="auto"/>
        </w:rPr>
      </w:pPr>
    </w:p>
    <w:p>
      <w:pPr>
        <w:ind w:firstLine="567"/>
        <w:spacing w:after="0" w:line="237"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We recently received Orphan Drug Designation from the FDA for imsidolimab for our GPP indication and plan to seek Orphan Drug Designation for imsidolimab in other indications and for certain of our other product candidates. Generally, if a biologic with an Orphan Drug Designation subsequently receives the first marketing approval for the indication for which it has such designation, the biologic is entitled to a period of marketing exclusivity, which precludes the FDA with respect to the United States or the EMA with respect to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or shorten the duration of, the regulatory review or approval process. Also, regulatory approval for any product candidate may be withdrawn and other candidates may obtain approval before us.</w:t>
      </w:r>
    </w:p>
    <w:p>
      <w:pPr>
        <w:spacing w:after="0" w:line="162" w:lineRule="exact"/>
        <w:rPr>
          <w:sz w:val="20"/>
          <w:szCs w:val="20"/>
          <w:color w:val="auto"/>
        </w:rPr>
      </w:pPr>
    </w:p>
    <w:p>
      <w:pPr>
        <w:jc w:val="both"/>
        <w:ind w:right="200" w:firstLine="567"/>
        <w:spacing w:after="0" w:line="245" w:lineRule="auto"/>
        <w:rPr>
          <w:sz w:val="20"/>
          <w:szCs w:val="20"/>
          <w:color w:val="auto"/>
        </w:rPr>
      </w:pPr>
      <w:r>
        <w:rPr>
          <w:rFonts w:ascii="Times New Roman" w:cs="Times New Roman" w:eastAsia="Times New Roman" w:hAnsi="Times New Roman"/>
          <w:sz w:val="18"/>
          <w:szCs w:val="18"/>
          <w:color w:val="auto"/>
        </w:rPr>
        <w:t>We have not been granted Orphan Drug Designation for imsidolimab for any indication other than GPP, and there can be no assurance that any of our other product candidates will be designated as an orphan drug. For example, we plan to seek FDA Orphan Drug Designation for imsidolimab for the treatment of PPP, which will likely require that we demonstrate to FDA that PPP is a distinct disease from psoriasis generally (a non-rare disease) or that use of imsidolimab may be appropriate for the treatment of PPP but not appropriate for use in the general psoriasis population.</w:t>
      </w:r>
    </w:p>
    <w:p>
      <w:pPr>
        <w:spacing w:after="0" w:line="181" w:lineRule="exact"/>
        <w:rPr>
          <w:sz w:val="20"/>
          <w:szCs w:val="20"/>
          <w:color w:val="auto"/>
        </w:rPr>
      </w:pPr>
    </w:p>
    <w:p>
      <w:pPr>
        <w:ind w:firstLine="567"/>
        <w:spacing w:after="0"/>
        <w:rPr>
          <w:sz w:val="20"/>
          <w:szCs w:val="20"/>
          <w:color w:val="auto"/>
        </w:rPr>
      </w:pPr>
      <w:r>
        <w:rPr>
          <w:rFonts w:ascii="Times New Roman" w:cs="Times New Roman" w:eastAsia="Times New Roman" w:hAnsi="Times New Roman"/>
          <w:sz w:val="18"/>
          <w:szCs w:val="18"/>
          <w:color w:val="auto"/>
        </w:rPr>
        <w:t>Even if we obtain Orphan Drug Designation for imsidolimab in indications other than GPP, or for any of our other product candidates,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188" w:lineRule="exact"/>
        <w:rPr>
          <w:sz w:val="20"/>
          <w:szCs w:val="20"/>
          <w:color w:val="auto"/>
        </w:rPr>
      </w:pPr>
    </w:p>
    <w:p>
      <w:pPr>
        <w:ind w:right="20" w:firstLine="567"/>
        <w:spacing w:after="0" w:line="273" w:lineRule="auto"/>
        <w:rPr>
          <w:sz w:val="20"/>
          <w:szCs w:val="20"/>
          <w:color w:val="auto"/>
        </w:rPr>
      </w:pPr>
      <w:r>
        <w:rPr>
          <w:rFonts w:ascii="Times New Roman" w:cs="Times New Roman" w:eastAsia="Times New Roman" w:hAnsi="Times New Roman"/>
          <w:sz w:val="17"/>
          <w:szCs w:val="17"/>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1"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02"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94"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87" w:lineRule="exact"/>
        <w:rPr>
          <w:sz w:val="20"/>
          <w:szCs w:val="20"/>
          <w:color w:val="auto"/>
        </w:rPr>
      </w:pPr>
    </w:p>
    <w:p>
      <w:pPr>
        <w:ind w:right="160" w:firstLine="567"/>
        <w:spacing w:after="0" w:line="261" w:lineRule="auto"/>
        <w:rPr>
          <w:sz w:val="20"/>
          <w:szCs w:val="20"/>
          <w:color w:val="auto"/>
        </w:rPr>
      </w:pPr>
      <w:r>
        <w:rPr>
          <w:rFonts w:ascii="Times New Roman" w:cs="Times New Roman" w:eastAsia="Times New Roman" w:hAnsi="Times New Roman"/>
          <w:sz w:val="18"/>
          <w:szCs w:val="18"/>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80" w:lineRule="exact"/>
        <w:rPr>
          <w:sz w:val="20"/>
          <w:szCs w:val="20"/>
          <w:color w:val="auto"/>
        </w:rPr>
      </w:pPr>
    </w:p>
    <w:p>
      <w:pPr>
        <w:ind w:right="200" w:firstLine="567"/>
        <w:spacing w:after="0" w:line="261" w:lineRule="auto"/>
        <w:rPr>
          <w:sz w:val="20"/>
          <w:szCs w:val="20"/>
          <w:color w:val="auto"/>
        </w:rPr>
      </w:pPr>
      <w:r>
        <w:rPr>
          <w:rFonts w:ascii="Times New Roman" w:cs="Times New Roman" w:eastAsia="Times New Roman" w:hAnsi="Times New Roman"/>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0" w:lineRule="exact"/>
        <w:rPr>
          <w:sz w:val="20"/>
          <w:szCs w:val="20"/>
          <w:color w:val="auto"/>
        </w:rPr>
      </w:pPr>
    </w:p>
    <w:p>
      <w:pPr>
        <w:ind w:right="320" w:firstLine="567"/>
        <w:spacing w:after="0" w:line="258"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right="60" w:firstLine="567"/>
        <w:spacing w:after="0" w:line="238" w:lineRule="auto"/>
        <w:rPr>
          <w:sz w:val="20"/>
          <w:szCs w:val="20"/>
          <w:color w:val="auto"/>
        </w:rPr>
      </w:pPr>
      <w:r>
        <w:rPr>
          <w:rFonts w:ascii="Times New Roman" w:cs="Times New Roman" w:eastAsia="Times New Roman" w:hAnsi="Times New Roman"/>
          <w:sz w:val="18"/>
          <w:szCs w:val="18"/>
          <w:color w:val="auto"/>
        </w:rPr>
        <w:t>Some of the provisions of the Patient Protection and Affordable Care Act, as amended by the Health Care and Education Reconciliation Act (collectively,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included a provision repealing, effective January 1, 2019, the tax-based shared responsibility payment imposed by the ACA on certain individuals who fail to maintain qualifying health coverage for all or part of a year that is commonly referred to as the “individual mandate.” Additionally, the current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30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amended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140" w:firstLine="567"/>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 care items and services covered by plans that were authorized by the ACA. However, we cannot predict the ultimate content, timing or effect of any health 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 care funding, which could have a material adverse effect on customers for our drugs, if approved, and accordingly, our financial operations.</w:t>
      </w:r>
    </w:p>
    <w:p>
      <w:pPr>
        <w:spacing w:after="0" w:line="192" w:lineRule="exact"/>
        <w:rPr>
          <w:sz w:val="20"/>
          <w:szCs w:val="20"/>
          <w:color w:val="auto"/>
        </w:rPr>
      </w:pPr>
    </w:p>
    <w:p>
      <w:pPr>
        <w:ind w:right="20" w:firstLine="567"/>
        <w:spacing w:after="0" w:line="253" w:lineRule="auto"/>
        <w:rPr>
          <w:sz w:val="20"/>
          <w:szCs w:val="20"/>
          <w:color w:val="auto"/>
        </w:rPr>
      </w:pPr>
      <w:r>
        <w:rPr>
          <w:rFonts w:ascii="Times New Roman" w:cs="Times New Roman" w:eastAsia="Times New Roman" w:hAnsi="Times New Roman"/>
          <w:sz w:val="18"/>
          <w:szCs w:val="18"/>
          <w:color w:val="auto"/>
        </w:rPr>
        <w:t>Likewise, the annual Medicare Physician Fee Schedule update, which, until recently, was based on a target-setting formula system called the Sustainable Growth Rate (“SGR”) was adjusted to reflect the comparison of actual expenditures to target expenditures. Because one of the factors for calculating the SGR was linked to the growth in the U.S. gross domestic product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zero percent update to the Medicare Physician Fee Schedule for the January 1 to July 1, 2015 period, a 0.5% payment update for July 2015 through the end of 2019, and a zero percent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90"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We expect that the ACA, as well as other health 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 care reforms may prevent us from being able to generate revenue, attain profitability, or commercialize our product candidates.</w:t>
      </w:r>
    </w:p>
    <w:p>
      <w:pPr>
        <w:spacing w:after="0" w:line="180"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200" w:lineRule="exact"/>
        <w:rPr>
          <w:sz w:val="20"/>
          <w:szCs w:val="20"/>
          <w:color w:val="auto"/>
        </w:rPr>
      </w:pPr>
    </w:p>
    <w:p>
      <w:pPr>
        <w:spacing w:after="0" w:line="2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9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67" w:lineRule="exact"/>
        <w:rPr>
          <w:sz w:val="20"/>
          <w:szCs w:val="20"/>
          <w:color w:val="auto"/>
        </w:rPr>
      </w:pPr>
    </w:p>
    <w:p>
      <w:pPr>
        <w:ind w:right="120" w:firstLine="567"/>
        <w:spacing w:after="0" w:line="258"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75" w:lineRule="exact"/>
        <w:rPr>
          <w:sz w:val="20"/>
          <w:szCs w:val="20"/>
          <w:color w:val="auto"/>
        </w:rPr>
      </w:pPr>
    </w:p>
    <w:p>
      <w:pPr>
        <w:ind w:left="660" w:right="14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(“HIPAA”) imposes criminal and civil liability for, among other things, executing or attempting to execute a scheme to defraud any health care benefit program or making false statements relating to health care matters;</w:t>
      </w:r>
    </w:p>
    <w:p>
      <w:pPr>
        <w:spacing w:after="0" w:line="31" w:lineRule="exact"/>
        <w:rPr>
          <w:rFonts w:ascii="Times New Roman" w:cs="Times New Roman" w:eastAsia="Times New Roman" w:hAnsi="Times New Roman"/>
          <w:sz w:val="17"/>
          <w:szCs w:val="17"/>
          <w:color w:val="auto"/>
        </w:rPr>
      </w:pPr>
    </w:p>
    <w:p>
      <w:pPr>
        <w:jc w:val="both"/>
        <w:ind w:left="660" w:right="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02" w:lineRule="exact"/>
        <w:rPr>
          <w:sz w:val="20"/>
          <w:szCs w:val="20"/>
          <w:color w:val="auto"/>
        </w:rPr>
      </w:pPr>
    </w:p>
    <w:p>
      <w:pPr>
        <w:ind w:right="60" w:firstLine="567"/>
        <w:spacing w:after="0" w:line="254"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w:t>
      </w:r>
    </w:p>
    <w:p>
      <w:pPr>
        <w:spacing w:after="0" w:line="188" w:lineRule="exact"/>
        <w:rPr>
          <w:sz w:val="20"/>
          <w:szCs w:val="20"/>
          <w:color w:val="auto"/>
        </w:rPr>
      </w:pPr>
    </w:p>
    <w:p>
      <w:pPr>
        <w:ind w:firstLine="567"/>
        <w:spacing w:after="0" w:line="236" w:lineRule="auto"/>
        <w:rPr>
          <w:sz w:val="20"/>
          <w:szCs w:val="20"/>
          <w:color w:val="auto"/>
        </w:rPr>
      </w:pPr>
      <w:r>
        <w:rPr>
          <w:rFonts w:ascii="Times New Roman" w:cs="Times New Roman" w:eastAsia="Times New Roman" w:hAnsi="Times New Roman"/>
          <w:sz w:val="18"/>
          <w:szCs w:val="18"/>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new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following a decision of the Court of Justice of the EU in October 2015, the transfer of personal data to U.S. companies that had certified as members of the U.S. Safe Harbor Scheme was declared invalid. In July 2016, the European Commission adopted the EU-U.S. Privacy Shield Framework (the “Privacy Shield Framework”), which replaced the U.S. Safe Harbor Scheme. On July 16, 2020, the Court of Justice of the European Union issued a decision that declared the Privacy Shield Framework invalid, which will also result in additional compliance obligations for companies that implement standard contractual clauses to ensure a valid basis for the transfer of personal data outside of Europe. Additionally, in June 2018, California passed the California Consumer Privacy Act (“CCPA”), which provides new data privacy rights for consumers and new operational requirements for companies effective in 2020.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196" w:lineRule="exact"/>
        <w:rPr>
          <w:sz w:val="20"/>
          <w:szCs w:val="20"/>
          <w:color w:val="auto"/>
        </w:rPr>
      </w:pPr>
    </w:p>
    <w:p>
      <w:pPr>
        <w:ind w:right="180" w:firstLine="567"/>
        <w:spacing w:after="0" w:line="270" w:lineRule="auto"/>
        <w:rPr>
          <w:sz w:val="20"/>
          <w:szCs w:val="20"/>
          <w:color w:val="auto"/>
        </w:rPr>
      </w:pPr>
      <w:r>
        <w:rPr>
          <w:rFonts w:ascii="Times New Roman" w:cs="Times New Roman" w:eastAsia="Times New Roman" w:hAnsi="Times New Roman"/>
          <w:sz w:val="17"/>
          <w:szCs w:val="17"/>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8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employees may engage in misconduct or other improper activities, including noncompliance with regulatory standards and requirements and insider trading.</w:t>
      </w:r>
    </w:p>
    <w:p>
      <w:pPr>
        <w:spacing w:after="0" w:line="51" w:lineRule="exact"/>
        <w:rPr>
          <w:sz w:val="20"/>
          <w:szCs w:val="20"/>
          <w:color w:val="auto"/>
        </w:rPr>
      </w:pPr>
    </w:p>
    <w:p>
      <w:pPr>
        <w:ind w:right="800" w:firstLine="567"/>
        <w:spacing w:after="0" w:line="28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67"/>
        <w:spacing w:after="0" w:line="269" w:lineRule="auto"/>
        <w:rPr>
          <w:sz w:val="20"/>
          <w:szCs w:val="20"/>
          <w:color w:val="auto"/>
        </w:rPr>
      </w:pPr>
      <w:r>
        <w:rPr>
          <w:rFonts w:ascii="Times New Roman" w:cs="Times New Roman" w:eastAsia="Times New Roman" w:hAnsi="Times New Roman"/>
          <w:sz w:val="17"/>
          <w:szCs w:val="17"/>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76"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94" w:lineRule="exact"/>
        <w:rPr>
          <w:sz w:val="20"/>
          <w:szCs w:val="20"/>
          <w:color w:val="auto"/>
        </w:rPr>
      </w:pPr>
    </w:p>
    <w:p>
      <w:pPr>
        <w:ind w:right="80" w:firstLine="567"/>
        <w:spacing w:after="0" w:line="277" w:lineRule="auto"/>
        <w:rPr>
          <w:sz w:val="20"/>
          <w:szCs w:val="20"/>
          <w:color w:val="auto"/>
        </w:rPr>
      </w:pPr>
      <w:r>
        <w:rPr>
          <w:rFonts w:ascii="Times New Roman" w:cs="Times New Roman" w:eastAsia="Times New Roman" w:hAnsi="Times New Roman"/>
          <w:sz w:val="17"/>
          <w:szCs w:val="17"/>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0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against third parties practicing the technology claimed in such applications unless and until a patent issues from such applications, and then only to the extent the issued claims cover the technology.</w:t>
      </w:r>
    </w:p>
    <w:p>
      <w:pPr>
        <w:spacing w:after="0" w:line="162" w:lineRule="exact"/>
        <w:rPr>
          <w:sz w:val="20"/>
          <w:szCs w:val="20"/>
          <w:color w:val="auto"/>
        </w:rPr>
      </w:pPr>
    </w:p>
    <w:p>
      <w:pPr>
        <w:ind w:right="60" w:firstLine="567"/>
        <w:spacing w:after="0" w:line="253"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92"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20" w:firstLine="567"/>
        <w:spacing w:after="0" w:line="253"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194"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issuing and could provoke third parties to assert claims against us or our licensors, licensees or collaborators. We or our licensors, licensees or collaborators may not prevail in any lawsuits that we or our licensors or collaborators initiate, and the damages or other remedies awarded, if any, may not be commercially meaningful.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76" w:lineRule="exact"/>
        <w:rPr>
          <w:sz w:val="20"/>
          <w:szCs w:val="20"/>
          <w:color w:val="auto"/>
        </w:rPr>
      </w:pPr>
    </w:p>
    <w:p>
      <w:pPr>
        <w:ind w:right="80" w:firstLine="567"/>
        <w:spacing w:after="0" w:line="261"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180" w:lineRule="exact"/>
        <w:rPr>
          <w:sz w:val="20"/>
          <w:szCs w:val="20"/>
          <w:color w:val="auto"/>
        </w:rPr>
      </w:pPr>
    </w:p>
    <w:p>
      <w:pPr>
        <w:ind w:right="60" w:firstLine="567"/>
        <w:spacing w:after="0" w:line="258"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83" w:lineRule="exact"/>
        <w:rPr>
          <w:sz w:val="20"/>
          <w:szCs w:val="20"/>
          <w:color w:val="auto"/>
        </w:rPr>
      </w:pPr>
    </w:p>
    <w:p>
      <w:pPr>
        <w:ind w:right="80" w:firstLine="567"/>
        <w:spacing w:after="0" w:line="254"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192"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Times New Roman" w:cs="Times New Roman" w:eastAsia="Times New Roman" w:hAnsi="Times New Roman"/>
          <w:sz w:val="18"/>
          <w:szCs w:val="18"/>
          <w:i w:val="1"/>
          <w:iCs w:val="1"/>
          <w:color w:val="auto"/>
        </w:rPr>
        <w:t>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Molecular Pathology v. Myriad Genetics,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BRCA1- &amp; BRCA2-Based Hereditary Cancer Test Patent Litig</w:t>
      </w:r>
      <w:r>
        <w:rPr>
          <w:rFonts w:ascii="Times New Roman" w:cs="Times New Roman" w:eastAsia="Times New Roman" w:hAnsi="Times New Roman"/>
          <w:sz w:val="18"/>
          <w:szCs w:val="18"/>
          <w:color w:val="auto"/>
        </w:rPr>
        <w:t>., Mayo Collaborative Services 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or collaborators may obtain in the future.</w:t>
      </w:r>
    </w:p>
    <w:p>
      <w:pPr>
        <w:spacing w:after="0" w:line="29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jc w:val="both"/>
        <w:ind w:right="100" w:firstLine="567"/>
        <w:spacing w:after="0" w:line="282"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8"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1" w:lineRule="exact"/>
        <w:rPr>
          <w:sz w:val="20"/>
          <w:szCs w:val="20"/>
          <w:color w:val="auto"/>
        </w:rPr>
      </w:pPr>
    </w:p>
    <w:p>
      <w:pPr>
        <w:ind w:firstLine="567"/>
        <w:spacing w:after="0" w:line="237" w:lineRule="auto"/>
        <w:rPr>
          <w:sz w:val="20"/>
          <w:szCs w:val="20"/>
          <w:color w:val="auto"/>
        </w:rPr>
      </w:pPr>
      <w:r>
        <w:rPr>
          <w:rFonts w:ascii="Times New Roman" w:cs="Times New Roman" w:eastAsia="Times New Roman" w:hAnsi="Times New Roman"/>
          <w:sz w:val="18"/>
          <w:szCs w:val="18"/>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302"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0"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194" w:lineRule="exact"/>
        <w:rPr>
          <w:sz w:val="20"/>
          <w:szCs w:val="20"/>
          <w:color w:val="auto"/>
        </w:rPr>
      </w:pPr>
    </w:p>
    <w:p>
      <w:pPr>
        <w:jc w:val="both"/>
        <w:ind w:right="140" w:firstLine="567"/>
        <w:spacing w:after="0" w:line="26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80" w:lineRule="exact"/>
        <w:rPr>
          <w:sz w:val="20"/>
          <w:szCs w:val="20"/>
          <w:color w:val="auto"/>
        </w:rPr>
      </w:pPr>
    </w:p>
    <w:p>
      <w:pPr>
        <w:ind w:right="80" w:firstLine="567"/>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84" w:lineRule="exact"/>
        <w:rPr>
          <w:sz w:val="20"/>
          <w:szCs w:val="20"/>
          <w:color w:val="auto"/>
        </w:rPr>
      </w:pPr>
    </w:p>
    <w:p>
      <w:pPr>
        <w:ind w:right="1420"/>
        <w:spacing w:after="0" w:line="286" w:lineRule="auto"/>
        <w:rPr>
          <w:sz w:val="20"/>
          <w:szCs w:val="20"/>
          <w:color w:val="auto"/>
        </w:rPr>
      </w:pPr>
      <w:r>
        <w:rPr>
          <w:rFonts w:ascii="Times New Roman" w:cs="Times New Roman" w:eastAsia="Times New Roman" w:hAnsi="Times New Roman"/>
          <w:sz w:val="18"/>
          <w:szCs w:val="18"/>
          <w:b w:val="1"/>
          <w:bCs w:val="1"/>
          <w:color w:val="auto"/>
        </w:rPr>
        <w:t>If we breach the license agreements related to our product candidates, we could lose the ability to continue the development and commercialization of our product candidates.</w:t>
      </w:r>
    </w:p>
    <w:p>
      <w:pPr>
        <w:spacing w:after="0" w:line="5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licensors, licensees and collaborators, to develop, manufacture, market and sell our product candidates and use our and our licensors’, licensees’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9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collaborators;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740" w:firstLine="567"/>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6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7" w:lineRule="exact"/>
        <w:rPr>
          <w:sz w:val="20"/>
          <w:szCs w:val="20"/>
          <w:color w:val="auto"/>
        </w:rPr>
      </w:pPr>
    </w:p>
    <w:p>
      <w:pPr>
        <w:ind w:right="80" w:firstLine="567"/>
        <w:spacing w:after="0" w:line="256"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licensees or collaborators alleging that we or our licensors, licensees or collaborators infringe their intellectual property rights or that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or collaborators.</w:t>
      </w:r>
    </w:p>
    <w:p>
      <w:pPr>
        <w:spacing w:after="0" w:line="187" w:lineRule="exact"/>
        <w:rPr>
          <w:sz w:val="20"/>
          <w:szCs w:val="20"/>
          <w:color w:val="auto"/>
        </w:rPr>
      </w:pPr>
    </w:p>
    <w:p>
      <w:pPr>
        <w:ind w:right="60" w:firstLine="567"/>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40" w:firstLine="567"/>
        <w:spacing w:after="0" w:line="256"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87"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1"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280" w:firstLine="567"/>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collaborations, joint ventures, collaborations or capital commitments;</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existing collaboration agreements and announcements of new collaboration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breaches and terminations of our manufacturing agreements, collaborations agreements or other important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firstLine="567"/>
        <w:spacing w:after="0" w:line="239"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are currently subject to securities litigation, which is described in Item 1, “Legal Proceedings.” This or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180" w:firstLine="567"/>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567"/>
        <w:spacing w:after="0" w:line="245"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We are currently subject to securities litigation, which is described in Item 1, “Legal Proceedings.” Regardless of the outcome, these matters or future litigation against us could result in substantial costs and divert our management’s attention from other business concerns, which could seriously harm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and these expenses have increased and will continue to increase.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1"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80" w:firstLine="567"/>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200" w:lineRule="exact"/>
        <w:rPr>
          <w:sz w:val="20"/>
          <w:szCs w:val="20"/>
          <w:color w:val="auto"/>
        </w:rPr>
      </w:pPr>
    </w:p>
    <w:p>
      <w:pPr>
        <w:spacing w:after="0" w:line="20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100" w:firstLine="567"/>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ind w:right="120" w:firstLine="567"/>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We plan to use potential future operating losses and our federal and state net operating loss (“NOL”) carryforwards to offset taxable income from revenue generated from operations or corporate collaborations. However, our ability to use NOL carryforwards could be limited as a result of additional issuances of equity securities.</w:t>
      </w:r>
    </w:p>
    <w:p>
      <w:pPr>
        <w:spacing w:after="0" w:line="67" w:lineRule="exact"/>
        <w:rPr>
          <w:sz w:val="20"/>
          <w:szCs w:val="20"/>
          <w:color w:val="auto"/>
        </w:rPr>
      </w:pPr>
    </w:p>
    <w:p>
      <w:pPr>
        <w:ind w:right="100" w:firstLine="567"/>
        <w:spacing w:after="0" w:line="253" w:lineRule="auto"/>
        <w:rPr>
          <w:sz w:val="20"/>
          <w:szCs w:val="20"/>
          <w:color w:val="auto"/>
        </w:rPr>
      </w:pPr>
      <w:r>
        <w:rPr>
          <w:rFonts w:ascii="Times New Roman" w:cs="Times New Roman" w:eastAsia="Times New Roman" w:hAnsi="Times New Roman"/>
          <w:sz w:val="18"/>
          <w:szCs w:val="18"/>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7" w:name="page68"/>
    <w:bookmarkEnd w:id="6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54" w:lineRule="exact"/>
        <w:rPr>
          <w:sz w:val="20"/>
          <w:szCs w:val="20"/>
          <w:color w:val="auto"/>
        </w:rPr>
      </w:pPr>
    </w:p>
    <w:p>
      <w:pPr>
        <w:ind w:right="20" w:firstLine="567"/>
        <w:spacing w:after="0" w:line="253"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2019, we have federal NOLs of approximately $239.4 million, which expire beginning December 31, 2028 through December 31, 2037, if not used to reduce income taxes payable in the future. The federal net operating loss carry over includes $95.5 million of net operating losses generated in 2019. Federal net operating losses generated in 2019 carry over indefinitely and may generally be used to offset up to 80% of future taxable income in the year it is utilized.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below.</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022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2"/>
        </w:trPr>
        <w:tc>
          <w:tcPr>
            <w:tcW w:w="9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220" w:type="dxa"/>
            <w:vAlign w:val="bottom"/>
          </w:tcPr>
          <w:p>
            <w:pPr>
              <w:spacing w:after="0"/>
              <w:rPr>
                <w:sz w:val="24"/>
                <w:szCs w:val="24"/>
                <w:color w:val="auto"/>
              </w:rPr>
            </w:pPr>
          </w:p>
        </w:tc>
      </w:tr>
      <w:tr>
        <w:trPr>
          <w:trHeight w:val="243"/>
        </w:trPr>
        <w:tc>
          <w:tcPr>
            <w:tcW w:w="9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220" w:type="dxa"/>
            <w:vAlign w:val="bottom"/>
          </w:tcPr>
          <w:p>
            <w:pPr>
              <w:ind w:left="45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10220" w:type="dxa"/>
            <w:vAlign w:val="bottom"/>
          </w:tcPr>
          <w:p>
            <w:pPr>
              <w:ind w:left="180"/>
              <w:spacing w:after="0"/>
              <w:rPr>
                <w:rFonts w:ascii="Times New Roman" w:cs="Times New Roman" w:eastAsia="Times New Roman" w:hAnsi="Times New Roman"/>
                <w:sz w:val="16"/>
                <w:szCs w:val="16"/>
                <w:u w:val="single" w:color="auto"/>
                <w:color w:val="0000FF"/>
              </w:rPr>
            </w:pPr>
            <w:hyperlink w:anchor="page71">
              <w:r>
                <w:rPr>
                  <w:rFonts w:ascii="Times New Roman" w:cs="Times New Roman" w:eastAsia="Times New Roman" w:hAnsi="Times New Roman"/>
                  <w:sz w:val="16"/>
                  <w:szCs w:val="16"/>
                  <w:u w:val="single" w:color="auto"/>
                  <w:color w:val="0000FF"/>
                </w:rPr>
                <w:t>Amended and Restated Employment Agreement, effective July 15, 2020, by and between Registrant and Eric Loumeau</w:t>
              </w:r>
            </w:hyperlink>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10220" w:type="dxa"/>
            <w:vAlign w:val="bottom"/>
          </w:tcPr>
          <w:p>
            <w:pPr>
              <w:ind w:left="180"/>
              <w:spacing w:after="0"/>
              <w:rPr>
                <w:rFonts w:ascii="Times New Roman" w:cs="Times New Roman" w:eastAsia="Times New Roman" w:hAnsi="Times New Roman"/>
                <w:sz w:val="16"/>
                <w:szCs w:val="16"/>
                <w:u w:val="single" w:color="auto"/>
                <w:color w:val="0000FF"/>
              </w:rPr>
            </w:pPr>
            <w:hyperlink w:anchor="page85">
              <w:r>
                <w:rPr>
                  <w:rFonts w:ascii="Times New Roman" w:cs="Times New Roman" w:eastAsia="Times New Roman" w:hAnsi="Times New Roman"/>
                  <w:sz w:val="16"/>
                  <w:szCs w:val="16"/>
                  <w:u w:val="single" w:color="auto"/>
                  <w:color w:val="0000FF"/>
                </w:rPr>
                <w:t>Employment Agreement, effective July 15, 2020, by and between Registrant and Dennis Mulroy</w:t>
              </w:r>
            </w:hyperlink>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10220" w:type="dxa"/>
            <w:vAlign w:val="bottom"/>
          </w:tcPr>
          <w:p>
            <w:pPr>
              <w:ind w:left="180"/>
              <w:spacing w:after="0"/>
              <w:rPr>
                <w:rFonts w:ascii="Times New Roman" w:cs="Times New Roman" w:eastAsia="Times New Roman" w:hAnsi="Times New Roman"/>
                <w:sz w:val="16"/>
                <w:szCs w:val="16"/>
                <w:u w:val="single" w:color="auto"/>
                <w:color w:val="0000FF"/>
              </w:rPr>
            </w:pPr>
            <w:hyperlink w:anchor="page98">
              <w:r>
                <w:rPr>
                  <w:rFonts w:ascii="Times New Roman" w:cs="Times New Roman" w:eastAsia="Times New Roman" w:hAnsi="Times New Roman"/>
                  <w:sz w:val="16"/>
                  <w:szCs w:val="16"/>
                  <w:u w:val="single" w:color="auto"/>
                  <w:color w:val="0000FF"/>
                </w:rPr>
                <w:t>Employment Agreement, effective July 31, 2020, by and between Registrant and Paul Lizzul</w:t>
              </w:r>
            </w:hyperlink>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0220" w:type="dxa"/>
            <w:vAlign w:val="bottom"/>
          </w:tcPr>
          <w:p>
            <w:pPr>
              <w:ind w:left="180"/>
              <w:spacing w:after="0"/>
              <w:rPr>
                <w:rFonts w:ascii="Times New Roman" w:cs="Times New Roman" w:eastAsia="Times New Roman" w:hAnsi="Times New Roman"/>
                <w:sz w:val="16"/>
                <w:szCs w:val="16"/>
                <w:u w:val="single" w:color="auto"/>
                <w:color w:val="0000FF"/>
              </w:rPr>
            </w:pPr>
            <w:hyperlink w:anchor="page112">
              <w:r>
                <w:rPr>
                  <w:rFonts w:ascii="Times New Roman" w:cs="Times New Roman" w:eastAsia="Times New Roman" w:hAnsi="Times New Roman"/>
                  <w:sz w:val="16"/>
                  <w:szCs w:val="16"/>
                  <w:u w:val="single" w:color="auto"/>
                  <w:color w:val="0000FF"/>
                </w:rPr>
                <w:t>Certification of Principal Executive Officer, pursuant to Rule 13a-14(a)/15d-14(a), as adopted pursuant to Section 302 of the Sarbanes-Oxley Act of 2002.</w:t>
              </w:r>
            </w:hyperlink>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220" w:type="dxa"/>
            <w:vAlign w:val="bottom"/>
          </w:tcPr>
          <w:p>
            <w:pPr>
              <w:ind w:left="180"/>
              <w:spacing w:after="0"/>
              <w:rPr>
                <w:rFonts w:ascii="Times New Roman" w:cs="Times New Roman" w:eastAsia="Times New Roman" w:hAnsi="Times New Roman"/>
                <w:sz w:val="16"/>
                <w:szCs w:val="16"/>
                <w:u w:val="single" w:color="auto"/>
                <w:color w:val="0000FF"/>
              </w:rPr>
            </w:pPr>
            <w:hyperlink w:anchor="page113">
              <w:r>
                <w:rPr>
                  <w:rFonts w:ascii="Times New Roman" w:cs="Times New Roman" w:eastAsia="Times New Roman" w:hAnsi="Times New Roman"/>
                  <w:sz w:val="16"/>
                  <w:szCs w:val="16"/>
                  <w:u w:val="single" w:color="auto"/>
                  <w:color w:val="0000FF"/>
                </w:rPr>
                <w:t>Certification of Principal Financial Officer, pursuant to Rule 13a-14(a)/15d-14(a), as adopted pursuant to Section 302 of the Sarbanes-Oxley Act of 2002.</w:t>
              </w:r>
            </w:hyperlink>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0220" w:type="dxa"/>
            <w:vAlign w:val="bottom"/>
          </w:tcPr>
          <w:p>
            <w:pPr>
              <w:ind w:left="180"/>
              <w:spacing w:after="0"/>
              <w:rPr>
                <w:rFonts w:ascii="Times New Roman" w:cs="Times New Roman" w:eastAsia="Times New Roman" w:hAnsi="Times New Roman"/>
                <w:sz w:val="16"/>
                <w:szCs w:val="16"/>
                <w:u w:val="single" w:color="auto"/>
                <w:color w:val="0000FF"/>
              </w:rPr>
            </w:pPr>
            <w:hyperlink w:anchor="page114">
              <w:r>
                <w:rPr>
                  <w:rFonts w:ascii="Times New Roman" w:cs="Times New Roman" w:eastAsia="Times New Roman" w:hAnsi="Times New Roman"/>
                  <w:sz w:val="16"/>
                  <w:szCs w:val="16"/>
                  <w:u w:val="single" w:color="auto"/>
                  <w:color w:val="0000FF"/>
                </w:rPr>
                <w:t>Certification of Chief Executive Officer, pursuant to 18 U.S.C. Section 1350, as adopted pursuant to Section 906 of the Sarbanes-Oxley Act of 2002.</w:t>
              </w:r>
            </w:hyperlink>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220" w:type="dxa"/>
            <w:vAlign w:val="bottom"/>
          </w:tcPr>
          <w:p>
            <w:pPr>
              <w:ind w:left="180"/>
              <w:spacing w:after="0"/>
              <w:rPr>
                <w:rFonts w:ascii="Times New Roman" w:cs="Times New Roman" w:eastAsia="Times New Roman" w:hAnsi="Times New Roman"/>
                <w:sz w:val="16"/>
                <w:szCs w:val="16"/>
                <w:color w:val="0000FF"/>
              </w:rPr>
            </w:pPr>
            <w:hyperlink w:anchor="page115">
              <w:r>
                <w:rPr>
                  <w:rFonts w:ascii="Times New Roman" w:cs="Times New Roman" w:eastAsia="Times New Roman" w:hAnsi="Times New Roman"/>
                  <w:sz w:val="16"/>
                  <w:szCs w:val="16"/>
                  <w:u w:val="single" w:color="auto"/>
                  <w:color w:val="0000FF"/>
                </w:rPr>
                <w:t>Certification of Chief Financial Officer, pursuant to 18 U.S.C. Section 1350, as adopted pursuant to Section 906 of the Sarbanes-Oxley Act of 2002</w:t>
              </w:r>
              <w:r>
                <w:rPr>
                  <w:rFonts w:ascii="Times New Roman" w:cs="Times New Roman" w:eastAsia="Times New Roman" w:hAnsi="Times New Roman"/>
                  <w:sz w:val="16"/>
                  <w:szCs w:val="16"/>
                  <w:color w:val="0000FF"/>
                </w:rPr>
                <w:t>.</w:t>
              </w:r>
            </w:hyperlink>
          </w:p>
        </w:tc>
      </w:tr>
      <w:tr>
        <w:trPr>
          <w:trHeight w:val="28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Inline XBRL Report Instance Document - The Instance document does not appear in the Interactive Data File because its XBRL tags are embedded within</w:t>
            </w:r>
          </w:p>
        </w:tc>
      </w:tr>
      <w:tr>
        <w:trPr>
          <w:trHeight w:val="198"/>
        </w:trPr>
        <w:tc>
          <w:tcPr>
            <w:tcW w:w="980" w:type="dxa"/>
            <w:vAlign w:val="bottom"/>
          </w:tcPr>
          <w:p>
            <w:pPr>
              <w:spacing w:after="0"/>
              <w:rPr>
                <w:sz w:val="17"/>
                <w:szCs w:val="17"/>
                <w:color w:val="auto"/>
              </w:rPr>
            </w:pPr>
          </w:p>
        </w:tc>
        <w:tc>
          <w:tcPr>
            <w:tcW w:w="10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Inline XBRL document</w:t>
            </w: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Inline XBRL Taxonomy Label Linkbase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Inline XBRL Presentation Linkbase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Cover Page Interactive Data File - (formatted in Inline XBRL and contained in Exhibit 101)</w:t>
            </w: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compensation plan or agreement.</w:t>
      </w:r>
    </w:p>
    <w:p>
      <w:pPr>
        <w:spacing w:after="0" w:line="2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AnaptysBio, Inc.</w:t>
      </w:r>
    </w:p>
    <w:p>
      <w:pPr>
        <w:spacing w:after="0" w:line="239"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Times New Roman" w:cs="Times New Roman" w:eastAsia="Times New Roman" w:hAnsi="Times New Roman"/>
          <w:sz w:val="18"/>
          <w:szCs w:val="18"/>
          <w:color w:val="auto"/>
        </w:rPr>
        <w:t>Date:</w:t>
        <w:tab/>
        <w:t>November 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26035</wp:posOffset>
            </wp:positionV>
            <wp:extent cx="37890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Hamza Suria</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Times New Roman" w:cs="Times New Roman" w:eastAsia="Times New Roman" w:hAnsi="Times New Roman"/>
          <w:sz w:val="18"/>
          <w:szCs w:val="18"/>
          <w:color w:val="auto"/>
        </w:rPr>
        <w:t>Date:</w:t>
        <w:tab/>
        <w:t>November 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26035</wp:posOffset>
            </wp:positionV>
            <wp:extent cx="37890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Dennis Mulroy</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340"/>
          </w:cols>
          <w:pgMar w:left="320" w:top="1440" w:right="1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EMPLOYMENT AGREEMENT</w:t>
      </w:r>
    </w:p>
    <w:p>
      <w:pPr>
        <w:spacing w:after="0" w:line="2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This Amended and Restated Employment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effective from July 15, 2020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 among AnaptysBio,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Eric Loumeau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The Company and Executive are hereinafter collectively referred to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and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This Agreement amends and restates in its entirety that certain Employment Agreement between Executive and the Company dated August 6, 2018 (the “</w:t>
      </w:r>
      <w:r>
        <w:rPr>
          <w:rFonts w:ascii="Times New Roman" w:cs="Times New Roman" w:eastAsia="Times New Roman" w:hAnsi="Times New Roman"/>
          <w:sz w:val="20"/>
          <w:szCs w:val="20"/>
          <w:b w:val="1"/>
          <w:bCs w:val="1"/>
          <w:i w:val="1"/>
          <w:iCs w:val="1"/>
          <w:color w:val="auto"/>
        </w:rPr>
        <w:t>Prior Agreement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desires to employ Executive, and Executive is willing to accept such employment by Company, on the terms and subject to the conditions set forth in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consideration of the foregoing Recitals and the mutual promises and covenants herein contained, and for other good and valuable consideration, the Parties, intending to be legally bound, agree as follows:</w:t>
      </w:r>
    </w:p>
    <w:p>
      <w:pPr>
        <w:spacing w:after="0" w:line="155"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EMPLOYMENT.</w:t>
      </w:r>
    </w:p>
    <w:p>
      <w:pPr>
        <w:spacing w:after="0" w:line="216" w:lineRule="exact"/>
        <w:rPr>
          <w:sz w:val="20"/>
          <w:szCs w:val="20"/>
          <w:color w:val="auto"/>
        </w:rPr>
      </w:pPr>
    </w:p>
    <w:p>
      <w:pPr>
        <w:jc w:val="both"/>
        <w:ind w:firstLine="1377"/>
        <w:spacing w:after="0" w:line="273" w:lineRule="auto"/>
        <w:rPr>
          <w:sz w:val="20"/>
          <w:szCs w:val="20"/>
          <w:color w:val="auto"/>
        </w:rPr>
      </w:pPr>
      <w:r>
        <w:rPr>
          <w:rFonts w:ascii="Times New Roman" w:cs="Times New Roman" w:eastAsia="Times New Roman" w:hAnsi="Times New Roman"/>
          <w:sz w:val="20"/>
          <w:szCs w:val="20"/>
          <w:b w:val="1"/>
          <w:bCs w:val="1"/>
          <w:color w:val="auto"/>
        </w:rPr>
        <w:t>1.1 Title</w:t>
      </w:r>
      <w:r>
        <w:rPr>
          <w:rFonts w:ascii="Times New Roman" w:cs="Times New Roman" w:eastAsia="Times New Roman" w:hAnsi="Times New Roman"/>
          <w:sz w:val="20"/>
          <w:szCs w:val="20"/>
          <w:color w:val="auto"/>
        </w:rPr>
        <w:t>. Effective as of the Effective Date, Executive’s position shall be Chief Operating Officer and General Counsel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subject to the terms and conditions set forth in this Agreement.</w:t>
      </w:r>
    </w:p>
    <w:p>
      <w:pPr>
        <w:spacing w:after="0" w:line="152"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1.2 Term</w:t>
      </w:r>
      <w:r>
        <w:rPr>
          <w:rFonts w:ascii="Times New Roman" w:cs="Times New Roman" w:eastAsia="Times New Roman" w:hAnsi="Times New Roman"/>
          <w:sz w:val="20"/>
          <w:szCs w:val="20"/>
          <w:color w:val="auto"/>
        </w:rPr>
        <w:t>. The term of this Agreement shall begin on the Effective Date and shall continue until it is terminated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 herein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b w:val="1"/>
          <w:bCs w:val="1"/>
          <w:color w:val="auto"/>
        </w:rPr>
        <w:t>1.3 Duties</w:t>
      </w:r>
      <w:r>
        <w:rPr>
          <w:rFonts w:ascii="Times New Roman" w:cs="Times New Roman" w:eastAsia="Times New Roman" w:hAnsi="Times New Roman"/>
          <w:sz w:val="20"/>
          <w:szCs w:val="20"/>
          <w:color w:val="auto"/>
        </w:rPr>
        <w:t>. Executive shall do and perform all services, acts or things necessary or advisable to manage and conduct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of the Company and that are normally associated with the positions of Chief Operating Officer and General Counsel of the Company. Executive shall also do and perform all services, acts or things necessary or advisable to manage and conduct the business of the Company and that are normally associated with the positions of Secretary and Chief Compliance Officer of the Company. Executive shall report to the Chief Executive Officer.</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1.4 Policies and Practices</w:t>
      </w:r>
      <w:r>
        <w:rPr>
          <w:rFonts w:ascii="Times New Roman" w:cs="Times New Roman" w:eastAsia="Times New Roman" w:hAnsi="Times New Roman"/>
          <w:sz w:val="20"/>
          <w:szCs w:val="20"/>
          <w:color w:val="auto"/>
        </w:rPr>
        <w:t>. The employment relationship between the Parties shall be governed by this Agreement and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policies and practices established by the Company and/or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or any designated committee thereof. In the event that the terms of this Agreement differ from or are in conflict with the Company’s policies or practices or the Company’s Employee Handbook, this Agreement shall control.</w:t>
      </w:r>
    </w:p>
    <w:p>
      <w:pPr>
        <w:spacing w:after="0" w:line="17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b w:val="1"/>
          <w:bCs w:val="1"/>
          <w:color w:val="auto"/>
        </w:rPr>
        <w:t>1.5 Location</w:t>
      </w:r>
      <w:r>
        <w:rPr>
          <w:rFonts w:ascii="Times New Roman" w:cs="Times New Roman" w:eastAsia="Times New Roman" w:hAnsi="Times New Roman"/>
          <w:sz w:val="20"/>
          <w:szCs w:val="20"/>
          <w:color w:val="auto"/>
        </w:rPr>
        <w:t>. Unless the Parties otherwise agree in writing, and except as provided in this Section 1.5, during the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Executive shall perform the services Executive is required to perform pursuant to this Agreement at the Company’s offices in San Diego, California;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Company may from time to time require Executive to travel temporarily to other locations in connection with the Company’s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upon the Effective Date, and until applicable government COVID-19 quarantine restrictions applicable to the San Diego office are lifted and the San</w:t>
      </w:r>
    </w:p>
    <w:p>
      <w:pPr>
        <w:sectPr>
          <w:pgSz w:w="11900" w:h="16838" w:orient="portrait"/>
          <w:cols w:equalWidth="0" w:num="1">
            <w:col w:w="11240"/>
          </w:cols>
          <w:pgMar w:left="320" w:top="140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Diego office reopens, the Company will allow Executive to perform the services remotely from Executive’s home.</w:t>
      </w:r>
    </w:p>
    <w:p>
      <w:pPr>
        <w:spacing w:after="0" w:line="212"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LOYALTY; NONCOMPETITION; NONSOLICITATION.</w:t>
      </w:r>
    </w:p>
    <w:p>
      <w:pPr>
        <w:spacing w:after="0" w:line="216"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2.1 Loyalty</w:t>
      </w:r>
      <w:r>
        <w:rPr>
          <w:rFonts w:ascii="Times New Roman" w:cs="Times New Roman" w:eastAsia="Times New Roman" w:hAnsi="Times New Roman"/>
          <w:sz w:val="20"/>
          <w:szCs w:val="20"/>
          <w:color w:val="auto"/>
        </w:rPr>
        <w:t>. During Executive’s employment with the Company, Executive shall devote Executive’s full business energies,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abilities and productive time to the proper and efficient performance of Executive’s duties under this Agreement.</w:t>
      </w:r>
    </w:p>
    <w:p>
      <w:pPr>
        <w:spacing w:after="0" w:line="15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9"/>
          <w:szCs w:val="19"/>
          <w:b w:val="1"/>
          <w:bCs w:val="1"/>
          <w:color w:val="auto"/>
        </w:rPr>
        <w:t>2.2 Agreement not to Participate in Company’s Competitors</w:t>
      </w:r>
      <w:r>
        <w:rPr>
          <w:rFonts w:ascii="Times New Roman" w:cs="Times New Roman" w:eastAsia="Times New Roman" w:hAnsi="Times New Roman"/>
          <w:sz w:val="19"/>
          <w:szCs w:val="19"/>
          <w:color w:val="auto"/>
        </w:rPr>
        <w:t>. During Executive’s employment with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agrees not to acquire, assume or participate in, directly or indirectly, any position, investment or interest known by Executive to be adverse or antagonistic to the Company, its business, or prospects, financial or otherwise, or in any company, person, or entity that is, directly or indirectly, in competition with the business of the Company or any of its Affiliates (as defined below). Ownership by Executive, in professionally managed funds over which Executive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“Affiliate,” means, with respect to any specific entity, any other entity that, directly or indirectly, through one or more intermediaries, controls, is controlled by or is under common control with such specified entity.</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9"/>
          <w:szCs w:val="19"/>
          <w:b w:val="1"/>
          <w:bCs w:val="1"/>
          <w:color w:val="auto"/>
        </w:rPr>
        <w:t>2.3 Covenant not to Compete</w:t>
      </w:r>
      <w:r>
        <w:rPr>
          <w:rFonts w:ascii="Times New Roman" w:cs="Times New Roman" w:eastAsia="Times New Roman" w:hAnsi="Times New Roman"/>
          <w:sz w:val="19"/>
          <w:szCs w:val="19"/>
          <w:color w:val="auto"/>
        </w:rPr>
        <w:t>. During Executive’s employment with the Company, Executive shall not engage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competition with the Company and/or any of its Affiliates in any manner or capacity, as adviser, principal, agent, affiliate, promoter, partner, officer, director, employee, owner, co-owner, consultant, in any phase of the business of developing, manufacturing and marketing of products or services that directly compete with the products or services of the Company, except with the prior written consent of the CEO. Executive shall be entitled to request written consent of the CEO with respect to potential advisory and/or director opportunities presented to Executive by a third party, which Executive believes in good faith will not interfere or compete with the on-going business of the Company.</w:t>
      </w:r>
    </w:p>
    <w:p>
      <w:pPr>
        <w:spacing w:after="0" w:line="167"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COMPENSATION OF EXECUTIVE.</w:t>
      </w:r>
    </w:p>
    <w:p>
      <w:pPr>
        <w:spacing w:after="0" w:line="21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3.1 Base Salary</w:t>
      </w:r>
      <w:r>
        <w:rPr>
          <w:rFonts w:ascii="Times New Roman" w:cs="Times New Roman" w:eastAsia="Times New Roman" w:hAnsi="Times New Roman"/>
          <w:sz w:val="20"/>
          <w:szCs w:val="20"/>
          <w:color w:val="auto"/>
        </w:rPr>
        <w:t>. The Company shall pay Executive a base salary at the annualized rate of $420,000 (the “</w:t>
      </w:r>
      <w:r>
        <w:rPr>
          <w:rFonts w:ascii="Times New Roman" w:cs="Times New Roman" w:eastAsia="Times New Roman" w:hAnsi="Times New Roman"/>
          <w:sz w:val="20"/>
          <w:szCs w:val="20"/>
          <w:b w:val="1"/>
          <w:bCs w:val="1"/>
          <w:i w:val="1"/>
          <w:iCs w:val="1"/>
          <w:color w:val="auto"/>
        </w:rPr>
        <w:t>Base Salary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less payroll deductions and all required withholdings, payable in regular periodic installments in accordance with the Company’s normal payroll practices. The Base Salary shall be prorated for any partial year of employment on the basis of a 365-day fiscal year.</w:t>
      </w:r>
    </w:p>
    <w:p>
      <w:pPr>
        <w:spacing w:after="0" w:line="16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0"/>
          <w:szCs w:val="20"/>
          <w:b w:val="1"/>
          <w:bCs w:val="1"/>
          <w:color w:val="auto"/>
        </w:rPr>
        <w:t>3.2 Discretionary Bonus</w:t>
      </w:r>
      <w:r>
        <w:rPr>
          <w:rFonts w:ascii="Times New Roman" w:cs="Times New Roman" w:eastAsia="Times New Roman" w:hAnsi="Times New Roman"/>
          <w:sz w:val="20"/>
          <w:szCs w:val="20"/>
          <w:color w:val="auto"/>
        </w:rPr>
        <w:t>. At the sole discretion of the Board and Chief Executive Officer, promptly following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calendar year of employment Executive shall be eligible to receive a discretionary cash bonus of up to 40% of Executive’s then-current base salary (the “</w:t>
      </w:r>
      <w:r>
        <w:rPr>
          <w:rFonts w:ascii="Times New Roman" w:cs="Times New Roman" w:eastAsia="Times New Roman" w:hAnsi="Times New Roman"/>
          <w:sz w:val="20"/>
          <w:szCs w:val="20"/>
          <w:b w:val="1"/>
          <w:bCs w:val="1"/>
          <w:i w:val="1"/>
          <w:iCs w:val="1"/>
          <w:color w:val="auto"/>
        </w:rPr>
        <w:t>Bonus</w:t>
      </w:r>
      <w:r>
        <w:rPr>
          <w:rFonts w:ascii="Times New Roman" w:cs="Times New Roman" w:eastAsia="Times New Roman" w:hAnsi="Times New Roman"/>
          <w:sz w:val="20"/>
          <w:szCs w:val="20"/>
          <w:color w:val="auto"/>
        </w:rPr>
        <w:t>”), based on Executive’s achievement relative to certain performance goals (“</w:t>
      </w:r>
      <w:r>
        <w:rPr>
          <w:rFonts w:ascii="Times New Roman" w:cs="Times New Roman" w:eastAsia="Times New Roman" w:hAnsi="Times New Roman"/>
          <w:sz w:val="20"/>
          <w:szCs w:val="20"/>
          <w:b w:val="1"/>
          <w:bCs w:val="1"/>
          <w:i w:val="1"/>
          <w:iCs w:val="1"/>
          <w:color w:val="auto"/>
        </w:rPr>
        <w:t>Performance Goals</w:t>
      </w:r>
      <w:r>
        <w:rPr>
          <w:rFonts w:ascii="Times New Roman" w:cs="Times New Roman" w:eastAsia="Times New Roman" w:hAnsi="Times New Roman"/>
          <w:sz w:val="20"/>
          <w:szCs w:val="20"/>
          <w:color w:val="auto"/>
        </w:rPr>
        <w:t>”) to be established by the Chief Executive Officer and/or the Board or the Compensation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in writing in a manner reasonably consistent with the Company’s priorities. The determination of whether Executive has met the Performance Goals for any given year, and if so, the amount of any Bonus that will be paid for such year (if any), shall be determined by the Board or the Committee and Chief Executive Officer in their sole and absolute discretion. In order to be eligible to earn or receive any Bonus, Executive must remain employed by the Company through and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72" w:name="page73"/>
    <w:bookmarkEnd w:id="72"/>
    <w:p>
      <w:pPr>
        <w:jc w:val="both"/>
        <w:spacing w:after="0" w:line="269" w:lineRule="auto"/>
        <w:rPr>
          <w:sz w:val="20"/>
          <w:szCs w:val="20"/>
          <w:color w:val="auto"/>
        </w:rPr>
      </w:pPr>
      <w:r>
        <w:rPr>
          <w:rFonts w:ascii="Times New Roman" w:cs="Times New Roman" w:eastAsia="Times New Roman" w:hAnsi="Times New Roman"/>
          <w:sz w:val="20"/>
          <w:szCs w:val="20"/>
          <w:color w:val="auto"/>
        </w:rPr>
        <w:t>date of payment of such Bonus. For the first calendar year of Executive’s employment with the Company, the Bonus payable shall be pro-rated in accordance with the percentage of the calendar year that the Executive is an employee of the Company.</w:t>
      </w:r>
    </w:p>
    <w:p>
      <w:pPr>
        <w:spacing w:after="0" w:line="155"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b w:val="1"/>
          <w:bCs w:val="1"/>
          <w:color w:val="auto"/>
        </w:rPr>
        <w:t>3.3 Stock Option</w:t>
      </w:r>
      <w:r>
        <w:rPr>
          <w:rFonts w:ascii="Times New Roman" w:cs="Times New Roman" w:eastAsia="Times New Roman" w:hAnsi="Times New Roman"/>
          <w:sz w:val="20"/>
          <w:szCs w:val="20"/>
          <w:color w:val="auto"/>
        </w:rPr>
        <w:t>. As soon as practicable following the Effective Date, subject to the approval of the Board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Executive will be granted an option to purchase up to 10,000 shares of the Company’s Common Stock (the “</w:t>
      </w:r>
      <w:r>
        <w:rPr>
          <w:rFonts w:ascii="Times New Roman" w:cs="Times New Roman" w:eastAsia="Times New Roman" w:hAnsi="Times New Roman"/>
          <w:sz w:val="20"/>
          <w:szCs w:val="20"/>
          <w:b w:val="1"/>
          <w:bCs w:val="1"/>
          <w:i w:val="1"/>
          <w:iCs w:val="1"/>
          <w:color w:val="auto"/>
        </w:rPr>
        <w:t>Promotion Option</w:t>
      </w:r>
      <w:r>
        <w:rPr>
          <w:rFonts w:ascii="Times New Roman" w:cs="Times New Roman" w:eastAsia="Times New Roman" w:hAnsi="Times New Roman"/>
          <w:sz w:val="20"/>
          <w:szCs w:val="20"/>
          <w:color w:val="auto"/>
        </w:rPr>
        <w:t>”) pursuant to the terms of the Company’s 2017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The Promotion Option shall be subject to vesting such that, subject to Executive’s continued employment with the Company, 1/4 of the shares subject to the Promotion Option shall vest as of the first anniversary of the Effective Date and l/48th of the shares subject to the Promotion Option shall vest in equal monthly installments on the monthly anniversary of the Effective Date of each month for the 36 months thereafter. The exercise price per share of the Promotion Option will be equal to the closing selling price as reported on the Nasdaq Stock Market on the date the Promotion Option is granted. The Promotion Option will be governed by the Plan and shall be granted pursuant to a separate stock option grant notice and stock option agreement.</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3.4 Expense Reimbursements</w:t>
      </w:r>
      <w:r>
        <w:rPr>
          <w:rFonts w:ascii="Times New Roman" w:cs="Times New Roman" w:eastAsia="Times New Roman" w:hAnsi="Times New Roman"/>
          <w:sz w:val="20"/>
          <w:szCs w:val="20"/>
          <w:color w:val="auto"/>
        </w:rPr>
        <w:t>. The Company will reimburse Executive for all reasonable business expenses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incurs in conducting his duties hereunder, pursuant to the Company’s usual expense reimbursement policies; provided that Executive supplies the appropriate substantiation for such expenses no later than the end of the calendar month following the month in which such expenses were incurred by Executive.</w:t>
      </w:r>
    </w:p>
    <w:p>
      <w:pPr>
        <w:spacing w:after="0" w:line="176"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3.5 Changes to Compensation</w:t>
      </w:r>
      <w:r>
        <w:rPr>
          <w:rFonts w:ascii="Times New Roman" w:cs="Times New Roman" w:eastAsia="Times New Roman" w:hAnsi="Times New Roman"/>
          <w:sz w:val="20"/>
          <w:szCs w:val="20"/>
          <w:color w:val="auto"/>
        </w:rPr>
        <w:t>. Executive’s compensation will be reviewed annually and may be changed from time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in the Company’s sole discretion.</w:t>
      </w:r>
    </w:p>
    <w:p>
      <w:pPr>
        <w:spacing w:after="0" w:line="152"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3.6 Employment Taxes</w:t>
      </w:r>
      <w:r>
        <w:rPr>
          <w:rFonts w:ascii="Times New Roman" w:cs="Times New Roman" w:eastAsia="Times New Roman" w:hAnsi="Times New Roman"/>
          <w:sz w:val="20"/>
          <w:szCs w:val="20"/>
          <w:color w:val="auto"/>
        </w:rPr>
        <w:t>. All of Executive’s compensation shall be subject to customary withholding taxes and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taxes as are commonly required to be collected or withheld by the Company, as determined by the Company.</w:t>
      </w:r>
    </w:p>
    <w:p>
      <w:pPr>
        <w:spacing w:after="0" w:line="15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3.7 Benefits</w:t>
      </w:r>
      <w:r>
        <w:rPr>
          <w:rFonts w:ascii="Times New Roman" w:cs="Times New Roman" w:eastAsia="Times New Roman" w:hAnsi="Times New Roman"/>
          <w:sz w:val="20"/>
          <w:szCs w:val="20"/>
          <w:color w:val="auto"/>
        </w:rPr>
        <w:t>. Executive shall, in accordance with Company policy and the terms of the applicable plan documents,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eligible to participate in benefits under any benefit plan or arrangement that may be in effect from time to time and made available to the Company’s senior management employees.</w:t>
      </w:r>
    </w:p>
    <w:p>
      <w:pPr>
        <w:spacing w:after="0" w:line="16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3.8 Holidays and Vacation</w:t>
      </w:r>
      <w:r>
        <w:rPr>
          <w:rFonts w:ascii="Times New Roman" w:cs="Times New Roman" w:eastAsia="Times New Roman" w:hAnsi="Times New Roman"/>
          <w:sz w:val="20"/>
          <w:szCs w:val="20"/>
          <w:color w:val="auto"/>
        </w:rPr>
        <w:t>. Executive shall be eligible for paid holiday and vacation time in accordance with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policy as in effect from time to time.</w:t>
      </w:r>
    </w:p>
    <w:p>
      <w:pPr>
        <w:spacing w:after="0" w:line="152"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16"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4.1</w:t>
        <w:tab/>
        <w:t>Termination by the Company</w:t>
      </w:r>
      <w:r>
        <w:rPr>
          <w:rFonts w:ascii="Times New Roman" w:cs="Times New Roman" w:eastAsia="Times New Roman" w:hAnsi="Times New Roman"/>
          <w:sz w:val="20"/>
          <w:szCs w:val="20"/>
          <w:color w:val="auto"/>
        </w:rPr>
        <w:t>. Executive’s employment with the Company is at will and may be terminated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at any time and for any reason, or for no reason, including, but not limited to, under the following conditions:</w:t>
      </w:r>
    </w:p>
    <w:p>
      <w:pPr>
        <w:spacing w:after="0" w:line="190"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20"/>
          <w:szCs w:val="20"/>
          <w:b w:val="1"/>
          <w:bCs w:val="1"/>
          <w:color w:val="auto"/>
        </w:rPr>
        <w:t>4.1.1 Termination by the Company for Cause</w:t>
      </w:r>
      <w:r>
        <w:rPr>
          <w:rFonts w:ascii="Times New Roman" w:cs="Times New Roman" w:eastAsia="Times New Roman" w:hAnsi="Times New Roman"/>
          <w:sz w:val="20"/>
          <w:szCs w:val="20"/>
          <w:color w:val="auto"/>
        </w:rPr>
        <w:t>. The Company may terminate Executive’s employment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for Cause (as defined below) by delivery of written notice to Executive. Any notice of termination given pursuant to this section shall effect termination as of the date of the notice, or as of such other date specified in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73" w:name="page74"/>
    <w:bookmarkEnd w:id="73"/>
    <w:p>
      <w:pPr>
        <w:jc w:val="both"/>
        <w:ind w:firstLine="1944"/>
        <w:spacing w:after="0" w:line="256" w:lineRule="auto"/>
        <w:rPr>
          <w:sz w:val="20"/>
          <w:szCs w:val="20"/>
          <w:color w:val="auto"/>
        </w:rPr>
      </w:pPr>
      <w:r>
        <w:rPr>
          <w:rFonts w:ascii="Times New Roman" w:cs="Times New Roman" w:eastAsia="Times New Roman" w:hAnsi="Times New Roman"/>
          <w:sz w:val="20"/>
          <w:szCs w:val="20"/>
          <w:b w:val="1"/>
          <w:bCs w:val="1"/>
          <w:color w:val="auto"/>
        </w:rPr>
        <w:t>4.1.2 Termination by the Company without Cause</w:t>
      </w:r>
      <w:r>
        <w:rPr>
          <w:rFonts w:ascii="Times New Roman" w:cs="Times New Roman" w:eastAsia="Times New Roman" w:hAnsi="Times New Roman"/>
          <w:sz w:val="20"/>
          <w:szCs w:val="20"/>
          <w:color w:val="auto"/>
        </w:rPr>
        <w:t>. The Company may terminate Executive’s employment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without Cause at any time and for any reason, or for no reason. Such termination shall be effective on the date Executive is so informed, or as otherwise specified by the Company.</w:t>
      </w:r>
    </w:p>
    <w:p>
      <w:pPr>
        <w:spacing w:after="0" w:line="16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4.2 Termination by Executive</w:t>
      </w:r>
      <w:r>
        <w:rPr>
          <w:rFonts w:ascii="Times New Roman" w:cs="Times New Roman" w:eastAsia="Times New Roman" w:hAnsi="Times New Roman"/>
          <w:sz w:val="20"/>
          <w:szCs w:val="20"/>
          <w:color w:val="auto"/>
        </w:rPr>
        <w:t>. Executive may terminate his employment with the Company at any time and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or for no reason, upon thirty (30) days written notice to the Company.</w:t>
      </w:r>
    </w:p>
    <w:p>
      <w:pPr>
        <w:spacing w:after="0" w:line="152"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4.3 Termination for Death or Disability</w:t>
      </w:r>
      <w:r>
        <w:rPr>
          <w:rFonts w:ascii="Times New Roman" w:cs="Times New Roman" w:eastAsia="Times New Roman" w:hAnsi="Times New Roman"/>
          <w:sz w:val="20"/>
          <w:szCs w:val="20"/>
          <w:color w:val="auto"/>
        </w:rPr>
        <w:t>. Executive’s employment with the Company shall automatically terminate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upon the date of Executive’s death or Disability (as defined in the Plan).</w:t>
      </w:r>
    </w:p>
    <w:p>
      <w:pPr>
        <w:spacing w:after="0" w:line="15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4.4 Termination by Mutual Agreement of the Parties</w:t>
      </w:r>
      <w:r>
        <w:rPr>
          <w:rFonts w:ascii="Times New Roman" w:cs="Times New Roman" w:eastAsia="Times New Roman" w:hAnsi="Times New Roman"/>
          <w:sz w:val="20"/>
          <w:szCs w:val="20"/>
          <w:color w:val="auto"/>
        </w:rPr>
        <w:t>. Executive’s employment with the Company may be terminated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time upon a mutual agreement in writing of the Parties. Any such termination of employment shall have the consequences specified in such agreement.</w:t>
      </w:r>
    </w:p>
    <w:p>
      <w:pPr>
        <w:spacing w:after="0" w:line="169"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20"/>
          <w:szCs w:val="20"/>
          <w:b w:val="1"/>
          <w:bCs w:val="1"/>
          <w:color w:val="auto"/>
        </w:rPr>
        <w:t>4.5</w:t>
      </w:r>
      <w:r>
        <w:rPr>
          <w:sz w:val="20"/>
          <w:szCs w:val="20"/>
          <w:color w:val="auto"/>
        </w:rPr>
        <w:tab/>
      </w:r>
      <w:r>
        <w:rPr>
          <w:rFonts w:ascii="Times New Roman" w:cs="Times New Roman" w:eastAsia="Times New Roman" w:hAnsi="Times New Roman"/>
          <w:sz w:val="19"/>
          <w:szCs w:val="19"/>
          <w:b w:val="1"/>
          <w:bCs w:val="1"/>
          <w:color w:val="auto"/>
        </w:rPr>
        <w:t>Compensation upon Termination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b w:val="1"/>
          <w:bCs w:val="1"/>
          <w:color w:val="auto"/>
        </w:rPr>
        <w:t>4.5.1 Death or Disability</w:t>
      </w:r>
      <w:r>
        <w:rPr>
          <w:rFonts w:ascii="Times New Roman" w:cs="Times New Roman" w:eastAsia="Times New Roman" w:hAnsi="Times New Roman"/>
          <w:sz w:val="20"/>
          <w:szCs w:val="20"/>
          <w:color w:val="auto"/>
        </w:rPr>
        <w:t>. If Executive’s employment is terminated by death or Disability, the Company shall 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Executive, or to Executive’s heirs, Executive’s accrued and unpaid base salary and accrued and unused vacation benefits earned through the date of termination at the rate in effect at the time of termination, less standard deductions and withholdings. The Company shall thereafter have no further obligations to Executive and/or Executive’s heirs under this Agreement, except as otherwise provided by law.</w:t>
      </w:r>
    </w:p>
    <w:p>
      <w:pPr>
        <w:spacing w:after="0" w:line="176"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b w:val="1"/>
          <w:bCs w:val="1"/>
          <w:color w:val="auto"/>
        </w:rPr>
        <w:t>4.5.2 Termination for Cause</w:t>
      </w:r>
      <w:r>
        <w:rPr>
          <w:rFonts w:ascii="Times New Roman" w:cs="Times New Roman" w:eastAsia="Times New Roman" w:hAnsi="Times New Roman"/>
          <w:sz w:val="20"/>
          <w:szCs w:val="20"/>
          <w:color w:val="auto"/>
        </w:rPr>
        <w:t>. If the Company terminates Executive’s employment for Cause, then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pay Executive’s accrued and unpaid base salary and accrued and unused vacation benefits earned through the date of termination, at the rate in effect at the time of termination, less standard deductions and withholdings. The Company shall thereafter have no further obligations to Executive under this Agreement, except as otherwise provided by law.</w:t>
      </w:r>
    </w:p>
    <w:p>
      <w:pPr>
        <w:spacing w:after="0" w:line="176"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9"/>
          <w:szCs w:val="19"/>
          <w:b w:val="1"/>
          <w:bCs w:val="1"/>
          <w:color w:val="auto"/>
        </w:rPr>
        <w:t>4.5.3 Termination by Company without Cause or by Executive for Good Reason Not In Connection with a Change in Control</w:t>
      </w:r>
      <w:r>
        <w:rPr>
          <w:rFonts w:ascii="Times New Roman" w:cs="Times New Roman" w:eastAsia="Times New Roman" w:hAnsi="Times New Roman"/>
          <w:sz w:val="19"/>
          <w:szCs w:val="19"/>
          <w:color w:val="auto"/>
        </w:rPr>
        <w:t>. If the Company terminates Executive’s employment without Cause or if Executive resigns his employment for Good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Reason (as defined below), in either case at any time other than upon the occurrence of, or within the 13 months immediately following, the effective date of a Change in Control, the Company shall pay Executive’s accrued and unpaid base salary and accrued and unused vacation benefits earned through the date of termination, at the rate in effect at the time of termination, less standard deductions and withholdings. In addition to the above, if Executive furnishes to the Company an executed waiver and release of claims in the form attached hereto as </w:t>
      </w:r>
      <w:r>
        <w:rPr>
          <w:rFonts w:ascii="Times New Roman" w:cs="Times New Roman" w:eastAsia="Times New Roman" w:hAnsi="Times New Roman"/>
          <w:sz w:val="19"/>
          <w:szCs w:val="19"/>
          <w:b w:val="1"/>
          <w:bCs w:val="1"/>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 </w:t>
      </w:r>
      <w:r>
        <w:rPr>
          <w:rFonts w:ascii="Times New Roman" w:cs="Times New Roman" w:eastAsia="Times New Roman" w:hAnsi="Times New Roman"/>
          <w:sz w:val="19"/>
          <w:szCs w:val="19"/>
          <w:color w:val="auto"/>
        </w:rPr>
        <w:t>(or in such other form as may be specified by the Company)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within the time period specified therein, but in no event later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than 45 days following Executive’s termination, and if Executive allows such Release to become effective in accordance with its terms, then</w:t>
      </w:r>
    </w:p>
    <w:p>
      <w:pPr>
        <w:spacing w:after="0" w:line="5" w:lineRule="exact"/>
        <w:rPr>
          <w:sz w:val="20"/>
          <w:szCs w:val="20"/>
          <w:color w:val="auto"/>
        </w:rPr>
      </w:pPr>
    </w:p>
    <w:p>
      <w:pPr>
        <w:jc w:val="both"/>
        <w:ind w:firstLine="8"/>
        <w:spacing w:after="0" w:line="241" w:lineRule="auto"/>
        <w:tabs>
          <w:tab w:leader="none" w:pos="23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shall be entitled to severance in the form of continuation of his base salary, at the base salary rate equal to the greater of the rate in effect at the time of termination or the rate immediately prior to the event giving rise to Good Reason (the “</w:t>
      </w:r>
      <w:r>
        <w:rPr>
          <w:rFonts w:ascii="Times New Roman" w:cs="Times New Roman" w:eastAsia="Times New Roman" w:hAnsi="Times New Roman"/>
          <w:sz w:val="20"/>
          <w:szCs w:val="20"/>
          <w:b w:val="1"/>
          <w:bCs w:val="1"/>
          <w:i w:val="1"/>
          <w:iCs w:val="1"/>
          <w:color w:val="auto"/>
        </w:rPr>
        <w:t>Severance Payments</w:t>
      </w:r>
      <w:r>
        <w:rPr>
          <w:rFonts w:ascii="Times New Roman" w:cs="Times New Roman" w:eastAsia="Times New Roman" w:hAnsi="Times New Roman"/>
          <w:sz w:val="20"/>
          <w:szCs w:val="20"/>
          <w:color w:val="auto"/>
        </w:rPr>
        <w:t>”), for a period of nine (9) months following the termination date (the “</w:t>
      </w:r>
      <w:r>
        <w:rPr>
          <w:rFonts w:ascii="Times New Roman" w:cs="Times New Roman" w:eastAsia="Times New Roman" w:hAnsi="Times New Roman"/>
          <w:sz w:val="20"/>
          <w:szCs w:val="20"/>
          <w:b w:val="1"/>
          <w:bCs w:val="1"/>
          <w:i w:val="1"/>
          <w:iCs w:val="1"/>
          <w:color w:val="auto"/>
        </w:rPr>
        <w:t>Severance Period</w:t>
      </w:r>
      <w:r>
        <w:rPr>
          <w:rFonts w:ascii="Times New Roman" w:cs="Times New Roman" w:eastAsia="Times New Roman" w:hAnsi="Times New Roman"/>
          <w:sz w:val="20"/>
          <w:szCs w:val="20"/>
          <w:color w:val="auto"/>
        </w:rPr>
        <w:t>”), and (ii) if Executive timely elects COBRA coverage, the Company will pay directly to the insurance provider the premium for COBRA continuation coverage for Executive and Executive’s family during the Severance Period or until he obtains new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74" w:name="page75"/>
    <w:bookmarkEnd w:id="74"/>
    <w:p>
      <w:pPr>
        <w:jc w:val="both"/>
        <w:spacing w:after="0" w:line="242" w:lineRule="auto"/>
        <w:rPr>
          <w:sz w:val="20"/>
          <w:szCs w:val="20"/>
          <w:color w:val="auto"/>
        </w:rPr>
      </w:pPr>
      <w:r>
        <w:rPr>
          <w:rFonts w:ascii="Times New Roman" w:cs="Times New Roman" w:eastAsia="Times New Roman" w:hAnsi="Times New Roman"/>
          <w:sz w:val="20"/>
          <w:szCs w:val="20"/>
          <w:color w:val="auto"/>
        </w:rPr>
        <w:t>whichever comes first (the “</w:t>
      </w:r>
      <w:r>
        <w:rPr>
          <w:rFonts w:ascii="Times New Roman" w:cs="Times New Roman" w:eastAsia="Times New Roman" w:hAnsi="Times New Roman"/>
          <w:sz w:val="20"/>
          <w:szCs w:val="20"/>
          <w:b w:val="1"/>
          <w:bCs w:val="1"/>
          <w:i w:val="1"/>
          <w:iCs w:val="1"/>
          <w:color w:val="auto"/>
        </w:rPr>
        <w:t>COBRA Coverage</w:t>
      </w:r>
      <w:r>
        <w:rPr>
          <w:rFonts w:ascii="Times New Roman" w:cs="Times New Roman" w:eastAsia="Times New Roman" w:hAnsi="Times New Roman"/>
          <w:sz w:val="20"/>
          <w:szCs w:val="20"/>
          <w:color w:val="auto"/>
        </w:rPr>
        <w:t>”); provided that, if the Company determines that it cannot provide the COBRA Coverage without potentially violating applicable law or incurring additional expense under applicable law (including, without limitation, Section 2716 of the Public Health Service Act), the Company will provide Executive, in lieu thereof, taxable, continued installment payments equal to the COBRA premium, payable on the last day of a given month, for 9 months (measured from the termination date), which payments will be made regardless of whether Executive elects COBRA continuation coverage (the “</w:t>
      </w:r>
      <w:r>
        <w:rPr>
          <w:rFonts w:ascii="Times New Roman" w:cs="Times New Roman" w:eastAsia="Times New Roman" w:hAnsi="Times New Roman"/>
          <w:sz w:val="20"/>
          <w:szCs w:val="20"/>
          <w:b w:val="1"/>
          <w:bCs w:val="1"/>
          <w:i w:val="1"/>
          <w:iCs w:val="1"/>
          <w:color w:val="auto"/>
        </w:rPr>
        <w:t>COBRA Bonus</w:t>
      </w:r>
      <w:r>
        <w:rPr>
          <w:rFonts w:ascii="Times New Roman" w:cs="Times New Roman" w:eastAsia="Times New Roman" w:hAnsi="Times New Roman"/>
          <w:sz w:val="20"/>
          <w:szCs w:val="20"/>
          <w:color w:val="auto"/>
        </w:rPr>
        <w:t xml:space="preserve">”). Notwithstanding the foregoing, the number of months of COBRA Bonus to be paid, in any case, shall be reduced by the number of months of COBRA Coverage previously paid by the Company.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if the 45 day period to execute the Release spans two calendar years, no Severance Payments will be made until the later calendar year. The Company shall thereafter have no further obligations to Executive under this Agreement, except as otherwise provided by law.</w:t>
      </w:r>
    </w:p>
    <w:p>
      <w:pPr>
        <w:spacing w:after="0" w:line="190"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9"/>
          <w:szCs w:val="19"/>
          <w:b w:val="1"/>
          <w:bCs w:val="1"/>
          <w:color w:val="auto"/>
        </w:rPr>
        <w:t>4.5.4 Termination by Company without Cause or by Executive for Good Reason In Connection with a Change in Control</w:t>
      </w:r>
      <w:r>
        <w:rPr>
          <w:rFonts w:ascii="Times New Roman" w:cs="Times New Roman" w:eastAsia="Times New Roman" w:hAnsi="Times New Roman"/>
          <w:sz w:val="19"/>
          <w:szCs w:val="19"/>
          <w:color w:val="auto"/>
        </w:rPr>
        <w:t>. If the Company terminates Executive’s employment without Cause or if Executive resigns his employment for Good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 in either case upon the occurrence of, or within the 13 months immediately following, the effective date of a Change in Control, the Company shall pay Executive’s accrued and unpaid base salary and accrued and unused vacation benefits earned through the date of termination, at the rate in effect at the time of termination, less standard deductions and withholdings. In addition, if Executive furnishes to the Company an executed Release within the time period specified therein, but in no event later than 45 days following Executive’s termination, and if Executive allows such Release to become effective in accordance with its terms, then Executive shall be entitled to: (1) the Severance Payments and COBRA payments described in Section 4.5.3 above; provided, however, that the Severance Payments and COBRA payments shall be increased from 9 months to 12 months and (2) accelerated vesting of all of Executive’s unvested Company equity awards, such that Executive shall become vested in 100% of the shares subject to all such equity awards on the effective date of the Release; provided, however, that the vesting of any performance-based awards shall be as if all applicable performance criteria were achieved at target levels. The Company shall thereafter have no further obligations to Executive under this Agreement, except as otherwise provided by law.</w:t>
      </w:r>
    </w:p>
    <w:p>
      <w:pPr>
        <w:spacing w:after="0" w:line="174"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4.6</w:t>
      </w:r>
      <w:r>
        <w:rPr>
          <w:sz w:val="20"/>
          <w:szCs w:val="20"/>
          <w:color w:val="auto"/>
        </w:rPr>
        <w:tab/>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 For purposes of this Agreement, the following terms shall have the following meanings:</w:t>
      </w:r>
    </w:p>
    <w:p>
      <w:pPr>
        <w:spacing w:after="0" w:line="21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4.6.1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shall mean the occurrence of any one or more of the following: (i) Executive’s commission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crime involving fraud, dishonesty or moral turpitude; (ii) Executive’s attempted commission of or participation in a fraud or act of dishonesty against the Company that results in (or might have reasonably resulted in) material harm to the business of the Company; (iii) Executive’s intentional, material violation of any contract or agreement between Executive and the Company or any statutory duty Executive owes to the Company; or (iv) Executive’s conduct that constitutes gross insubordination, incompetence or habitual neglect of duties and that results in (or might have reasonably resulted in) material harm to the business of the Company;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action or conduct described in clauses (iii) and (iv) above will constitute “Cause” only if such action or conduct continues after the Company has provided Executive with written notice thereof and thirty (30) days to cure, or otherwise remedy to the extent possible under direct control of the Executive, the same. An occurrence of “Cause” as set forth in the preceding sentence shall be based upon a good faith determination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75" w:name="page76"/>
    <w:bookmarkEnd w:id="75"/>
    <w:p>
      <w:pPr>
        <w:jc w:val="both"/>
        <w:spacing w:after="0" w:line="269" w:lineRule="auto"/>
        <w:rPr>
          <w:sz w:val="20"/>
          <w:szCs w:val="20"/>
          <w:color w:val="auto"/>
        </w:rPr>
      </w:pPr>
      <w:r>
        <w:rPr>
          <w:rFonts w:ascii="Times New Roman" w:cs="Times New Roman" w:eastAsia="Times New Roman" w:hAnsi="Times New Roman"/>
          <w:sz w:val="20"/>
          <w:szCs w:val="20"/>
          <w:color w:val="auto"/>
        </w:rPr>
        <w:t>Board. Executive’s Disability shall not constitute Cause as set forth herein. The determination that a termination is for Cause shall be by the Board in its sole and exclusive judgment and discretion.</w:t>
      </w:r>
    </w:p>
    <w:p>
      <w:pPr>
        <w:spacing w:after="0" w:line="155"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4.6.2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Amended and Restated 2006 Equity Incentive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90" w:lineRule="exact"/>
        <w:rPr>
          <w:sz w:val="20"/>
          <w:szCs w:val="20"/>
          <w:color w:val="auto"/>
        </w:rPr>
      </w:pPr>
    </w:p>
    <w:p>
      <w:pPr>
        <w:jc w:val="both"/>
        <w:ind w:firstLine="1944"/>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4.6.3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mean any of the following actions: (i) the assignment to Executive of any duties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responsibilities that results in a material diminution in Executive’s function as in effect immediately prior to the effective date of the Change in Control; provided, however, that it will be considered a material diminution in Executive’s function if, following a Change in Control, the Executive is not reporting directly to the Chief Executive Officer who is in turn reporting to the Company’s (or if applicable ultimate parent entity’s) corporate board of directors; (ii) a reduction by the Company in Executive’s annual base salary as in effect on the effective date of the Change in Control; provided, however, that Good Reason shall not be deemed to have occurred in the event of a reduction in Executive’s annual base salary that is pursuant to a salary reduction program affecting substantially all of the employees of the Company and that does not adversely affect Executive to a greater extent than other similarly situated employees; or (iii) a relocation of Executive’s primary business office to a location more than 50 miles from the location of Executive’s primary business office as of the effective date of the Change in Control, except for required travel by Executive on the Company’s business to an extent substantially consistent with Executive’s business travel obligations prior to the effective date of the Change in Control. For the purposes of application of this definition of Good Reason to Section 4.5.3, the words “as in effect immediately prior to the effective date of the Change in Control” shall be read to mean as of, or immediately prior to, the date of the event giving rise to Good Reason. In all events, in order for a termination for Good Reason to occur, the Executive must provide the Company with written notice of the condition constituting Good Reason within 90 days of the initial occurrence of such condition, and allow the Company a 30-day cure period in which to cure such condition, and the Executive must resign employment within 10 days of the end of such 30-day cure period if the Company does not cure the condition in such cure period. For clarity, “corporate board of directors” as used in the definition of Good Reason means the Company’s (or if applicable ultimate parent entity’s) board of directors as such term is used in Section 141 of the Delaware General Corporation Law, or if the Company (or if applicable ultimate parent entity) is not a corporation organized under Delaware law, the most senior governing body of the Company (or if applicable ultimate parent entity) the majority of which is comprised of non-employee and independent members and has responsibility and authority for managing the business and affairs of the Company (or if applicable ultimate parent entity).</w:t>
      </w:r>
    </w:p>
    <w:p>
      <w:pPr>
        <w:spacing w:after="0" w:line="186"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4.7</w:t>
      </w:r>
      <w:r>
        <w:rPr>
          <w:sz w:val="20"/>
          <w:szCs w:val="20"/>
          <w:color w:val="auto"/>
        </w:rPr>
        <w:tab/>
      </w:r>
      <w:r>
        <w:rPr>
          <w:rFonts w:ascii="Times New Roman" w:cs="Times New Roman" w:eastAsia="Times New Roman" w:hAnsi="Times New Roman"/>
          <w:sz w:val="19"/>
          <w:szCs w:val="19"/>
          <w:b w:val="1"/>
          <w:bCs w:val="1"/>
          <w:color w:val="auto"/>
        </w:rPr>
        <w:t>Survival of Certain Sections</w:t>
      </w:r>
      <w:r>
        <w:rPr>
          <w:rFonts w:ascii="Times New Roman" w:cs="Times New Roman" w:eastAsia="Times New Roman" w:hAnsi="Times New Roman"/>
          <w:sz w:val="19"/>
          <w:szCs w:val="19"/>
          <w:color w:val="auto"/>
        </w:rPr>
        <w:t>. Sections 3.4, 3.6 and 4 through 18 of this Agreement will survive the termination of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0"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b w:val="1"/>
          <w:bCs w:val="1"/>
          <w:color w:val="auto"/>
        </w:rPr>
        <w:t>4.8 Parachute Payment</w:t>
      </w:r>
      <w:r>
        <w:rPr>
          <w:rFonts w:ascii="Times New Roman" w:cs="Times New Roman" w:eastAsia="Times New Roman" w:hAnsi="Times New Roman"/>
          <w:sz w:val="20"/>
          <w:szCs w:val="20"/>
          <w:color w:val="auto"/>
        </w:rPr>
        <w:t>. If any payment or benefit Executive would receive pursuant to this Agreement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would (i) constitute a “</w:t>
      </w:r>
      <w:r>
        <w:rPr>
          <w:rFonts w:ascii="Times New Roman" w:cs="Times New Roman" w:eastAsia="Times New Roman" w:hAnsi="Times New Roman"/>
          <w:sz w:val="20"/>
          <w:szCs w:val="20"/>
          <w:b w:val="1"/>
          <w:bCs w:val="1"/>
          <w:i w:val="1"/>
          <w:iCs w:val="1"/>
          <w:color w:val="auto"/>
        </w:rPr>
        <w:t>Parachute Payment</w:t>
      </w:r>
      <w:r>
        <w:rPr>
          <w:rFonts w:ascii="Times New Roman" w:cs="Times New Roman" w:eastAsia="Times New Roman" w:hAnsi="Times New Roman"/>
          <w:sz w:val="20"/>
          <w:szCs w:val="20"/>
          <w:color w:val="auto"/>
        </w:rPr>
        <w:t>” within the meaning of Section 280G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and (ii) but for this sentence,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then such Payment shall be equal to the Reduced Amount. The “</w:t>
      </w:r>
      <w:r>
        <w:rPr>
          <w:rFonts w:ascii="Times New Roman" w:cs="Times New Roman" w:eastAsia="Times New Roman" w:hAnsi="Times New Roman"/>
          <w:sz w:val="20"/>
          <w:szCs w:val="20"/>
          <w:b w:val="1"/>
          <w:bCs w:val="1"/>
          <w:i w:val="1"/>
          <w:iCs w:val="1"/>
          <w:color w:val="auto"/>
        </w:rPr>
        <w:t>Reduced Amount</w:t>
      </w:r>
      <w:r>
        <w:rPr>
          <w:rFonts w:ascii="Times New Roman" w:cs="Times New Roman" w:eastAsia="Times New Roman" w:hAnsi="Times New Roman"/>
          <w:sz w:val="20"/>
          <w:szCs w:val="20"/>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greatest economic benefit notwithstanding that all or some portion of the Payment may be subject to the Excise Tax. If a reduction in payments or benefits constituting Parachute Payments is necessary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9"/>
          <w:szCs w:val="19"/>
          <w:color w:val="auto"/>
        </w:rPr>
        <w:t>that the Payment equals the Reduced Amount, reduction shall occur in the manner that results in the greatest economic benefit for Executive.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more than one method of reduction will result in the same economic benefit, the items so reduced will be reduced pro rata.</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the event it is subsequently determined by the Internal Revenue Service that some portion of the Reduced Amount (as determined pursuant to clause (x) in the preceding paragraph) is subject to the Excise Tax, Executive agrees to promptly return to the Company a sufficient amount of the Payment so that no portion of the Reduced Amount is subject to the Excise Tax. For the avoidance of doubt, if the Reduced Amount is determined in accordance with clause (y) in the preceding paragraph, Executive will have no obligation to return any portion of the Payment pursuant to the preceding sentence.</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Unless Executive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shall use commercially reasonable efforts such that the accounting, law or consulting firm engaged to make the determinations hereunder shall provide its calculations, together with detailed supporting documentation, to Executive and the Company within 15 calendar days after the date on which Executive’s right to a Payment is triggered (if requested at that time by Executive or the Company) or such other time as requested by Executive or the Company.</w:t>
      </w:r>
    </w:p>
    <w:p>
      <w:pPr>
        <w:spacing w:after="0" w:line="176" w:lineRule="exact"/>
        <w:rPr>
          <w:sz w:val="20"/>
          <w:szCs w:val="20"/>
          <w:color w:val="auto"/>
        </w:rPr>
      </w:pPr>
    </w:p>
    <w:p>
      <w:pPr>
        <w:jc w:val="both"/>
        <w:ind w:left="80" w:firstLine="1215"/>
        <w:spacing w:after="0" w:line="245" w:lineRule="auto"/>
        <w:rPr>
          <w:sz w:val="20"/>
          <w:szCs w:val="20"/>
          <w:color w:val="auto"/>
        </w:rPr>
      </w:pPr>
      <w:r>
        <w:rPr>
          <w:rFonts w:ascii="Times New Roman" w:cs="Times New Roman" w:eastAsia="Times New Roman" w:hAnsi="Times New Roman"/>
          <w:sz w:val="20"/>
          <w:szCs w:val="20"/>
          <w:b w:val="1"/>
          <w:bCs w:val="1"/>
          <w:color w:val="auto"/>
        </w:rPr>
        <w:t>4.9 Application of Internal Revenue Code Section 409A</w:t>
      </w:r>
      <w:r>
        <w:rPr>
          <w:rFonts w:ascii="Times New Roman" w:cs="Times New Roman" w:eastAsia="Times New Roman" w:hAnsi="Times New Roman"/>
          <w:sz w:val="20"/>
          <w:szCs w:val="20"/>
          <w:color w:val="auto"/>
        </w:rPr>
        <w:t>. Notwithstanding anything to the contrary set forth herein,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and benefits provided under this Agreement (the “</w:t>
      </w:r>
      <w:r>
        <w:rPr>
          <w:rFonts w:ascii="Times New Roman" w:cs="Times New Roman" w:eastAsia="Times New Roman" w:hAnsi="Times New Roman"/>
          <w:sz w:val="20"/>
          <w:szCs w:val="20"/>
          <w:b w:val="1"/>
          <w:bCs w:val="1"/>
          <w:i w:val="1"/>
          <w:iCs w:val="1"/>
          <w:color w:val="auto"/>
        </w:rPr>
        <w:t>Severance Benefits</w:t>
      </w:r>
      <w:r>
        <w:rPr>
          <w:rFonts w:ascii="Times New Roman" w:cs="Times New Roman" w:eastAsia="Times New Roman" w:hAnsi="Times New Roman"/>
          <w:sz w:val="20"/>
          <w:szCs w:val="20"/>
          <w:color w:val="auto"/>
        </w:rPr>
        <w:t>”) that constitute “deferred compensation” within the meaning of Section 409A of the Code and the regulations and other guidance thereunder and any state law of similar effect (collectively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shall not commence in connection with Executive’s termination of employment unless and until Executive has also incurred a “separation from service” (as such term is defined in Treasury Regulation Section 1.409A-1(h))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unless the Company reasonably determines that such amounts may be provided to Executive without causing Executive to incur the additional 20% tax under Section 409A.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 1.409A-1(b)(5) and 1.409A-1(b)(9). However, if the Company (or, if applicable, the successor entity thereto) determines that the Severance Benefits constitute “deferred compensation” under Section 409A and Executive is, on the termination of service, a “specified employee” of the Company or any successor entity thereto, as such term is defined in Section 409A(a)</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(2)(B)(i) of the Code, then, solely to the extent necessary to avoid the incurrence of the adverse personal tax consequences under Section 409A, the timing of the Severance Benefit payments shall be delayed until the earlier to occur of: (i) the date that is six months and one day after Executive’s Separation From Service, or (ii) the date of Executive’s death (such applicable date, the “</w:t>
      </w:r>
      <w:r>
        <w:rPr>
          <w:rFonts w:ascii="Times New Roman" w:cs="Times New Roman" w:eastAsia="Times New Roman" w:hAnsi="Times New Roman"/>
          <w:sz w:val="20"/>
          <w:szCs w:val="20"/>
          <w:b w:val="1"/>
          <w:bCs w:val="1"/>
          <w:i w:val="1"/>
          <w:iCs w:val="1"/>
          <w:color w:val="auto"/>
        </w:rPr>
        <w:t>Specified Employee 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the Company (or the successor entity thereto, as applicable) shall (A) pay to Executive a lump sum amount equal to the sum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Severance Benefit payments that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77" w:name="page78"/>
    <w:bookmarkEnd w:id="77"/>
    <w:p>
      <w:pPr>
        <w:jc w:val="both"/>
        <w:spacing w:after="0" w:line="247" w:lineRule="auto"/>
        <w:rPr>
          <w:sz w:val="20"/>
          <w:szCs w:val="20"/>
          <w:color w:val="auto"/>
        </w:rPr>
      </w:pPr>
      <w:r>
        <w:rPr>
          <w:rFonts w:ascii="Times New Roman" w:cs="Times New Roman" w:eastAsia="Times New Roman" w:hAnsi="Times New Roman"/>
          <w:sz w:val="20"/>
          <w:szCs w:val="20"/>
          <w:color w:val="auto"/>
        </w:rPr>
        <w:t>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jc w:val="both"/>
        <w:ind w:firstLine="648"/>
        <w:spacing w:after="0"/>
        <w:rPr>
          <w:sz w:val="20"/>
          <w:szCs w:val="20"/>
          <w:color w:val="auto"/>
        </w:rPr>
      </w:pPr>
      <w:r>
        <w:rPr>
          <w:rFonts w:ascii="Times New Roman" w:cs="Times New Roman" w:eastAsia="Times New Roman" w:hAnsi="Times New Roman"/>
          <w:sz w:val="20"/>
          <w:szCs w:val="20"/>
          <w:color w:val="auto"/>
        </w:rPr>
        <w:t>Notwithstanding anything to the contrary set forth herein, Executive shall receive the Severance Benefits described above, if and only if Executive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Executive the Severance Benefits Executive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86"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AND PROPRIETARY INFORMATION.</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Executive has already executed, as a condition of Executive’s employment with the Company, the Company’s standard form of Proprietary Information and Inventions Agreement (the “</w:t>
      </w:r>
      <w:r>
        <w:rPr>
          <w:rFonts w:ascii="Times New Roman" w:cs="Times New Roman" w:eastAsia="Times New Roman" w:hAnsi="Times New Roman"/>
          <w:sz w:val="20"/>
          <w:szCs w:val="20"/>
          <w:b w:val="1"/>
          <w:bCs w:val="1"/>
          <w:i w:val="1"/>
          <w:iCs w:val="1"/>
          <w:color w:val="auto"/>
        </w:rPr>
        <w:t>PIIA</w:t>
      </w:r>
      <w:r>
        <w:rPr>
          <w:rFonts w:ascii="Times New Roman" w:cs="Times New Roman" w:eastAsia="Times New Roman" w:hAnsi="Times New Roman"/>
          <w:sz w:val="20"/>
          <w:szCs w:val="20"/>
          <w:color w:val="auto"/>
        </w:rPr>
        <w:t>”). The PIIA remains in full force and effect.</w:t>
      </w:r>
    </w:p>
    <w:p>
      <w:pPr>
        <w:spacing w:after="0" w:line="155"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AND BINDING EFFECT.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Agreement shall be binding upon and inure to the benefit of Executive and Executive’s heirs, executors, personal representatives, assigns, administrators and legal representatives. Because of the unique and personal nature of Executive’s duties under this Agreement, neither this Agreement nor any rights or obligations under this Agreement shall be assignable by Executive.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82"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All notices or demands of any kind required or permitted to be given by the Company or Executive under this Agreement shall be given in writing and shall be personally delivered (and receipted for) or faxed during normal business hours or mailed by certified mail, return receipt requested, postage prepaid, addressed as follows: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If to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10421 Pacific Center Court, Suite 200</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San Diego, CA 92121</w:t>
      </w:r>
    </w:p>
    <w:p>
      <w:pPr>
        <w:ind w:left="660"/>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20"/>
          <w:szCs w:val="20"/>
          <w:b w:val="1"/>
          <w:bCs w:val="1"/>
          <w:color w:val="auto"/>
        </w:rPr>
        <w:t>If to Executive:</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Eric Loumeau</w:t>
      </w:r>
    </w:p>
    <w:p>
      <w:pPr>
        <w:ind w:left="660"/>
        <w:spacing w:after="0"/>
        <w:rPr>
          <w:sz w:val="20"/>
          <w:szCs w:val="20"/>
          <w:color w:val="auto"/>
        </w:rPr>
      </w:pPr>
      <w:r>
        <w:rPr>
          <w:rFonts w:ascii="Times New Roman" w:cs="Times New Roman" w:eastAsia="Times New Roman" w:hAnsi="Times New Roman"/>
          <w:sz w:val="20"/>
          <w:szCs w:val="20"/>
          <w:color w:val="auto"/>
        </w:rPr>
        <w:t>15024 Huntington Gate Drive</w:t>
      </w:r>
    </w:p>
    <w:p>
      <w:pPr>
        <w:ind w:left="660"/>
        <w:spacing w:after="0"/>
        <w:rPr>
          <w:sz w:val="20"/>
          <w:szCs w:val="20"/>
          <w:color w:val="auto"/>
        </w:rPr>
      </w:pPr>
      <w:r>
        <w:rPr>
          <w:rFonts w:ascii="Times New Roman" w:cs="Times New Roman" w:eastAsia="Times New Roman" w:hAnsi="Times New Roman"/>
          <w:sz w:val="20"/>
          <w:szCs w:val="20"/>
          <w:color w:val="auto"/>
        </w:rPr>
        <w:t>Poway, CA 92064</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170"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CHOICE OF LAW.</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This Agreement shall be construed and interpreted in accordance with the internal laws of the State of California without regard to its conflict of laws principles.</w:t>
      </w:r>
    </w:p>
    <w:p>
      <w:pPr>
        <w:spacing w:after="0" w:line="15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INTEGRATION.</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This Agreement, including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and the PIIA, contains the complete, final and exclusive agreement of the Parties relating to the terms and conditions of Executive’s employment and the termination of Executive’s employment, and supersedes any and all prior and/or contemporaneous oral and written employment agreements or arrangements between the Parties, including the Prior Agreement, which is hereby terminated. By signing below, Executive acknowledges that he has been paid all compensation and benefits owed to him by the Company and that the Company has fully performed all of its obligations under the Prior Agreement.</w:t>
      </w:r>
    </w:p>
    <w:p>
      <w:pPr>
        <w:spacing w:after="0" w:line="180"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Agreement cannot be amended or modified except by a written agreement signed by Executive and the Company.</w:t>
      </w:r>
    </w:p>
    <w:p>
      <w:pPr>
        <w:spacing w:after="0" w:line="212" w:lineRule="exact"/>
        <w:rPr>
          <w:sz w:val="20"/>
          <w:szCs w:val="20"/>
          <w:color w:val="auto"/>
        </w:rPr>
      </w:pPr>
    </w:p>
    <w:p>
      <w:pPr>
        <w:ind w:left="1280" w:hanging="624"/>
        <w:spacing w:after="0"/>
        <w:tabs>
          <w:tab w:leader="none" w:pos="128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70"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176"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 CONSTRUCTION.</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headings set forth in this Agreement are for convenience of reference only and shall not be used in interpreting this Agreement. This Agreement has been drafted by legal counsel representing the Company, but Executive has been encouraged to consult with, and has consulted with, Executive’s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9" w:right="3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20"/>
          <w:szCs w:val="20"/>
          <w:color w:val="auto"/>
        </w:rPr>
        <w:t>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70"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Executive represents and warrants that Executive is not restricted or prohibited, contractually or otherwise, from entering into and performing each of the terms and covenants contained in this Agreement, and that Executive’s execution and performance of this Agreement will not violate or breach any other agreements between Executive and any other person or entity.</w:t>
      </w:r>
    </w:p>
    <w:p>
      <w:pPr>
        <w:spacing w:after="0" w:line="170"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This Agreement may be executed in two counterparts, each of which shall be deemed an original, all of which together shall contribute one and the same instrument.</w:t>
      </w:r>
    </w:p>
    <w:p>
      <w:pPr>
        <w:spacing w:after="0" w:line="155"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ARBITRATION.</w:t>
      </w:r>
    </w:p>
    <w:p>
      <w:pPr>
        <w:spacing w:after="0" w:line="2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To ensure the rapid and economical resolution of disputes that may arise in connection with Executive’s employment with the Company, Executive and the Company agree that any and all disputes, claims, or causes of action, in law or equity, arising from or relating to Executive’s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Executive and the Company hereby waive any right to a jury trial. Both Executive and the Company shall be entitled to all rights and remedies that either Executive or the Company would be entitled to pursue in a court of law. The Company shall pay any JAMS filing fee and shall pay the arbitrator’s fee.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involving confidential, proprietary or trade secret information, or intellectual property rights, by Court action instead of arbitration.</w:t>
      </w:r>
    </w:p>
    <w:p>
      <w:pPr>
        <w:spacing w:after="0" w:line="178"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TRADE SECRETS OF OTHERS.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It is the understanding of both the Company and Executive that Executive shall not divulge to the Company and/or its subsidiaries any confidential information or trade secrets belonging to others, including Executive’s former employers, nor shall the Company and/or its Affiliates seek to elicit from Executive any such information. Consistent with the foregoing, Executive shall not provide to the Company and/or its Affiliates, and the Company and/or its Affiliates shall not request, any documents or copies of documents containing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80" w:name="page81"/>
    <w:bookmarkEnd w:id="80"/>
    <w:p>
      <w:pPr>
        <w:ind w:left="1300" w:hanging="644"/>
        <w:spacing w:after="0"/>
        <w:tabs>
          <w:tab w:leader="none" w:pos="130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ADVERTISING WAIVER.</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Executive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Executive’s name and/or pictures of Executive taken in the course of Executive’s provision of services to the Company appear. Executive hereby waives and releases any claim or right Executive may otherwise have arising out of such use, publication or distribution.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1409" w:right="35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the Agreement as of the date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Hamza Suria</w:t>
      </w:r>
    </w:p>
    <w:p>
      <w:pPr>
        <w:spacing w:after="0" w:line="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Name:</w:t>
        <w:tab/>
        <w:t>Hamza Suria</w:t>
      </w: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 &amp; CEO</w:t>
      </w:r>
    </w:p>
    <w:p>
      <w:pPr>
        <w:spacing w:after="0" w:line="3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19"/>
          <w:szCs w:val="19"/>
          <w:color w:val="auto"/>
        </w:rPr>
        <w:t>July 14, 2020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Eric Loumeau</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ERIC LOUMEAU</w:t>
      </w:r>
    </w:p>
    <w:p>
      <w:pPr>
        <w:spacing w:after="0" w:line="19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19"/>
          <w:szCs w:val="19"/>
          <w:color w:val="auto"/>
        </w:rPr>
        <w:t>July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20"/>
          <w:szCs w:val="20"/>
          <w:b w:val="1"/>
          <w:bCs w:val="1"/>
          <w:color w:val="auto"/>
        </w:rPr>
        <w:t>[SIGNATURE PAGE TO EMPLOYMENT AGREEMENT]</w:t>
      </w:r>
    </w:p>
    <w:p>
      <w:pPr>
        <w:sectPr>
          <w:pgSz w:w="11900" w:h="16838" w:orient="portrait"/>
          <w:cols w:equalWidth="0" w:num="1">
            <w:col w:w="10139"/>
          </w:cols>
          <w:pgMar w:left="320" w:top="1409"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RELEASE AND WAIVER OF CLAIMS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SIGNED ON OR FOLLOWING THE SEPARATION DATE ONLY</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consideration of the payments and other benefits set forth in the Amended and Restated Employment Agreement effective July 15, 2020, to which this form is attached, I, Eric Loumeau, hereby furnish </w:t>
      </w:r>
      <w:r>
        <w:rPr>
          <w:rFonts w:ascii="Times New Roman" w:cs="Times New Roman" w:eastAsia="Times New Roman" w:hAnsi="Times New Roman"/>
          <w:sz w:val="20"/>
          <w:szCs w:val="20"/>
          <w:b w:val="1"/>
          <w:bCs w:val="1"/>
          <w:color w:val="auto"/>
        </w:rPr>
        <w:t>ANAPTYSBIO, INC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with the following release and waiver (“</w:t>
      </w:r>
      <w:r>
        <w:rPr>
          <w:rFonts w:ascii="Times New Roman" w:cs="Times New Roman" w:eastAsia="Times New Roman" w:hAnsi="Times New Roman"/>
          <w:sz w:val="20"/>
          <w:szCs w:val="20"/>
          <w:b w:val="1"/>
          <w:bCs w:val="1"/>
          <w:i w:val="1"/>
          <w:iCs w:val="1"/>
          <w:color w:val="auto"/>
        </w:rPr>
        <w:t>Release and Waiver</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In exchange for the consideration provided to me by the Amended and Restated Employment Agreement that I am not otherwise entitled to receive, I hereby generally and completely release the Company and its current and former directors, officers, employees, stockholders, partners, agents, attorneys, predecessors, successors, parent and subsidiary entities, insurers, affiliates, and assigns (collectively, the “</w:t>
      </w:r>
      <w:r>
        <w:rPr>
          <w:rFonts w:ascii="Times New Roman" w:cs="Times New Roman" w:eastAsia="Times New Roman" w:hAnsi="Times New Roman"/>
          <w:sz w:val="19"/>
          <w:szCs w:val="19"/>
          <w:b w:val="1"/>
          <w:bCs w:val="1"/>
          <w:i w:val="1"/>
          <w:iCs w:val="1"/>
          <w:color w:val="auto"/>
        </w:rPr>
        <w:t>Released Parties</w:t>
      </w:r>
      <w:r>
        <w:rPr>
          <w:rFonts w:ascii="Times New Roman" w:cs="Times New Roman" w:eastAsia="Times New Roman" w:hAnsi="Times New Roman"/>
          <w:sz w:val="19"/>
          <w:szCs w:val="19"/>
          <w:color w:val="auto"/>
        </w:rPr>
        <w:t>”) from any and all claims, liabilities and obligations, both known and unknown, that arise out of or are in any way related to events, acts, conduct, or omissions occurring prior to or on the date that I sign this Agreement (collectively, the “</w:t>
      </w:r>
      <w:r>
        <w:rPr>
          <w:rFonts w:ascii="Times New Roman" w:cs="Times New Roman" w:eastAsia="Times New Roman" w:hAnsi="Times New Roman"/>
          <w:sz w:val="19"/>
          <w:szCs w:val="19"/>
          <w:b w:val="1"/>
          <w:bCs w:val="1"/>
          <w:i w:val="1"/>
          <w:iCs w:val="1"/>
          <w:color w:val="auto"/>
        </w:rPr>
        <w:t>Released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Claims</w:t>
      </w:r>
      <w:r>
        <w:rPr>
          <w:rFonts w:ascii="Times New Roman" w:cs="Times New Roman" w:eastAsia="Times New Roman" w:hAnsi="Times New Roman"/>
          <w:sz w:val="19"/>
          <w:szCs w:val="19"/>
          <w:color w:val="auto"/>
        </w:rPr>
        <w:t>”). The Released Claims include, but are not limited to: (a) all claims arising out of or in any way related to my employment with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w:t>
      </w:r>
      <w:r>
        <w:rPr>
          <w:rFonts w:ascii="Times New Roman" w:cs="Times New Roman" w:eastAsia="Times New Roman" w:hAnsi="Times New Roman"/>
          <w:sz w:val="19"/>
          <w:szCs w:val="19"/>
          <w:b w:val="1"/>
          <w:bCs w:val="1"/>
          <w:i w:val="1"/>
          <w:iCs w:val="1"/>
          <w:color w:val="auto"/>
        </w:rPr>
        <w:t>ADEA</w:t>
      </w:r>
      <w:r>
        <w:rPr>
          <w:rFonts w:ascii="Times New Roman" w:cs="Times New Roman" w:eastAsia="Times New Roman" w:hAnsi="Times New Roman"/>
          <w:sz w:val="19"/>
          <w:szCs w:val="19"/>
          <w:color w:val="auto"/>
        </w:rPr>
        <w:t>”), the California Labor Code, and the California Fair Employment and Housing Act (as amended). Notwithstanding the foregoing, the following are not included in the Released Claims (the “</w:t>
      </w:r>
      <w:r>
        <w:rPr>
          <w:rFonts w:ascii="Times New Roman" w:cs="Times New Roman" w:eastAsia="Times New Roman" w:hAnsi="Times New Roman"/>
          <w:sz w:val="19"/>
          <w:szCs w:val="19"/>
          <w:b w:val="1"/>
          <w:bCs w:val="1"/>
          <w:i w:val="1"/>
          <w:iCs w:val="1"/>
          <w:color w:val="auto"/>
        </w:rPr>
        <w:t>Excluded Claims</w:t>
      </w:r>
      <w:r>
        <w:rPr>
          <w:rFonts w:ascii="Times New Roman" w:cs="Times New Roman" w:eastAsia="Times New Roman" w:hAnsi="Times New Roman"/>
          <w:sz w:val="19"/>
          <w:szCs w:val="19"/>
          <w:color w:val="auto"/>
        </w:rPr>
        <w:t>”): (a) any rights or claims for indemnification I may have pursuant to the charter or bylaws of the Company or under applicable law; (b) any rights or claims to unemployment compensation, funds accrued in my 401k account, or any vested equity incentives;</w:t>
      </w:r>
    </w:p>
    <w:p>
      <w:pPr>
        <w:spacing w:after="0" w:line="9" w:lineRule="exact"/>
        <w:rPr>
          <w:sz w:val="20"/>
          <w:szCs w:val="20"/>
          <w:color w:val="auto"/>
        </w:rPr>
      </w:pPr>
    </w:p>
    <w:p>
      <w:pPr>
        <w:jc w:val="both"/>
        <w:ind w:firstLine="8"/>
        <w:spacing w:after="0" w:line="242" w:lineRule="auto"/>
        <w:tabs>
          <w:tab w:leader="none" w:pos="28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w:t>
      </w:r>
    </w:p>
    <w:p>
      <w:pPr>
        <w:spacing w:after="0" w:line="18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 also acknowledge that I have read and understand Section 1542 of the California Civil Code which reads as follows: “</w:t>
      </w:r>
      <w:r>
        <w:rPr>
          <w:rFonts w:ascii="Times New Roman" w:cs="Times New Roman" w:eastAsia="Times New Roman" w:hAnsi="Times New Roman"/>
          <w:sz w:val="20"/>
          <w:szCs w:val="20"/>
          <w:b w:val="1"/>
          <w:bCs w:val="1"/>
          <w:color w:val="auto"/>
        </w:rPr>
        <w:t>A 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release does not extend to claims which the creditor does not know or suspect to exist in his or her favor at the time of executing the release, which if known by him or her must have materially affected his or her settlement with the debtor</w:t>
      </w:r>
      <w:r>
        <w:rPr>
          <w:rFonts w:ascii="Times New Roman" w:cs="Times New Roman" w:eastAsia="Times New Roman" w:hAnsi="Times New Roman"/>
          <w:sz w:val="20"/>
          <w:szCs w:val="20"/>
          <w:color w:val="auto"/>
        </w:rPr>
        <w:t>.” I hereby expressly waive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relinquish all rights and benefits under that Section and any law of any jurisdiction, including New York, of similar effect with respect to any claims I may have against the Company.</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w:t>
      </w:r>
    </w:p>
    <w:p>
      <w:pPr>
        <w:sectPr>
          <w:pgSz w:w="11900" w:h="16838" w:orient="portrait"/>
          <w:cols w:equalWidth="0" w:num="1">
            <w:col w:w="11240"/>
          </w:cols>
          <w:pgMar w:left="320" w:top="1409" w:right="339" w:bottom="1440" w:gutter="0" w:footer="0" w:header="0"/>
        </w:sectPr>
      </w:pPr>
    </w:p>
    <w:bookmarkStart w:id="83" w:name="page84"/>
    <w:bookmarkEnd w:id="83"/>
    <w:p>
      <w:pPr>
        <w:jc w:val="both"/>
        <w:spacing w:after="0" w:line="260" w:lineRule="auto"/>
        <w:rPr>
          <w:sz w:val="20"/>
          <w:szCs w:val="20"/>
          <w:color w:val="auto"/>
        </w:rPr>
      </w:pPr>
      <w:r>
        <w:rPr>
          <w:rFonts w:ascii="Times New Roman" w:cs="Times New Roman" w:eastAsia="Times New Roman" w:hAnsi="Times New Roman"/>
          <w:sz w:val="19"/>
          <w:szCs w:val="19"/>
          <w:color w:val="auto"/>
        </w:rPr>
        <w:t>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w:t>
      </w:r>
    </w:p>
    <w:p>
      <w:pPr>
        <w:jc w:val="both"/>
        <w:ind w:firstLine="8"/>
        <w:spacing w:after="0" w:line="242" w:lineRule="auto"/>
        <w:tabs>
          <w:tab w:leader="none" w:pos="29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0" w:lineRule="exact"/>
        <w:rPr>
          <w:sz w:val="20"/>
          <w:szCs w:val="20"/>
          <w:color w:val="auto"/>
        </w:rPr>
      </w:pPr>
    </w:p>
    <w:p>
      <w:pPr>
        <w:spacing w:after="0" w:line="298"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20"/>
          <w:szCs w:val="20"/>
          <w:color w:val="auto"/>
        </w:rPr>
        <w:t>Date:________________________</w:t>
      </w:r>
      <w:r>
        <w:rPr>
          <w:sz w:val="20"/>
          <w:szCs w:val="20"/>
          <w:color w:val="auto"/>
        </w:rPr>
        <w:tab/>
      </w:r>
      <w:r>
        <w:rPr>
          <w:rFonts w:ascii="Times New Roman" w:cs="Times New Roman" w:eastAsia="Times New Roman" w:hAnsi="Times New Roman"/>
          <w:sz w:val="19"/>
          <w:szCs w:val="19"/>
          <w:color w:val="auto"/>
        </w:rPr>
        <w:t>By:__________________________________</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ERIC LOUMEAU</w:t>
      </w:r>
    </w:p>
    <w:p>
      <w:pPr>
        <w:sectPr>
          <w:pgSz w:w="11900" w:h="16838" w:orient="portrait"/>
          <w:cols w:equalWidth="0" w:num="1">
            <w:col w:w="11240"/>
          </w:cols>
          <w:pgMar w:left="320" w:top="141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effective from July 15, 2020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xml:space="preserve">”) by and among </w:t>
      </w:r>
      <w:r>
        <w:rPr>
          <w:rFonts w:ascii="Times New Roman" w:cs="Times New Roman" w:eastAsia="Times New Roman" w:hAnsi="Times New Roman"/>
          <w:sz w:val="20"/>
          <w:szCs w:val="20"/>
          <w:b w:val="1"/>
          <w:bCs w:val="1"/>
          <w:color w:val="auto"/>
        </w:rPr>
        <w:t>ANAPTYSBIO, INC</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Dennis Mulroy (“</w:t>
      </w:r>
      <w:r>
        <w:rPr>
          <w:rFonts w:ascii="Times New Roman" w:cs="Times New Roman" w:eastAsia="Times New Roman" w:hAnsi="Times New Roman"/>
          <w:sz w:val="20"/>
          <w:szCs w:val="20"/>
          <w:b w:val="1"/>
          <w:bCs w:val="1"/>
          <w:i w:val="1"/>
          <w:iCs w:val="1"/>
          <w:color w:val="auto"/>
        </w:rPr>
        <w:t>CFO</w:t>
      </w:r>
      <w:r>
        <w:rPr>
          <w:rFonts w:ascii="Times New Roman" w:cs="Times New Roman" w:eastAsia="Times New Roman" w:hAnsi="Times New Roman"/>
          <w:sz w:val="20"/>
          <w:szCs w:val="20"/>
          <w:color w:val="auto"/>
        </w:rPr>
        <w:t>”). The Company and CFO are hereinafter collectively referred to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and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w:t>
      </w:r>
    </w:p>
    <w:p>
      <w:pPr>
        <w:spacing w:after="0" w:line="20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desires to employ CFO, and CFO is willing to accept such employment by Company, on the terms and subject to the conditions set forth in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consideration of the foregoing Recitals and the mutual promises and covenants herein contained, and for other good and valuable consideration, the Parties, intending to be legally bound, agree as follows:</w:t>
      </w:r>
    </w:p>
    <w:p>
      <w:pPr>
        <w:spacing w:after="0" w:line="155"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EMPLOYMENT.</w:t>
      </w:r>
    </w:p>
    <w:p>
      <w:pPr>
        <w:spacing w:after="0" w:line="216" w:lineRule="exact"/>
        <w:rPr>
          <w:sz w:val="20"/>
          <w:szCs w:val="20"/>
          <w:color w:val="auto"/>
        </w:rPr>
      </w:pPr>
    </w:p>
    <w:p>
      <w:pPr>
        <w:ind w:left="80" w:firstLine="1215"/>
        <w:spacing w:after="0" w:line="273" w:lineRule="auto"/>
        <w:rPr>
          <w:sz w:val="20"/>
          <w:szCs w:val="20"/>
          <w:color w:val="auto"/>
        </w:rPr>
      </w:pPr>
      <w:r>
        <w:rPr>
          <w:rFonts w:ascii="Times New Roman" w:cs="Times New Roman" w:eastAsia="Times New Roman" w:hAnsi="Times New Roman"/>
          <w:sz w:val="20"/>
          <w:szCs w:val="20"/>
          <w:b w:val="1"/>
          <w:bCs w:val="1"/>
          <w:color w:val="auto"/>
        </w:rPr>
        <w:t>1.1 Title</w:t>
      </w:r>
      <w:r>
        <w:rPr>
          <w:rFonts w:ascii="Times New Roman" w:cs="Times New Roman" w:eastAsia="Times New Roman" w:hAnsi="Times New Roman"/>
          <w:sz w:val="20"/>
          <w:szCs w:val="20"/>
          <w:color w:val="auto"/>
        </w:rPr>
        <w:t>. Effective as of the Effective Date, CFO’s position shall be Chief Financial Officer of the Company,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set forth in this Agreement.</w:t>
      </w:r>
    </w:p>
    <w:p>
      <w:pPr>
        <w:spacing w:after="0" w:line="152"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1.2 Term</w:t>
      </w:r>
      <w:r>
        <w:rPr>
          <w:rFonts w:ascii="Times New Roman" w:cs="Times New Roman" w:eastAsia="Times New Roman" w:hAnsi="Times New Roman"/>
          <w:sz w:val="20"/>
          <w:szCs w:val="20"/>
          <w:color w:val="auto"/>
        </w:rPr>
        <w:t>. The term of this Agreement shall begin on the Effective Date and shall continue until it is terminated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 herein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1.3 Duties</w:t>
      </w:r>
      <w:r>
        <w:rPr>
          <w:rFonts w:ascii="Times New Roman" w:cs="Times New Roman" w:eastAsia="Times New Roman" w:hAnsi="Times New Roman"/>
          <w:sz w:val="20"/>
          <w:szCs w:val="20"/>
          <w:color w:val="auto"/>
        </w:rPr>
        <w:t>. CFO shall do and perform all services, acts or things necessary or advisable to manage and conduct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of the Company and that are normally associated with the position of Chief Financial Officer of the Company. CFO shall report to the Chief Executive Officer.</w:t>
      </w:r>
    </w:p>
    <w:p>
      <w:pPr>
        <w:spacing w:after="0" w:line="16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1.4 Policies and Practices</w:t>
      </w:r>
      <w:r>
        <w:rPr>
          <w:rFonts w:ascii="Times New Roman" w:cs="Times New Roman" w:eastAsia="Times New Roman" w:hAnsi="Times New Roman"/>
          <w:sz w:val="20"/>
          <w:szCs w:val="20"/>
          <w:color w:val="auto"/>
        </w:rPr>
        <w:t>. The employment relationship between the Parties shall be governed by this Agreement and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policies and practices established by the Company and/or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or any designated committee thereof. In the event that the terms of this Agreement differ from or are in conflict with the Company’s policies or practices or the Company’s Employee Handbook, this Agreement shall control.</w:t>
      </w:r>
    </w:p>
    <w:p>
      <w:pPr>
        <w:spacing w:after="0" w:line="17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b w:val="1"/>
          <w:bCs w:val="1"/>
          <w:color w:val="auto"/>
        </w:rPr>
        <w:t>1.5 Location</w:t>
      </w:r>
      <w:r>
        <w:rPr>
          <w:rFonts w:ascii="Times New Roman" w:cs="Times New Roman" w:eastAsia="Times New Roman" w:hAnsi="Times New Roman"/>
          <w:sz w:val="20"/>
          <w:szCs w:val="20"/>
          <w:color w:val="auto"/>
        </w:rPr>
        <w:t>. Unless the Parties otherwise agree in writing, and except as provided in this Section 1.5, during the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CFO shall perform the services CFO is required to perform pursuant to this Agreement at the Company’s offices in San Diego, California;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Company may from time to time require CFO to travel temporarily to other locations in connection with the Company’s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upon the Effective Date, and until applicable government COVID-19 quarantine restrictions applicable to the San Diego office are lifted and the San Diego office reopens, the Company will allow CFO to perform the services remotely from CFO’s home.</w:t>
      </w:r>
    </w:p>
    <w:p>
      <w:pPr>
        <w:spacing w:after="0" w:line="179"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LOYALTY; NONCOMPETITION; NONSOLICITATION.</w:t>
      </w:r>
    </w:p>
    <w:p>
      <w:pPr>
        <w:spacing w:after="0" w:line="216"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2.1 Loyalty</w:t>
      </w:r>
      <w:r>
        <w:rPr>
          <w:rFonts w:ascii="Times New Roman" w:cs="Times New Roman" w:eastAsia="Times New Roman" w:hAnsi="Times New Roman"/>
          <w:sz w:val="20"/>
          <w:szCs w:val="20"/>
          <w:color w:val="auto"/>
        </w:rPr>
        <w:t>. During CFO’s employment with the Company, CFO shall devote CFO’s full business energies,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abilities and productive time to the proper and efficient performance of CFO’s duties under this Agreement.</w:t>
      </w:r>
    </w:p>
    <w:p>
      <w:pPr>
        <w:sectPr>
          <w:pgSz w:w="11900" w:h="16838" w:orient="portrait"/>
          <w:cols w:equalWidth="0" w:num="1">
            <w:col w:w="11240"/>
          </w:cols>
          <w:pgMar w:left="320" w:top="1409" w:right="339" w:bottom="1440" w:gutter="0" w:footer="0" w:header="0"/>
        </w:sectPr>
      </w:pPr>
    </w:p>
    <w:bookmarkStart w:id="85" w:name="page86"/>
    <w:bookmarkEnd w:id="85"/>
    <w:p>
      <w:pPr>
        <w:jc w:val="both"/>
        <w:ind w:firstLine="1296"/>
        <w:spacing w:after="0" w:line="243" w:lineRule="auto"/>
        <w:rPr>
          <w:sz w:val="20"/>
          <w:szCs w:val="20"/>
          <w:color w:val="auto"/>
        </w:rPr>
      </w:pPr>
      <w:r>
        <w:rPr>
          <w:rFonts w:ascii="Times New Roman" w:cs="Times New Roman" w:eastAsia="Times New Roman" w:hAnsi="Times New Roman"/>
          <w:sz w:val="20"/>
          <w:szCs w:val="20"/>
          <w:b w:val="1"/>
          <w:bCs w:val="1"/>
          <w:color w:val="auto"/>
        </w:rPr>
        <w:t>2.2 Agreement not to Participate in Company’s Competitors</w:t>
      </w:r>
      <w:r>
        <w:rPr>
          <w:rFonts w:ascii="Times New Roman" w:cs="Times New Roman" w:eastAsia="Times New Roman" w:hAnsi="Times New Roman"/>
          <w:sz w:val="20"/>
          <w:szCs w:val="20"/>
          <w:color w:val="auto"/>
        </w:rPr>
        <w:t>. During CFO’s employment with the Company, CFO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not to acquire, assume or participate in, directly or indirectly, any position, investment or interest known by CFO to be adverse or antagonistic to the Company, its business, or prospects, financial or otherwise, or in any company, person, or entity that is, directly or indirectly, in competition with the business of the Company or any of its Affiliates (as defined below). Ownership by CFO, in professionally managed funds over which CFO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“Affiliate,” means, with respect to any specific entity, any other entity that, directly or indirectly, through one or more intermediaries, controls, is controlled by or is under common control with such specified entity.</w:t>
      </w:r>
    </w:p>
    <w:p>
      <w:pPr>
        <w:spacing w:after="0" w:line="18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b w:val="1"/>
          <w:bCs w:val="1"/>
          <w:color w:val="auto"/>
        </w:rPr>
        <w:t>2.3 Covenant not to Compete</w:t>
      </w:r>
      <w:r>
        <w:rPr>
          <w:rFonts w:ascii="Times New Roman" w:cs="Times New Roman" w:eastAsia="Times New Roman" w:hAnsi="Times New Roman"/>
          <w:sz w:val="20"/>
          <w:szCs w:val="20"/>
          <w:color w:val="auto"/>
        </w:rPr>
        <w:t>. During CFO’s employment with the Company, CFO shall not engage in competition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and/or any of its Affiliates in any manner or capacity, as adviser, principal, agent, Affiliate, promoter, partner, officer, director, employee, owner, co-owner, consultant, in any phase of the business of developing, manufacturing and marketing of products or services that directly compete with the products or services of the Company, except with the prior written consent of the CEO. CFO shall be entitled to request written consent of the CEO with respect to potential advisory and/or director opportunities presented to CFO by a third party, which CFO believes in good faith will not interfere or compete with the on-going business of the Company.</w:t>
      </w:r>
    </w:p>
    <w:p>
      <w:pPr>
        <w:spacing w:after="0" w:line="179"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COMPENSATION OF CFO.</w:t>
      </w:r>
    </w:p>
    <w:p>
      <w:pPr>
        <w:spacing w:after="0" w:line="21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3.1 Base Salary</w:t>
      </w:r>
      <w:r>
        <w:rPr>
          <w:rFonts w:ascii="Times New Roman" w:cs="Times New Roman" w:eastAsia="Times New Roman" w:hAnsi="Times New Roman"/>
          <w:sz w:val="20"/>
          <w:szCs w:val="20"/>
          <w:color w:val="auto"/>
        </w:rPr>
        <w:t>. The Company shall pay CFO a base salary at the annualized rate of $400,000 (the “</w:t>
      </w:r>
      <w:r>
        <w:rPr>
          <w:rFonts w:ascii="Times New Roman" w:cs="Times New Roman" w:eastAsia="Times New Roman" w:hAnsi="Times New Roman"/>
          <w:sz w:val="20"/>
          <w:szCs w:val="20"/>
          <w:b w:val="1"/>
          <w:bCs w:val="1"/>
          <w:i w:val="1"/>
          <w:iCs w:val="1"/>
          <w:color w:val="auto"/>
        </w:rPr>
        <w:t>Base Salary</w:t>
      </w:r>
      <w:r>
        <w:rPr>
          <w:rFonts w:ascii="Times New Roman" w:cs="Times New Roman" w:eastAsia="Times New Roman" w:hAnsi="Times New Roman"/>
          <w:sz w:val="20"/>
          <w:szCs w:val="20"/>
          <w:color w:val="auto"/>
        </w:rPr>
        <w:t>”), 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payroll deductions and all required withholdings, payable in regular periodic installments in accordance with the Company’s normal payroll practices. The Base Salary shall be prorated for any partial year of employment on the basis of a 365-day fiscal year.</w:t>
      </w:r>
    </w:p>
    <w:p>
      <w:pPr>
        <w:spacing w:after="0" w:line="169"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b w:val="1"/>
          <w:bCs w:val="1"/>
          <w:color w:val="auto"/>
        </w:rPr>
        <w:t>3.2 Discretionary Bonus</w:t>
      </w:r>
      <w:r>
        <w:rPr>
          <w:rFonts w:ascii="Times New Roman" w:cs="Times New Roman" w:eastAsia="Times New Roman" w:hAnsi="Times New Roman"/>
          <w:sz w:val="20"/>
          <w:szCs w:val="20"/>
          <w:color w:val="auto"/>
        </w:rPr>
        <w:t>. At the sole discretion of the Board and the Chief Executive Officer, promptly following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calendar year of employment CFO shall be eligible to receive a discretionary cash bonus of up to 40% of CFO’s then-current base salary (the “</w:t>
      </w:r>
      <w:r>
        <w:rPr>
          <w:rFonts w:ascii="Times New Roman" w:cs="Times New Roman" w:eastAsia="Times New Roman" w:hAnsi="Times New Roman"/>
          <w:sz w:val="20"/>
          <w:szCs w:val="20"/>
          <w:b w:val="1"/>
          <w:bCs w:val="1"/>
          <w:i w:val="1"/>
          <w:iCs w:val="1"/>
          <w:color w:val="auto"/>
        </w:rPr>
        <w:t>Bonus</w:t>
      </w:r>
      <w:r>
        <w:rPr>
          <w:rFonts w:ascii="Times New Roman" w:cs="Times New Roman" w:eastAsia="Times New Roman" w:hAnsi="Times New Roman"/>
          <w:sz w:val="20"/>
          <w:szCs w:val="20"/>
          <w:color w:val="auto"/>
        </w:rPr>
        <w:t>”), based on CFO’s achievement relative to certain performance goals (“</w:t>
      </w:r>
      <w:r>
        <w:rPr>
          <w:rFonts w:ascii="Times New Roman" w:cs="Times New Roman" w:eastAsia="Times New Roman" w:hAnsi="Times New Roman"/>
          <w:sz w:val="20"/>
          <w:szCs w:val="20"/>
          <w:b w:val="1"/>
          <w:bCs w:val="1"/>
          <w:i w:val="1"/>
          <w:iCs w:val="1"/>
          <w:color w:val="auto"/>
        </w:rPr>
        <w:t>Performance Goals</w:t>
      </w:r>
      <w:r>
        <w:rPr>
          <w:rFonts w:ascii="Times New Roman" w:cs="Times New Roman" w:eastAsia="Times New Roman" w:hAnsi="Times New Roman"/>
          <w:sz w:val="20"/>
          <w:szCs w:val="20"/>
          <w:color w:val="auto"/>
        </w:rPr>
        <w:t>”) to be established by the Chief Executive Officer and/or the Board or the Compensation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in writing in a manner reasonably consistent with the Company’s priorities. The determination of whether CFO has met the Performance Goals for any given year, and if so, the amount of any Bonus that will be paid for such year (if any), shall be determined by the Board or the Committee and Chief Executive Officer in their sole and absolute discretion. In order to be eligible to earn or receive any Bonus, CFO must remain employed by the Company through and including the date of payment of such Bonus. For the first calendar year of CFO’s employment with the Company, the Bonus payable shall be pro-rated in accordance with the percentage of the calendar year that the CFO is an employee of the Company.</w:t>
      </w:r>
    </w:p>
    <w:p>
      <w:pPr>
        <w:spacing w:after="0" w:line="18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b w:val="1"/>
          <w:bCs w:val="1"/>
          <w:color w:val="auto"/>
        </w:rPr>
        <w:t>3.3 Stock Option</w:t>
      </w:r>
      <w:r>
        <w:rPr>
          <w:rFonts w:ascii="Times New Roman" w:cs="Times New Roman" w:eastAsia="Times New Roman" w:hAnsi="Times New Roman"/>
          <w:sz w:val="20"/>
          <w:szCs w:val="20"/>
          <w:color w:val="auto"/>
        </w:rPr>
        <w:t>. As soon as practicable following the Effective Date, subject to the approval of the Board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CFO will be granted an option to purchase up to 90,600 shares of the Company’s Common Stock (the “</w:t>
      </w:r>
      <w:r>
        <w:rPr>
          <w:rFonts w:ascii="Times New Roman" w:cs="Times New Roman" w:eastAsia="Times New Roman" w:hAnsi="Times New Roman"/>
          <w:sz w:val="20"/>
          <w:szCs w:val="20"/>
          <w:b w:val="1"/>
          <w:bCs w:val="1"/>
          <w:i w:val="1"/>
          <w:iCs w:val="1"/>
          <w:color w:val="auto"/>
        </w:rPr>
        <w:t>Base Option</w:t>
      </w:r>
      <w:r>
        <w:rPr>
          <w:rFonts w:ascii="Times New Roman" w:cs="Times New Roman" w:eastAsia="Times New Roman" w:hAnsi="Times New Roman"/>
          <w:sz w:val="20"/>
          <w:szCs w:val="20"/>
          <w:color w:val="auto"/>
        </w:rPr>
        <w:t>”) pursuant to the terms of the Company’s 2017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The Base Option shall be subject to vesting such that, subject to CFO’s continued employment with the Company, 1/4 of the shares subject to the Base Option shall vest as of the first anniversary of the Effective Date and l/48th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86" w:name="page87"/>
    <w:bookmarkEnd w:id="86"/>
    <w:p>
      <w:pPr>
        <w:jc w:val="both"/>
        <w:spacing w:after="0" w:line="249" w:lineRule="auto"/>
        <w:rPr>
          <w:sz w:val="20"/>
          <w:szCs w:val="20"/>
          <w:color w:val="auto"/>
        </w:rPr>
      </w:pPr>
      <w:r>
        <w:rPr>
          <w:rFonts w:ascii="Times New Roman" w:cs="Times New Roman" w:eastAsia="Times New Roman" w:hAnsi="Times New Roman"/>
          <w:sz w:val="20"/>
          <w:szCs w:val="20"/>
          <w:color w:val="auto"/>
        </w:rPr>
        <w:t>subject to the Base Option shall vest in equal monthly installments on the monthly anniversary of the Effective Date of each month for the 36 months thereafter. The exercise price per share of the Base Option will be equal to the closing selling price as reported on the Nasdaq Stock Market on the date the Base Option is granted. The Base Option will be governed by the Plan and shall be granted pursuant to a separate stock option grant notice and stock option agreement.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3.4 Expense Reimbursements</w:t>
      </w:r>
      <w:r>
        <w:rPr>
          <w:rFonts w:ascii="Times New Roman" w:cs="Times New Roman" w:eastAsia="Times New Roman" w:hAnsi="Times New Roman"/>
          <w:sz w:val="20"/>
          <w:szCs w:val="20"/>
          <w:color w:val="auto"/>
        </w:rPr>
        <w:t>. The Company will reimburse CFO for all reasonable business expenses CFO incurs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conducting his duties hereunder, pursuant to the Company’s usual expense reimbursement policies; provided that CFO supplies the appropriate substantiation for such expenses no later than the end of the calendar month following the month in which such expenses were incurred by CFO.</w:t>
      </w:r>
    </w:p>
    <w:p>
      <w:pPr>
        <w:spacing w:after="0" w:line="176"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3.5 Changes to Compensation</w:t>
      </w:r>
      <w:r>
        <w:rPr>
          <w:rFonts w:ascii="Times New Roman" w:cs="Times New Roman" w:eastAsia="Times New Roman" w:hAnsi="Times New Roman"/>
          <w:sz w:val="20"/>
          <w:szCs w:val="20"/>
          <w:color w:val="auto"/>
        </w:rPr>
        <w:t>. CFO’s compensation will be reviewed annually and may be changed from time to time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sole discretion.</w:t>
      </w:r>
    </w:p>
    <w:p>
      <w:pPr>
        <w:spacing w:after="0" w:line="152"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3.6 Employment Taxes</w:t>
      </w:r>
      <w:r>
        <w:rPr>
          <w:rFonts w:ascii="Times New Roman" w:cs="Times New Roman" w:eastAsia="Times New Roman" w:hAnsi="Times New Roman"/>
          <w:sz w:val="20"/>
          <w:szCs w:val="20"/>
          <w:color w:val="auto"/>
        </w:rPr>
        <w:t>. All of CFO’s compensation shall be subject to customary withholding taxes and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taxes as are commonly required to be collected or withheld by the Company, as determined by the Company.</w:t>
      </w:r>
    </w:p>
    <w:p>
      <w:pPr>
        <w:spacing w:after="0" w:line="15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3.7 Benefits</w:t>
      </w:r>
      <w:r>
        <w:rPr>
          <w:rFonts w:ascii="Times New Roman" w:cs="Times New Roman" w:eastAsia="Times New Roman" w:hAnsi="Times New Roman"/>
          <w:sz w:val="20"/>
          <w:szCs w:val="20"/>
          <w:color w:val="auto"/>
        </w:rPr>
        <w:t>. CFO shall, in accordance with Company policy and the terms of the applicable plan documents, be eligible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participate in benefits under any benefit plan or arrangement that may be in effect from time to time and made available to the Company’s senior management employees.</w:t>
      </w:r>
    </w:p>
    <w:p>
      <w:pPr>
        <w:spacing w:after="0" w:line="16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3.8 Holidays and Vacation</w:t>
      </w:r>
      <w:r>
        <w:rPr>
          <w:rFonts w:ascii="Times New Roman" w:cs="Times New Roman" w:eastAsia="Times New Roman" w:hAnsi="Times New Roman"/>
          <w:sz w:val="20"/>
          <w:szCs w:val="20"/>
          <w:color w:val="auto"/>
        </w:rPr>
        <w:t>. CFO shall be eligible for paid holiday and vacation time in accordance with Company policy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in effect from time to time.</w:t>
      </w:r>
    </w:p>
    <w:p>
      <w:pPr>
        <w:spacing w:after="0" w:line="152"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TERMINATION.</w:t>
      </w:r>
    </w:p>
    <w:p>
      <w:pPr>
        <w:spacing w:after="0" w:line="216"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20"/>
          <w:szCs w:val="20"/>
          <w:b w:val="1"/>
          <w:bCs w:val="1"/>
          <w:color w:val="auto"/>
        </w:rPr>
        <w:t>4.1</w:t>
        <w:tab/>
        <w:t>Termination by the Company</w:t>
      </w:r>
      <w:r>
        <w:rPr>
          <w:rFonts w:ascii="Times New Roman" w:cs="Times New Roman" w:eastAsia="Times New Roman" w:hAnsi="Times New Roman"/>
          <w:sz w:val="20"/>
          <w:szCs w:val="20"/>
          <w:color w:val="auto"/>
        </w:rPr>
        <w:t>. CFO’s employment with the Company is at will and may be terminated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at any time and for any reason, or for no reason, including, but not limited to, under the following conditions:</w:t>
      </w:r>
    </w:p>
    <w:p>
      <w:pPr>
        <w:spacing w:after="0" w:line="190"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20"/>
          <w:szCs w:val="20"/>
          <w:b w:val="1"/>
          <w:bCs w:val="1"/>
          <w:color w:val="auto"/>
        </w:rPr>
        <w:t>4.1.1 Termination by the Company for Cause</w:t>
      </w:r>
      <w:r>
        <w:rPr>
          <w:rFonts w:ascii="Times New Roman" w:cs="Times New Roman" w:eastAsia="Times New Roman" w:hAnsi="Times New Roman"/>
          <w:sz w:val="20"/>
          <w:szCs w:val="20"/>
          <w:color w:val="auto"/>
        </w:rPr>
        <w:t>. The Company may terminate CFO’s employment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for Cause (as defined below) by delivery of written notice to CFO. Any notice of termination given pursuant to this section shall effect termination as of the date of the notice, or as of such other date specified in the notice.</w:t>
      </w:r>
    </w:p>
    <w:p>
      <w:pPr>
        <w:spacing w:after="0" w:line="169"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20"/>
          <w:szCs w:val="20"/>
          <w:b w:val="1"/>
          <w:bCs w:val="1"/>
          <w:color w:val="auto"/>
        </w:rPr>
        <w:t>4.1.2 Termination by the Company without Cause</w:t>
      </w:r>
      <w:r>
        <w:rPr>
          <w:rFonts w:ascii="Times New Roman" w:cs="Times New Roman" w:eastAsia="Times New Roman" w:hAnsi="Times New Roman"/>
          <w:sz w:val="20"/>
          <w:szCs w:val="20"/>
          <w:color w:val="auto"/>
        </w:rPr>
        <w:t>. The Company may terminate CFO’s employment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without Cause at any time and for any reason, or for no reason. Such termination shall be effective on the date CFO is so informed, or as otherwise specified by the Company.</w:t>
      </w:r>
    </w:p>
    <w:p>
      <w:pPr>
        <w:spacing w:after="0" w:line="16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4.2 Termination by CFO</w:t>
      </w:r>
      <w:r>
        <w:rPr>
          <w:rFonts w:ascii="Times New Roman" w:cs="Times New Roman" w:eastAsia="Times New Roman" w:hAnsi="Times New Roman"/>
          <w:sz w:val="20"/>
          <w:szCs w:val="20"/>
          <w:color w:val="auto"/>
        </w:rPr>
        <w:t>. CFO may terminate his employment with the Company at any time and for any reason, or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reason, upon thirty (30) days written notice to the Company.</w:t>
      </w:r>
    </w:p>
    <w:p>
      <w:pPr>
        <w:spacing w:after="0" w:line="152"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4.3 Termination for Death or Disability</w:t>
      </w:r>
      <w:r>
        <w:rPr>
          <w:rFonts w:ascii="Times New Roman" w:cs="Times New Roman" w:eastAsia="Times New Roman" w:hAnsi="Times New Roman"/>
          <w:sz w:val="20"/>
          <w:szCs w:val="20"/>
          <w:color w:val="auto"/>
        </w:rPr>
        <w:t>. CFO’s employment with the Company shall automatically terminate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date of CFO’s death or Disability (as defined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87" w:name="page88"/>
    <w:bookmarkEnd w:id="87"/>
    <w:p>
      <w:pPr>
        <w:jc w:val="both"/>
        <w:ind w:right="20"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4.4 Termination by Mutual Agreement of the Parties</w:t>
      </w:r>
      <w:r>
        <w:rPr>
          <w:rFonts w:ascii="Times New Roman" w:cs="Times New Roman" w:eastAsia="Times New Roman" w:hAnsi="Times New Roman"/>
          <w:sz w:val="20"/>
          <w:szCs w:val="20"/>
          <w:color w:val="auto"/>
        </w:rPr>
        <w:t>. CFO’s employment with the Company may be terminated 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upon a mutual agreement in writing of the Parties. Any such termination of employment shall have the consequences specified in such agreement.</w:t>
      </w:r>
    </w:p>
    <w:p>
      <w:pPr>
        <w:spacing w:after="0" w:line="169"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20"/>
          <w:szCs w:val="20"/>
          <w:b w:val="1"/>
          <w:bCs w:val="1"/>
          <w:color w:val="auto"/>
        </w:rPr>
        <w:t>4.5</w:t>
      </w:r>
      <w:r>
        <w:rPr>
          <w:sz w:val="20"/>
          <w:szCs w:val="20"/>
          <w:color w:val="auto"/>
        </w:rPr>
        <w:tab/>
      </w:r>
      <w:r>
        <w:rPr>
          <w:rFonts w:ascii="Times New Roman" w:cs="Times New Roman" w:eastAsia="Times New Roman" w:hAnsi="Times New Roman"/>
          <w:sz w:val="19"/>
          <w:szCs w:val="19"/>
          <w:b w:val="1"/>
          <w:bCs w:val="1"/>
          <w:color w:val="auto"/>
        </w:rPr>
        <w:t>Compensation upon Termination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b w:val="1"/>
          <w:bCs w:val="1"/>
          <w:color w:val="auto"/>
        </w:rPr>
        <w:t>4.5.1 Death or Disability</w:t>
      </w:r>
      <w:r>
        <w:rPr>
          <w:rFonts w:ascii="Times New Roman" w:cs="Times New Roman" w:eastAsia="Times New Roman" w:hAnsi="Times New Roman"/>
          <w:sz w:val="20"/>
          <w:szCs w:val="20"/>
          <w:color w:val="auto"/>
        </w:rPr>
        <w:t>. If CFO’s employment is terminated by death or Disability, the Company shall pay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CFO, or to CFO’s heirs, CFO’s accrued and unpaid base salary and accrued and unused vacation benefits earned through the date of termination at the rate in effect at the time of termination, less standard deductions and withholdings. The Company shall thereafter have no further obligations to CFO and/or CFO’s heirs under this Agreement, except as otherwise provided by law.</w:t>
      </w:r>
    </w:p>
    <w:p>
      <w:pPr>
        <w:spacing w:after="0" w:line="176"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b w:val="1"/>
          <w:bCs w:val="1"/>
          <w:color w:val="auto"/>
        </w:rPr>
        <w:t>4.5.2 Termination for Cause</w:t>
      </w:r>
      <w:r>
        <w:rPr>
          <w:rFonts w:ascii="Times New Roman" w:cs="Times New Roman" w:eastAsia="Times New Roman" w:hAnsi="Times New Roman"/>
          <w:sz w:val="20"/>
          <w:szCs w:val="20"/>
          <w:color w:val="auto"/>
        </w:rPr>
        <w:t>. If the Company terminates CFO’s employment for Cause, then the Company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 CFO’s accrued and unpaid base salary and accrued and unused vacation benefits earned through the date of termination, at the rate in effect at the time of termination, less standard deductions and withholdings. The Company shall thereafter have no further obligations to CFO under this Agreement, except as otherwise provided by law.</w:t>
      </w:r>
    </w:p>
    <w:p>
      <w:pPr>
        <w:spacing w:after="0" w:line="176" w:lineRule="exact"/>
        <w:rPr>
          <w:sz w:val="20"/>
          <w:szCs w:val="20"/>
          <w:color w:val="auto"/>
        </w:rPr>
      </w:pPr>
    </w:p>
    <w:p>
      <w:pPr>
        <w:jc w:val="both"/>
        <w:ind w:firstLine="1944"/>
        <w:spacing w:after="0" w:line="241" w:lineRule="auto"/>
        <w:rPr>
          <w:sz w:val="20"/>
          <w:szCs w:val="20"/>
          <w:color w:val="auto"/>
        </w:rPr>
      </w:pPr>
      <w:r>
        <w:rPr>
          <w:rFonts w:ascii="Times New Roman" w:cs="Times New Roman" w:eastAsia="Times New Roman" w:hAnsi="Times New Roman"/>
          <w:sz w:val="20"/>
          <w:szCs w:val="20"/>
          <w:b w:val="1"/>
          <w:bCs w:val="1"/>
          <w:color w:val="auto"/>
        </w:rPr>
        <w:t>4.5.3 Termination by Company without Cause or by CFO for Good Reason Not In Connection with a Change in Control</w:t>
      </w:r>
      <w:r>
        <w:rPr>
          <w:rFonts w:ascii="Times New Roman" w:cs="Times New Roman" w:eastAsia="Times New Roman" w:hAnsi="Times New Roman"/>
          <w:sz w:val="20"/>
          <w:szCs w:val="20"/>
          <w:color w:val="auto"/>
        </w:rPr>
        <w:t>. If the Company terminates CFO’s employment without Cause or if CFO resigns his employment for Good Reason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defined below), in either case at any time other than upon the occurrence of, or within the 13 months immediately following, the effective date of a Change in Control, the Company shall pay CFO’s accrued and unpaid base salary and accrued and unused vacation benefits earned through the date of termination, at the rate in effect at the time of termination, less standard deductions and withholdings. In addition to the above, if CFO furnishes to the Company an executed waiver and release of claims in the form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(or in such other form as may be specified by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within the time period specified therein, but in no event later than 45 days following CFO’s termination, and if CFO allows such Release to become effective in accordance with its terms, then (i) CFO shall be entitled to severance in the form of continuation of his base salary, at the base salary rate equal to the greater of the rate in effect at the time of termination or the rate immediately prior to the event giving rise to Good Reason (the “</w:t>
      </w:r>
      <w:r>
        <w:rPr>
          <w:rFonts w:ascii="Times New Roman" w:cs="Times New Roman" w:eastAsia="Times New Roman" w:hAnsi="Times New Roman"/>
          <w:sz w:val="20"/>
          <w:szCs w:val="20"/>
          <w:b w:val="1"/>
          <w:bCs w:val="1"/>
          <w:i w:val="1"/>
          <w:iCs w:val="1"/>
          <w:color w:val="auto"/>
        </w:rPr>
        <w:t>Severance Payments</w:t>
      </w:r>
      <w:r>
        <w:rPr>
          <w:rFonts w:ascii="Times New Roman" w:cs="Times New Roman" w:eastAsia="Times New Roman" w:hAnsi="Times New Roman"/>
          <w:sz w:val="20"/>
          <w:szCs w:val="20"/>
          <w:color w:val="auto"/>
        </w:rPr>
        <w:t>”), for a period of nine (9) months following the termination date (the “</w:t>
      </w:r>
      <w:r>
        <w:rPr>
          <w:rFonts w:ascii="Times New Roman" w:cs="Times New Roman" w:eastAsia="Times New Roman" w:hAnsi="Times New Roman"/>
          <w:sz w:val="20"/>
          <w:szCs w:val="20"/>
          <w:b w:val="1"/>
          <w:bCs w:val="1"/>
          <w:i w:val="1"/>
          <w:iCs w:val="1"/>
          <w:color w:val="auto"/>
        </w:rPr>
        <w:t>Severance Period</w:t>
      </w:r>
      <w:r>
        <w:rPr>
          <w:rFonts w:ascii="Times New Roman" w:cs="Times New Roman" w:eastAsia="Times New Roman" w:hAnsi="Times New Roman"/>
          <w:sz w:val="20"/>
          <w:szCs w:val="20"/>
          <w:color w:val="auto"/>
        </w:rPr>
        <w:t>”), and (ii) if CFO timely elects COBRA coverage, the Company will pay directly to the insurance provider the premium for COBRA continuation coverage for CFO and CFO’s family during the Severance Period or until he obtains new employment, whichever comes first (the “</w:t>
      </w:r>
      <w:r>
        <w:rPr>
          <w:rFonts w:ascii="Times New Roman" w:cs="Times New Roman" w:eastAsia="Times New Roman" w:hAnsi="Times New Roman"/>
          <w:sz w:val="20"/>
          <w:szCs w:val="20"/>
          <w:b w:val="1"/>
          <w:bCs w:val="1"/>
          <w:i w:val="1"/>
          <w:iCs w:val="1"/>
          <w:color w:val="auto"/>
        </w:rPr>
        <w:t>COBRA Coverage</w:t>
      </w:r>
      <w:r>
        <w:rPr>
          <w:rFonts w:ascii="Times New Roman" w:cs="Times New Roman" w:eastAsia="Times New Roman" w:hAnsi="Times New Roman"/>
          <w:sz w:val="20"/>
          <w:szCs w:val="20"/>
          <w:color w:val="auto"/>
        </w:rPr>
        <w:t>”); provided that, if the Company determines that it cannot provide the COBRA Coverage without potentially violating applicable law or incurring additional expense under applicable law (including, without limitation, Section 2716 of the Public Health Service Act), the Company will provide CFO, in lieu thereof, taxable, continued installment payments equal to the COBRA premium, payable on the last day of a given month, for 9 months (measured from the termination date), which payments will be made regardless of whether CFO elects COBRA continuation coverage (the “</w:t>
      </w:r>
      <w:r>
        <w:rPr>
          <w:rFonts w:ascii="Times New Roman" w:cs="Times New Roman" w:eastAsia="Times New Roman" w:hAnsi="Times New Roman"/>
          <w:sz w:val="20"/>
          <w:szCs w:val="20"/>
          <w:b w:val="1"/>
          <w:bCs w:val="1"/>
          <w:i w:val="1"/>
          <w:iCs w:val="1"/>
          <w:color w:val="auto"/>
        </w:rPr>
        <w:t>COBRA Bonus</w:t>
      </w:r>
      <w:r>
        <w:rPr>
          <w:rFonts w:ascii="Times New Roman" w:cs="Times New Roman" w:eastAsia="Times New Roman" w:hAnsi="Times New Roman"/>
          <w:sz w:val="20"/>
          <w:szCs w:val="20"/>
          <w:color w:val="auto"/>
        </w:rPr>
        <w:t xml:space="preserve">”). Notwithstanding the foregoing, the number of months of COBRA Bonus to be paid, in any case, shall be reduced by the number of months of COBRA Coverage previously paid by the Company.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if the 45 day period to execute the Release spans two calendar years, no Severance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88" w:name="page89"/>
    <w:bookmarkEnd w:id="88"/>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will be made until the later calendar year. The Company shall thereafter have no further obligations to CFO under this Agreement, except as otherwise provided by law.</w:t>
      </w:r>
    </w:p>
    <w:p>
      <w:pPr>
        <w:spacing w:after="0" w:line="155" w:lineRule="exact"/>
        <w:rPr>
          <w:sz w:val="20"/>
          <w:szCs w:val="20"/>
          <w:color w:val="auto"/>
        </w:rPr>
      </w:pPr>
    </w:p>
    <w:p>
      <w:pPr>
        <w:jc w:val="both"/>
        <w:ind w:firstLine="1944"/>
        <w:spacing w:after="0" w:line="242" w:lineRule="auto"/>
        <w:rPr>
          <w:sz w:val="20"/>
          <w:szCs w:val="20"/>
          <w:color w:val="auto"/>
        </w:rPr>
      </w:pPr>
      <w:r>
        <w:rPr>
          <w:rFonts w:ascii="Times New Roman" w:cs="Times New Roman" w:eastAsia="Times New Roman" w:hAnsi="Times New Roman"/>
          <w:sz w:val="20"/>
          <w:szCs w:val="20"/>
          <w:b w:val="1"/>
          <w:bCs w:val="1"/>
          <w:color w:val="auto"/>
        </w:rPr>
        <w:t>4.5.4 Termination by Company without Cause or by CFO for Good Reason in Connection with a Change in Control</w:t>
      </w:r>
      <w:r>
        <w:rPr>
          <w:rFonts w:ascii="Times New Roman" w:cs="Times New Roman" w:eastAsia="Times New Roman" w:hAnsi="Times New Roman"/>
          <w:sz w:val="20"/>
          <w:szCs w:val="20"/>
          <w:color w:val="auto"/>
        </w:rPr>
        <w:t>. If the Company terminates CFO’s employment without Cause or if CFO resigns his employment for Good Reason, in either case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occurrence of, or within the 13 months immediately following, the effective date of a Change in Control, the Company shall pay CFO’s accrued and unpaid base salary and accrued and unused vacation benefits earned through the date of termination, at the rate in effect at the time of termination, less standard deductions and withholdings. In addition, if CFO furnishes to the Company an executed Release within the time period specified therein, but in no event later than 45 days following CFO’s termination, and if CFO allows such Release to become effective in accordance with its terms, then CFO shall be entitled to: (1) the Severance Payments and COBRA payments described in Section 4.5.3 above; provided, however, that the Severance Payments and COBRA payments shall be increased from 9 months to 12 months and (2) accelerated vesting of all of CFO’s unvested Company equity awards, such that CFO shall become vested in 100% of the shares subject to all such equity awards on the effective date of the Release; provided, however, that the vesting of any performance-based awards shall be as if all applicable performance criteria were achieved at target levels. The Company shall thereafter have no further obligations to CFO under this Agreement, except as otherwise provided by law.</w:t>
      </w:r>
    </w:p>
    <w:p>
      <w:pPr>
        <w:spacing w:after="0" w:line="187"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4.6</w:t>
      </w:r>
      <w:r>
        <w:rPr>
          <w:sz w:val="20"/>
          <w:szCs w:val="20"/>
          <w:color w:val="auto"/>
        </w:rPr>
        <w:tab/>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 For purposes of this Agreement, the following terms shall have the following meanings:</w:t>
      </w:r>
    </w:p>
    <w:p>
      <w:pPr>
        <w:spacing w:after="0" w:line="216"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9"/>
          <w:szCs w:val="19"/>
          <w:b w:val="1"/>
          <w:bCs w:val="1"/>
          <w:color w:val="auto"/>
        </w:rPr>
        <w:t xml:space="preserve">4.6.1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shall mean the occurrence of any one or more of the following: (i) CFO’s commission of any crime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involving fraud, dishonesty or moral turpitude; (ii) CFO’s attempted commission of or participation in a fraud or act of dishonesty against the Company that results in (or might have reasonably resulted in) material harm to the business of the Company; (iii) CFO’s intentional, material violation of any contract or agreement between CFO and the Company or any statutory duty CFO owes to the Company; or (iv) CFO’s conduct that constitutes gross insubordination, incompetence or habitual neglect of duties and that results in (or might have reasonably resulted in) material harm to the business of the Company;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action or conduct described in clauses (iii) and (iv) above will constitute “Cause” only if such action or conduct continues after the Company has provided CFO with written notice thereof and thirty (30) days to cure, or otherwise remedy to the extent possible under direct control of the CFO, the same. An occurrence of “Cause” as set forth in the preceding sentence shall be based upon a good faith determination by the Board. CFO’s Disability shall not constitute Cause as set forth herein. The determination that a termination is for Cause shall be by the Board in its sole and exclusive judgment and discretion.</w:t>
      </w:r>
    </w:p>
    <w:p>
      <w:pPr>
        <w:spacing w:after="0" w:line="171"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4.6.2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Amended and Restated 2006 Equity Incentive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90" w:lineRule="exact"/>
        <w:rPr>
          <w:sz w:val="20"/>
          <w:szCs w:val="20"/>
          <w:color w:val="auto"/>
        </w:rPr>
      </w:pPr>
    </w:p>
    <w:p>
      <w:pPr>
        <w:jc w:val="both"/>
        <w:ind w:firstLine="1944"/>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4.6.3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mean any of the following actions: (i) the assignment to CFO of any duties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responsibilities that results in a material diminution in CFO’s function as in effect immediately prior to the effective date of the Change in Control; provided, however, that it will be considered a material diminution in CFO’s function if, following a Change in Control, the CFO is not reporting directly to the Chief Executive Officer who is in turn reporting to the Company’s (or if applicable ultimate parent entity’s) corporate board of directors; (ii) a reduction by the Company in CFO’s annual base salary as in effect on the effective date of the Change in Control; provided, however, that Good Reason shall not be deemed to have occurred in the event of a reduction in CFO’s annual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41" w:lineRule="auto"/>
        <w:rPr>
          <w:sz w:val="20"/>
          <w:szCs w:val="20"/>
          <w:color w:val="auto"/>
        </w:rPr>
      </w:pPr>
      <w:r>
        <w:rPr>
          <w:rFonts w:ascii="Times New Roman" w:cs="Times New Roman" w:eastAsia="Times New Roman" w:hAnsi="Times New Roman"/>
          <w:sz w:val="20"/>
          <w:szCs w:val="20"/>
          <w:color w:val="auto"/>
        </w:rPr>
        <w:t>salary that is pursuant to a salary reduction program affecting substantially all of the employees of the Company and that does not adversely affect CFO to a greater extent than other similarly situated employees; or (iii) a relocation of CFO’s primary business office to a location more than 50 miles from the location of CFO’s primary business office as of the effective date of the Change in Control, except for required travel by CFO on the Company’s business to an extent substantially consistent with CFO’s business travel obligations prior to the effective date of the Change in Control. For the purposes of application of this definition of Good Reason to Section 4.5.3, the words “as in effect immediately prior to the effective date of the Change in Control” shall be read to mean as of, or immediately prior to, the date of the event giving rise to Good Reason. In all events, in order for a termination for Good Reason to occur, the CFO must provide the Company with written notice of the condition constituting Good Reason within 90 days of the initial occurrence of such condition, and allow the Company a 30-day cure period in which to cure such condition, and the CFO must resign employment within 10 days of the end of such 30-day cure period if the Company does not cure the condition in such cure period. For clarity, “corporate board of directors” as used in the definition of Good Reason means the Company’s (or if applicable ultimate parent entity’s) board of directors as such term is used in Section 141 of the Delaware General Corporation Law, or if the Company (or if applicable ultimate parent entity) is not a corporation organized under Delaware law, the most senior governing body of the Company (or if applicable ultimate parent entity) the majority of which is comprised of non-employee and independent members and has responsibility and authority for managing the business and affairs of the Company (or if applicable ultimate parent entity).</w:t>
      </w:r>
    </w:p>
    <w:p>
      <w:pPr>
        <w:spacing w:after="0" w:line="19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4.7</w:t>
      </w:r>
      <w:r>
        <w:rPr>
          <w:sz w:val="20"/>
          <w:szCs w:val="20"/>
          <w:color w:val="auto"/>
        </w:rPr>
        <w:tab/>
      </w:r>
      <w:r>
        <w:rPr>
          <w:rFonts w:ascii="Times New Roman" w:cs="Times New Roman" w:eastAsia="Times New Roman" w:hAnsi="Times New Roman"/>
          <w:sz w:val="19"/>
          <w:szCs w:val="19"/>
          <w:b w:val="1"/>
          <w:bCs w:val="1"/>
          <w:color w:val="auto"/>
        </w:rPr>
        <w:t>Survival of Certain Sections</w:t>
      </w:r>
      <w:r>
        <w:rPr>
          <w:rFonts w:ascii="Times New Roman" w:cs="Times New Roman" w:eastAsia="Times New Roman" w:hAnsi="Times New Roman"/>
          <w:sz w:val="19"/>
          <w:szCs w:val="19"/>
          <w:color w:val="auto"/>
        </w:rPr>
        <w:t>. Sections 3.4, 3.6 and 4 through 18 of this Agreement will survive the termination of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b w:val="1"/>
          <w:bCs w:val="1"/>
          <w:color w:val="auto"/>
        </w:rPr>
        <w:t>4.8 Parachute Payment</w:t>
      </w:r>
      <w:r>
        <w:rPr>
          <w:rFonts w:ascii="Times New Roman" w:cs="Times New Roman" w:eastAsia="Times New Roman" w:hAnsi="Times New Roman"/>
          <w:sz w:val="19"/>
          <w:szCs w:val="19"/>
          <w:color w:val="auto"/>
        </w:rPr>
        <w:t>. If any payment or benefit CFO would receive pursuant to this Agreement (“</w:t>
      </w:r>
      <w:r>
        <w:rPr>
          <w:rFonts w:ascii="Times New Roman" w:cs="Times New Roman" w:eastAsia="Times New Roman" w:hAnsi="Times New Roman"/>
          <w:sz w:val="19"/>
          <w:szCs w:val="19"/>
          <w:b w:val="1"/>
          <w:bCs w:val="1"/>
          <w:i w:val="1"/>
          <w:iCs w:val="1"/>
          <w:color w:val="auto"/>
        </w:rPr>
        <w:t>Payment</w:t>
      </w:r>
      <w:r>
        <w:rPr>
          <w:rFonts w:ascii="Times New Roman" w:cs="Times New Roman" w:eastAsia="Times New Roman" w:hAnsi="Times New Roman"/>
          <w:sz w:val="19"/>
          <w:szCs w:val="19"/>
          <w:color w:val="auto"/>
        </w:rPr>
        <w:t>”) would (i)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constitute a “</w:t>
      </w:r>
      <w:r>
        <w:rPr>
          <w:rFonts w:ascii="Times New Roman" w:cs="Times New Roman" w:eastAsia="Times New Roman" w:hAnsi="Times New Roman"/>
          <w:sz w:val="19"/>
          <w:szCs w:val="19"/>
          <w:b w:val="1"/>
          <w:bCs w:val="1"/>
          <w:i w:val="1"/>
          <w:iCs w:val="1"/>
          <w:color w:val="auto"/>
        </w:rPr>
        <w:t>Parachute Payment</w:t>
      </w:r>
      <w:r>
        <w:rPr>
          <w:rFonts w:ascii="Times New Roman" w:cs="Times New Roman" w:eastAsia="Times New Roman" w:hAnsi="Times New Roman"/>
          <w:sz w:val="19"/>
          <w:szCs w:val="19"/>
          <w:color w:val="auto"/>
        </w:rPr>
        <w:t>” within the meaning of Section 280G of the Internal Revenue Code of 1986, as amended (the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and</w:t>
      </w:r>
    </w:p>
    <w:p>
      <w:pPr>
        <w:spacing w:after="0" w:line="1" w:lineRule="exact"/>
        <w:rPr>
          <w:sz w:val="20"/>
          <w:szCs w:val="20"/>
          <w:color w:val="auto"/>
        </w:rPr>
      </w:pPr>
    </w:p>
    <w:p>
      <w:pPr>
        <w:jc w:val="both"/>
        <w:ind w:firstLine="8"/>
        <w:spacing w:after="0"/>
        <w:tabs>
          <w:tab w:leader="none" w:pos="30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but for this sentence,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then such Payment shall be equal to the Reduced Amount. The “</w:t>
      </w:r>
      <w:r>
        <w:rPr>
          <w:rFonts w:ascii="Times New Roman" w:cs="Times New Roman" w:eastAsia="Times New Roman" w:hAnsi="Times New Roman"/>
          <w:sz w:val="20"/>
          <w:szCs w:val="20"/>
          <w:b w:val="1"/>
          <w:bCs w:val="1"/>
          <w:i w:val="1"/>
          <w:iCs w:val="1"/>
          <w:color w:val="auto"/>
        </w:rPr>
        <w:t>Reduced Amount</w:t>
      </w:r>
      <w:r>
        <w:rPr>
          <w:rFonts w:ascii="Times New Roman" w:cs="Times New Roman" w:eastAsia="Times New Roman" w:hAnsi="Times New Roman"/>
          <w:sz w:val="20"/>
          <w:szCs w:val="20"/>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CFO’s receipt, on an after-tax basis, of the greatest economic benefit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CFO. If more than one method of reduction will result in the same economic benefit, the items so reduced will be reduced pro rata.</w:t>
      </w:r>
    </w:p>
    <w:p>
      <w:pPr>
        <w:spacing w:after="0" w:line="19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the event it is subsequently determined by the Internal Revenue Service that some portion of the Reduced Amount (as determined pursuant to clause (x) in the preceding paragraph) is subject to the Excise Tax, CFO agrees to promptly return to the Company a sufficient amount of the Payment so that no portion of the Reduced Amount is subject to the Excise Tax. For the avoidance of doubt, if the Reduced Amount is determined in accordance with clause (y) in the preceding paragraph, CFO will have no obligation to return any portion of the Payment pursuant to the preceding sentence.</w:t>
      </w:r>
    </w:p>
    <w:p>
      <w:pPr>
        <w:spacing w:after="0" w:line="18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Unless CFO and the Company agree on an alternative accounting or law firm, the accounting firm then engaged by the Company for general tax compliance purposes shall perform the foregoing calculations. If the accounting firm so engaged by the Company is serving as accountant or auditor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20"/>
          <w:szCs w:val="20"/>
          <w:color w:val="auto"/>
        </w:rPr>
        <w:t>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shall use commercially reasonable efforts such that the accounting, law or consulting firm engaged to make the determinations hereunder shall provide its calculations, together with detailed supporting documentation, to CFO and the Company within 15 calendar days after the date on which CFO’s right to a Payment is triggered (if requested at that time by CFO or the Company) or such other time as requested by CFO or the Company.</w:t>
      </w:r>
    </w:p>
    <w:p>
      <w:pPr>
        <w:spacing w:after="0" w:line="17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0"/>
          <w:szCs w:val="20"/>
          <w:b w:val="1"/>
          <w:bCs w:val="1"/>
          <w:color w:val="auto"/>
        </w:rPr>
        <w:t>4.9 Application of Internal Revenue Code Section 409A</w:t>
      </w:r>
      <w:r>
        <w:rPr>
          <w:rFonts w:ascii="Times New Roman" w:cs="Times New Roman" w:eastAsia="Times New Roman" w:hAnsi="Times New Roman"/>
          <w:sz w:val="20"/>
          <w:szCs w:val="20"/>
          <w:color w:val="auto"/>
        </w:rPr>
        <w:t>. Notwithstanding anything to the contrary set forth herein,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and benefits provided under this Agreement (the “</w:t>
      </w:r>
      <w:r>
        <w:rPr>
          <w:rFonts w:ascii="Times New Roman" w:cs="Times New Roman" w:eastAsia="Times New Roman" w:hAnsi="Times New Roman"/>
          <w:sz w:val="20"/>
          <w:szCs w:val="20"/>
          <w:b w:val="1"/>
          <w:bCs w:val="1"/>
          <w:i w:val="1"/>
          <w:iCs w:val="1"/>
          <w:color w:val="auto"/>
        </w:rPr>
        <w:t>Severance Benefits</w:t>
      </w:r>
      <w:r>
        <w:rPr>
          <w:rFonts w:ascii="Times New Roman" w:cs="Times New Roman" w:eastAsia="Times New Roman" w:hAnsi="Times New Roman"/>
          <w:sz w:val="20"/>
          <w:szCs w:val="20"/>
          <w:color w:val="auto"/>
        </w:rPr>
        <w:t>”) that constitute “deferred compensation” within the meaning of Section 409A of the Code and the regulations and other guidance thereunder and any state law of similar effect (collectively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shall not commence in connection with CFO’s termination of employment unless and until CFO has also incurred a “separation from service” (as such term is defined in Treasury Regulation Section 1.409A-1(h))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unless the Company reasonably determines that such amounts may be provided to CFO without causing CFO to incur the additional 20% tax under Section 409A.</w:t>
      </w:r>
    </w:p>
    <w:p>
      <w:pPr>
        <w:spacing w:after="0" w:line="18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 1.409A-1(b)(5) and 1.409A-1(b)(9). However, if the Company (or, if applicable, the successor entity thereto) determines that the Severance Benefits constitute “deferred compensation” under Section 409A and CFO is, on the termination of service, a “specified employee” of the Company or any successor entity thereto, as such term is defined in Section 409A(a)(2) (B)(i) of the Code, then, solely to the extent necessary to avoid the incurrence of the adverse personal tax consequences under Section 409A, the timing of the Severance Benefit payments shall be delayed until the earlier to occur of: (i) the date that is six months and one day after CFO’s Separation From Service, or (ii) the date of CFO’s death (such applicable date, the “</w:t>
      </w:r>
      <w:r>
        <w:rPr>
          <w:rFonts w:ascii="Times New Roman" w:cs="Times New Roman" w:eastAsia="Times New Roman" w:hAnsi="Times New Roman"/>
          <w:sz w:val="20"/>
          <w:szCs w:val="20"/>
          <w:b w:val="1"/>
          <w:bCs w:val="1"/>
          <w:i w:val="1"/>
          <w:iCs w:val="1"/>
          <w:color w:val="auto"/>
        </w:rPr>
        <w:t>Specified Employee Initial Payment Date</w:t>
      </w:r>
      <w:r>
        <w:rPr>
          <w:rFonts w:ascii="Times New Roman" w:cs="Times New Roman" w:eastAsia="Times New Roman" w:hAnsi="Times New Roman"/>
          <w:sz w:val="20"/>
          <w:szCs w:val="20"/>
          <w:color w:val="auto"/>
        </w:rPr>
        <w:t>”), the Company (or the successor entity thereto, as applicable) shall (A) pay to CFO a lump sum amount equal to the sum of the Severance Benefit payments that CFO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9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Notwithstanding anything to the contrary set forth herein, CFO shall receive the Severance Benefits described above, if and only if CFO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CFO the Severance Benefits that CFO would otherwise have received under the Agreement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91" w:name="page92"/>
    <w:bookmarkEnd w:id="91"/>
    <w:p>
      <w:pPr>
        <w:spacing w:after="0" w:line="269" w:lineRule="auto"/>
        <w:rPr>
          <w:sz w:val="20"/>
          <w:szCs w:val="20"/>
          <w:color w:val="auto"/>
        </w:rPr>
      </w:pPr>
      <w:r>
        <w:rPr>
          <w:rFonts w:ascii="Times New Roman" w:cs="Times New Roman" w:eastAsia="Times New Roman" w:hAnsi="Times New Roman"/>
          <w:sz w:val="20"/>
          <w:szCs w:val="20"/>
          <w:color w:val="auto"/>
        </w:rPr>
        <w:t>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55" w:lineRule="exact"/>
        <w:rPr>
          <w:sz w:val="20"/>
          <w:szCs w:val="20"/>
          <w:color w:val="auto"/>
        </w:rPr>
      </w:pPr>
    </w:p>
    <w:p>
      <w:pPr>
        <w:jc w:val="both"/>
        <w:ind w:firstLine="656"/>
        <w:spacing w:after="0" w:line="256" w:lineRule="auto"/>
        <w:tabs>
          <w:tab w:leader="none" w:pos="1002"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CONFIDENTIAL AND PROPRIETARY INFORMATION. </w:t>
      </w:r>
      <w:r>
        <w:rPr>
          <w:rFonts w:ascii="Times New Roman" w:cs="Times New Roman" w:eastAsia="Times New Roman" w:hAnsi="Times New Roman"/>
          <w:sz w:val="20"/>
          <w:szCs w:val="20"/>
          <w:color w:val="auto"/>
        </w:rPr>
        <w:t>CFO has already executed, as a condition of CFO’s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Company, the Company’s standard form of Proprietary Information and Inventions Agreement (the “</w:t>
      </w:r>
      <w:r>
        <w:rPr>
          <w:rFonts w:ascii="Times New Roman" w:cs="Times New Roman" w:eastAsia="Times New Roman" w:hAnsi="Times New Roman"/>
          <w:sz w:val="20"/>
          <w:szCs w:val="20"/>
          <w:b w:val="1"/>
          <w:bCs w:val="1"/>
          <w:i w:val="1"/>
          <w:iCs w:val="1"/>
          <w:color w:val="auto"/>
        </w:rPr>
        <w:t>PIIA</w:t>
      </w:r>
      <w:r>
        <w:rPr>
          <w:rFonts w:ascii="Times New Roman" w:cs="Times New Roman" w:eastAsia="Times New Roman" w:hAnsi="Times New Roman"/>
          <w:sz w:val="20"/>
          <w:szCs w:val="20"/>
          <w:color w:val="auto"/>
        </w:rPr>
        <w:t>”). The PIIA remains in full force and effect.</w:t>
      </w:r>
    </w:p>
    <w:p>
      <w:pPr>
        <w:spacing w:after="0" w:line="168"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AND BINDING EFFECT.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Agreement shall be binding upon and inure to the benefit of CFO and CFO’s heirs, executors, personal representatives, assigns, administrators and legal representatives. Because of the unique and personal nature of CFO’s duties under this Agreement, neither this Agreement nor any rights or obligations under this Agreement shall be assignable by CFO.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82"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NOTICES.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All notices or demands of any kind required or permitted to be given by the Company or CFO under this Agreement shall be given in writing and shall be personally delivered (and receipted for) or faxed during normal business hours or mailed by certified mail, return receipt requested, postage prepaid, addressed as follows: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If to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10421 Pacific Center Court, Suite 200</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San Diego, CA 92121</w:t>
      </w:r>
    </w:p>
    <w:p>
      <w:pPr>
        <w:ind w:left="660"/>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If to CFO: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Dennis Mulroy</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4370 Mensha Place</w:t>
      </w:r>
    </w:p>
    <w:p>
      <w:pPr>
        <w:ind w:left="660"/>
        <w:spacing w:after="0"/>
        <w:rPr>
          <w:sz w:val="20"/>
          <w:szCs w:val="20"/>
          <w:color w:val="auto"/>
        </w:rPr>
      </w:pPr>
      <w:r>
        <w:rPr>
          <w:rFonts w:ascii="Times New Roman" w:cs="Times New Roman" w:eastAsia="Times New Roman" w:hAnsi="Times New Roman"/>
          <w:sz w:val="20"/>
          <w:szCs w:val="20"/>
          <w:color w:val="auto"/>
        </w:rPr>
        <w:t>San Diego, CA 92130</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170"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CHOICE OF LAW.</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Agreement shall be construed and interpreted in accordance with the internal laws of the State of California without regard to its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92" w:name="page93"/>
    <w:bookmarkEnd w:id="92"/>
    <w:p>
      <w:pPr>
        <w:ind w:left="130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INTEGRATION.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This Agreement, including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and the PIIA, contains the complete, final and exclusive agreement of the Parties relating to the terms and conditions of CFO’s employment and the termination of CFO’s employment, and supersedes any and all prior and/or contemporaneous oral and written employment agreements or arrangements between the Parties.</w:t>
      </w:r>
    </w:p>
    <w:p>
      <w:pPr>
        <w:spacing w:after="0" w:line="16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AMENDMENT.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Agreement cannot be amended or modified except by a written agreement signed by CFO and the Company.</w:t>
      </w:r>
    </w:p>
    <w:p>
      <w:pPr>
        <w:spacing w:after="0" w:line="21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WAIVER.</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70"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SEVERABILITY.</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176"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INTERPRETATION; CONSTRUCTION.</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headings set forth in this Agreement are for convenience of reference only and shall not be used in interpreting this Agreement. This Agreement has been drafted by legal counsel representing the Company, but CFO has been encouraged to consult with, and has consulted with, CFO’s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62"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REPRESENTATIONS AND WARRANTIES.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CFO represents and warrants that CFO is not restricted or prohibited, contractually or otherwise, from entering into and performing each of the terms and covenants contained in this Agreement, and that CFO’s execution and performance of this Agreement will not violate or breach any other agreements between CFO and any other person or entity.</w:t>
      </w:r>
    </w:p>
    <w:p>
      <w:pPr>
        <w:spacing w:after="0" w:line="179"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20"/>
          <w:szCs w:val="20"/>
          <w:b w:val="1"/>
          <w:bCs w:val="1"/>
          <w:color w:val="auto"/>
        </w:rPr>
        <w:t>.</w:t>
      </w:r>
    </w:p>
    <w:p>
      <w:pPr>
        <w:spacing w:after="0" w:line="2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Agreement may be executed in two counterparts, each of which shall be deemed an original, all of which together shall contribute one and the same instrument.</w:t>
      </w:r>
    </w:p>
    <w:p>
      <w:pPr>
        <w:spacing w:after="0" w:line="155"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9" w:right="339" w:bottom="1440" w:gutter="0" w:footer="0" w:header="0"/>
        </w:sectPr>
      </w:pPr>
    </w:p>
    <w:bookmarkStart w:id="93" w:name="page94"/>
    <w:bookmarkEnd w:id="93"/>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To ensure the rapid and economical resolution of disputes that may arise in connection with CFO’s employment with the Company, CFO and the Company agree that any and all disputes, claims, or causes of action, in law or equity, arising from or relating to CFO’s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Times New Roman" w:cs="Times New Roman" w:eastAsia="Times New Roman" w:hAnsi="Times New Roman"/>
          <w:sz w:val="20"/>
          <w:szCs w:val="20"/>
          <w:b w:val="1"/>
          <w:bCs w:val="1"/>
          <w:i w:val="1"/>
          <w:iCs w:val="1"/>
          <w:color w:val="auto"/>
        </w:rPr>
        <w:t>JAMS</w:t>
      </w:r>
      <w:r>
        <w:rPr>
          <w:rFonts w:ascii="Times New Roman" w:cs="Times New Roman" w:eastAsia="Times New Roman" w:hAnsi="Times New Roman"/>
          <w:sz w:val="20"/>
          <w:szCs w:val="20"/>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CFO and the Company hereby waive any right to a jury trial. Both CFO and the Company shall be entitled to all rights and remedies that either CFO or the Company would be entitled to pursue in a court of law. The Company shall pay any JAMS filing fee and shall pay the arbitrator’s fee. Nothing in this Agreement is intended to prevent either CFO or the Company from obtaining injunctive relief in court to prevent irreparable harm pending the conclusion of any such arbitration. Notwithstanding the foregoing, CFO and the Company each have the right to resolve any issue or dispute involving confidential, proprietary or trade secret information, or intellectual property rights, by Court action instead of arbitration.</w:t>
      </w:r>
    </w:p>
    <w:p>
      <w:pPr>
        <w:spacing w:after="0" w:line="193"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17.</w:t>
      </w:r>
      <w:r>
        <w:rPr>
          <w:sz w:val="20"/>
          <w:szCs w:val="20"/>
          <w:color w:val="auto"/>
        </w:rPr>
        <w:tab/>
      </w:r>
      <w:r>
        <w:rPr>
          <w:rFonts w:ascii="Times New Roman" w:cs="Times New Roman" w:eastAsia="Times New Roman" w:hAnsi="Times New Roman"/>
          <w:sz w:val="19"/>
          <w:szCs w:val="19"/>
          <w:b w:val="1"/>
          <w:bCs w:val="1"/>
          <w:color w:val="auto"/>
        </w:rPr>
        <w:t>TRADE SECRETS OF OTHERS.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It is the understanding of both the Company and CFO that CFO shall not divulge to the Company and/or its subsidiaries any confidential information or trade secrets belonging to others, including CFO’s former employers, nor shall the Company and/or its Affiliates seek to elicit from CFO any such information. Consistent with the foregoing, CFO shall not provide to the Company and/or its Affiliates, and the Company and/or its Affiliates shall not request, any documents or copies of documents containing such information.</w:t>
      </w:r>
    </w:p>
    <w:p>
      <w:pPr>
        <w:spacing w:after="0" w:line="176"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19"/>
          <w:szCs w:val="19"/>
          <w:b w:val="1"/>
          <w:bCs w:val="1"/>
          <w:color w:val="auto"/>
        </w:rPr>
        <w:t>ADVERTISING WAIVER.</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CFO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CFO’s name and/or pictures of CFO taken in the course of CFO’s provision of services to the Company appear. CFO hereby waives and releases any claim or right CFO may otherwise have arising out of such use, publication or distribution.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the Agreement as of the date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00" w:lineRule="exact"/>
        <w:rPr>
          <w:sz w:val="20"/>
          <w:szCs w:val="20"/>
          <w:color w:val="auto"/>
        </w:rPr>
      </w:pPr>
    </w:p>
    <w:p>
      <w:pPr>
        <w:spacing w:after="0" w:line="22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Hamza Suria</w:t>
      </w:r>
    </w:p>
    <w:p>
      <w:pPr>
        <w:spacing w:after="0" w:line="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Name:</w:t>
        <w:tab/>
        <w:t>Hamza Suria</w:t>
      </w: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 &amp; CEO</w:t>
      </w:r>
    </w:p>
    <w:p>
      <w:pPr>
        <w:spacing w:after="0" w:line="3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19"/>
          <w:szCs w:val="19"/>
          <w:color w:val="auto"/>
        </w:rPr>
        <w:t>July 15, 2020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CFO:</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Dennis Mulroy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DENNIS MULROY</w:t>
      </w:r>
    </w:p>
    <w:p>
      <w:pPr>
        <w:spacing w:after="0" w:line="3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19"/>
          <w:szCs w:val="19"/>
          <w:color w:val="auto"/>
        </w:rPr>
        <w:t>July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20"/>
          <w:szCs w:val="20"/>
          <w:b w:val="1"/>
          <w:bCs w:val="1"/>
          <w:color w:val="auto"/>
        </w:rPr>
        <w:t>[SIGNATURE PAGE TO EMPLOYMENT AGREEMENT]</w:t>
      </w:r>
    </w:p>
    <w:p>
      <w:pPr>
        <w:sectPr>
          <w:pgSz w:w="11900" w:h="16838" w:orient="portrait"/>
          <w:cols w:equalWidth="0" w:num="1">
            <w:col w:w="10139"/>
          </w:cols>
          <w:pgMar w:left="320" w:top="1409"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RELEASE AND WAIVER OF CLAIMS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SIGNED ON OR FOLLOWING THE SEPARATION DATE ONLY</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consideration of the payments and other benefits set forth in the Employment Agreement effective July 15, 2020, to which this form is attached, I, Dennis Mulroy, hereby furnish AnaptysBio,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with the following release and waiver (“</w:t>
      </w:r>
      <w:r>
        <w:rPr>
          <w:rFonts w:ascii="Times New Roman" w:cs="Times New Roman" w:eastAsia="Times New Roman" w:hAnsi="Times New Roman"/>
          <w:sz w:val="20"/>
          <w:szCs w:val="20"/>
          <w:b w:val="1"/>
          <w:bCs w:val="1"/>
          <w:i w:val="1"/>
          <w:iCs w:val="1"/>
          <w:color w:val="auto"/>
        </w:rPr>
        <w:t>Release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Waiver</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In exchange for the consideration provided to me by the Employment Agreement that I am not otherwise entitled to receive, I hereby generally and completely release the Company and its current and former directors, officers, employees, stockholders, partners, agents, attorneys, predecessors, successors, parent and subsidiary entities, insurers, affiliates, and assigns (collectively, the “</w:t>
      </w:r>
      <w:r>
        <w:rPr>
          <w:rFonts w:ascii="Times New Roman" w:cs="Times New Roman" w:eastAsia="Times New Roman" w:hAnsi="Times New Roman"/>
          <w:sz w:val="19"/>
          <w:szCs w:val="19"/>
          <w:b w:val="1"/>
          <w:bCs w:val="1"/>
          <w:i w:val="1"/>
          <w:iCs w:val="1"/>
          <w:color w:val="auto"/>
        </w:rPr>
        <w:t>Released Parties</w:t>
      </w:r>
      <w:r>
        <w:rPr>
          <w:rFonts w:ascii="Times New Roman" w:cs="Times New Roman" w:eastAsia="Times New Roman" w:hAnsi="Times New Roman"/>
          <w:sz w:val="19"/>
          <w:szCs w:val="19"/>
          <w:color w:val="auto"/>
        </w:rPr>
        <w:t>”) from any and all claims, liabilities and obligations, both known and unknown, that arise out of or are in any way related to events, acts, conduct, or omissions occurring prior to or on the date that I sign this Agreement (collectively, the “</w:t>
      </w:r>
      <w:r>
        <w:rPr>
          <w:rFonts w:ascii="Times New Roman" w:cs="Times New Roman" w:eastAsia="Times New Roman" w:hAnsi="Times New Roman"/>
          <w:sz w:val="19"/>
          <w:szCs w:val="19"/>
          <w:b w:val="1"/>
          <w:bCs w:val="1"/>
          <w:i w:val="1"/>
          <w:iCs w:val="1"/>
          <w:color w:val="auto"/>
        </w:rPr>
        <w:t>Released Claims</w:t>
      </w:r>
      <w:r>
        <w:rPr>
          <w:rFonts w:ascii="Times New Roman" w:cs="Times New Roman" w:eastAsia="Times New Roman" w:hAnsi="Times New Roman"/>
          <w:sz w:val="19"/>
          <w:szCs w:val="19"/>
          <w:color w:val="auto"/>
        </w:rPr>
        <w:t>”).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w:t>
      </w:r>
      <w:r>
        <w:rPr>
          <w:rFonts w:ascii="Times New Roman" w:cs="Times New Roman" w:eastAsia="Times New Roman" w:hAnsi="Times New Roman"/>
          <w:sz w:val="19"/>
          <w:szCs w:val="19"/>
          <w:b w:val="1"/>
          <w:bCs w:val="1"/>
          <w:i w:val="1"/>
          <w:iCs w:val="1"/>
          <w:color w:val="auto"/>
        </w:rPr>
        <w:t>ADEA</w:t>
      </w:r>
      <w:r>
        <w:rPr>
          <w:rFonts w:ascii="Times New Roman" w:cs="Times New Roman" w:eastAsia="Times New Roman" w:hAnsi="Times New Roman"/>
          <w:sz w:val="19"/>
          <w:szCs w:val="19"/>
          <w:color w:val="auto"/>
        </w:rPr>
        <w:t>”), the California Labor Code, and the California Fair Employment and Housing Act (as amended). Notwithstanding the foregoing, the following are not included in the Released Claims (the “</w:t>
      </w:r>
      <w:r>
        <w:rPr>
          <w:rFonts w:ascii="Times New Roman" w:cs="Times New Roman" w:eastAsia="Times New Roman" w:hAnsi="Times New Roman"/>
          <w:sz w:val="19"/>
          <w:szCs w:val="19"/>
          <w:b w:val="1"/>
          <w:bCs w:val="1"/>
          <w:i w:val="1"/>
          <w:iCs w:val="1"/>
          <w:color w:val="auto"/>
        </w:rPr>
        <w:t>Excluded Claims</w:t>
      </w:r>
      <w:r>
        <w:rPr>
          <w:rFonts w:ascii="Times New Roman" w:cs="Times New Roman" w:eastAsia="Times New Roman" w:hAnsi="Times New Roman"/>
          <w:sz w:val="19"/>
          <w:szCs w:val="19"/>
          <w:color w:val="auto"/>
        </w:rPr>
        <w:t>”): (a) any rights or claims for indemnification I may have pursuant to the charter or bylaws of the Company or under applicable law; (b) 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 also acknowledge that I have read and understand Section 1542 of the California Civil Code which reads as follows: “</w:t>
      </w:r>
      <w:r>
        <w:rPr>
          <w:rFonts w:ascii="Times New Roman" w:cs="Times New Roman" w:eastAsia="Times New Roman" w:hAnsi="Times New Roman"/>
          <w:sz w:val="20"/>
          <w:szCs w:val="20"/>
          <w:b w:val="1"/>
          <w:bCs w:val="1"/>
          <w:color w:val="auto"/>
        </w:rPr>
        <w:t>A 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release does not extend to claims which the creditor does not know or suspect to exist in his or her favor at the time of executing the release, which if known by him or her must have materially affected his or her settlement with the debtor</w:t>
      </w:r>
      <w:r>
        <w:rPr>
          <w:rFonts w:ascii="Times New Roman" w:cs="Times New Roman" w:eastAsia="Times New Roman" w:hAnsi="Times New Roman"/>
          <w:sz w:val="20"/>
          <w:szCs w:val="20"/>
          <w:color w:val="auto"/>
        </w:rPr>
        <w:t>.” I hereby expressly waive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relinquish all rights and benefits under that Section and any law of any jurisdiction, including New York, of similar effect with respect to any claims I may have against the Company.</w:t>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w:t>
      </w:r>
    </w:p>
    <w:p>
      <w:pPr>
        <w:sectPr>
          <w:pgSz w:w="11900" w:h="16838" w:orient="portrait"/>
          <w:cols w:equalWidth="0" w:num="1">
            <w:col w:w="11240"/>
          </w:cols>
          <w:pgMar w:left="320" w:top="1409" w:right="339" w:bottom="1440" w:gutter="0" w:footer="0" w:header="0"/>
        </w:sectPr>
      </w:pPr>
    </w:p>
    <w:bookmarkStart w:id="96" w:name="page97"/>
    <w:bookmarkEnd w:id="96"/>
    <w:p>
      <w:pPr>
        <w:jc w:val="both"/>
        <w:spacing w:after="0" w:line="246" w:lineRule="auto"/>
        <w:rPr>
          <w:sz w:val="20"/>
          <w:szCs w:val="20"/>
          <w:color w:val="auto"/>
        </w:rPr>
      </w:pPr>
      <w:r>
        <w:rPr>
          <w:rFonts w:ascii="Times New Roman" w:cs="Times New Roman" w:eastAsia="Times New Roman" w:hAnsi="Times New Roman"/>
          <w:sz w:val="20"/>
          <w:szCs w:val="20"/>
          <w:color w:val="auto"/>
        </w:rPr>
        <w:t>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257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-10795</wp:posOffset>
            </wp:positionV>
            <wp:extent cx="1257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DENNIS MULROY</w:t>
      </w:r>
    </w:p>
    <w:p>
      <w:pPr>
        <w:sectPr>
          <w:pgSz w:w="11900" w:h="16838" w:orient="portrait"/>
          <w:cols w:equalWidth="0" w:num="1">
            <w:col w:w="11240"/>
          </w:cols>
          <w:pgMar w:left="320" w:top="141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effective from July 31, 2020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xml:space="preserve">”) by and among </w:t>
      </w:r>
      <w:r>
        <w:rPr>
          <w:rFonts w:ascii="Times New Roman" w:cs="Times New Roman" w:eastAsia="Times New Roman" w:hAnsi="Times New Roman"/>
          <w:sz w:val="20"/>
          <w:szCs w:val="20"/>
          <w:b w:val="1"/>
          <w:bCs w:val="1"/>
          <w:color w:val="auto"/>
        </w:rPr>
        <w:t>ANAPTYSBIO, INC</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Paul Lizzul, MD (“</w:t>
      </w:r>
      <w:r>
        <w:rPr>
          <w:rFonts w:ascii="Times New Roman" w:cs="Times New Roman" w:eastAsia="Times New Roman" w:hAnsi="Times New Roman"/>
          <w:sz w:val="20"/>
          <w:szCs w:val="20"/>
          <w:b w:val="1"/>
          <w:bCs w:val="1"/>
          <w:i w:val="1"/>
          <w:iCs w:val="1"/>
          <w:color w:val="auto"/>
        </w:rPr>
        <w:t>CMO</w:t>
      </w:r>
      <w:r>
        <w:rPr>
          <w:rFonts w:ascii="Times New Roman" w:cs="Times New Roman" w:eastAsia="Times New Roman" w:hAnsi="Times New Roman"/>
          <w:sz w:val="20"/>
          <w:szCs w:val="20"/>
          <w:color w:val="auto"/>
        </w:rPr>
        <w:t>”). The Company and CMO are hereinafter collectively referred to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and individually referred to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w:t>
      </w:r>
    </w:p>
    <w:p>
      <w:pPr>
        <w:spacing w:after="0" w:line="20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desires to employ CMO, and CMO is willing to accept such employment by Company, on the terms and subject to the conditions set forth in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consideration of the foregoing Recitals and the mutual promises and covenants herein contained, and for other good and valuable consideration, the Parties, intending to be legally bound, agree as follows:</w:t>
      </w:r>
    </w:p>
    <w:p>
      <w:pPr>
        <w:spacing w:after="0" w:line="155"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EMPLOYMENT.</w:t>
      </w:r>
    </w:p>
    <w:p>
      <w:pPr>
        <w:spacing w:after="0" w:line="216"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1.1 Title</w:t>
      </w:r>
      <w:r>
        <w:rPr>
          <w:rFonts w:ascii="Times New Roman" w:cs="Times New Roman" w:eastAsia="Times New Roman" w:hAnsi="Times New Roman"/>
          <w:sz w:val="20"/>
          <w:szCs w:val="20"/>
          <w:color w:val="auto"/>
        </w:rPr>
        <w:t>. Effective as of the Effective Date, CMO’s position shall be Chief Medical Officer of the Company,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set forth in this Agreement.</w:t>
      </w:r>
    </w:p>
    <w:p>
      <w:pPr>
        <w:spacing w:after="0" w:line="152"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1.2 Term</w:t>
      </w:r>
      <w:r>
        <w:rPr>
          <w:rFonts w:ascii="Times New Roman" w:cs="Times New Roman" w:eastAsia="Times New Roman" w:hAnsi="Times New Roman"/>
          <w:sz w:val="20"/>
          <w:szCs w:val="20"/>
          <w:color w:val="auto"/>
        </w:rPr>
        <w:t>. The term of this Agreement shall begin on the Effective Date and shall continue until it is terminated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 herein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1.3 Duties</w:t>
      </w:r>
      <w:r>
        <w:rPr>
          <w:rFonts w:ascii="Times New Roman" w:cs="Times New Roman" w:eastAsia="Times New Roman" w:hAnsi="Times New Roman"/>
          <w:sz w:val="20"/>
          <w:szCs w:val="20"/>
          <w:color w:val="auto"/>
        </w:rPr>
        <w:t>. CMO shall do and perform all services, acts or things necessary or advisable to manage and conduct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of the Company and that are normally associated with the position of Chief Medical Officer of the Company. CMO shall report to the Chief Executive Officer.</w:t>
      </w:r>
    </w:p>
    <w:p>
      <w:pPr>
        <w:spacing w:after="0" w:line="16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1.4 Policies and Practices</w:t>
      </w:r>
      <w:r>
        <w:rPr>
          <w:rFonts w:ascii="Times New Roman" w:cs="Times New Roman" w:eastAsia="Times New Roman" w:hAnsi="Times New Roman"/>
          <w:sz w:val="20"/>
          <w:szCs w:val="20"/>
          <w:color w:val="auto"/>
        </w:rPr>
        <w:t>. The employment relationship between the Parties shall be governed by this Agreement and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policies and practices established by the Company and/or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or any designated committee thereof. In the event that the terms of this Agreement differ from or are in conflict with the Company’s policies or practices or the Company’s Employee Handbook, this Agreement shall control.</w:t>
      </w:r>
    </w:p>
    <w:p>
      <w:pPr>
        <w:spacing w:after="0" w:line="17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b w:val="1"/>
          <w:bCs w:val="1"/>
          <w:color w:val="auto"/>
        </w:rPr>
        <w:t>1.5 Location</w:t>
      </w:r>
      <w:r>
        <w:rPr>
          <w:rFonts w:ascii="Times New Roman" w:cs="Times New Roman" w:eastAsia="Times New Roman" w:hAnsi="Times New Roman"/>
          <w:sz w:val="20"/>
          <w:szCs w:val="20"/>
          <w:color w:val="auto"/>
        </w:rPr>
        <w:t>. Unless the Parties otherwise agree in writing or as permitted from time to time by the Chief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Officer, and except as provided in this Section 1.5, during the Term CMO shall perform the services CMO is required to perform pursuant to this Agreement at least two (2) days per calendar week from the Company’s offices in San Diego, California;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Company may from time to time require CMO to travel temporarily to other locations in connection with the Company’s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upon the Effective Date, and until applicable government COVID-19 quarantine restrictions applicable to the San Diego office are lifted and the San Diego office reopens, the Company will allow CMO to perform the services remotely from CMO’s home.</w:t>
      </w:r>
    </w:p>
    <w:p>
      <w:pPr>
        <w:spacing w:after="0" w:line="179"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LOYALTY; NONCOMPETITION; NONSOLICITATION.</w:t>
      </w:r>
    </w:p>
    <w:p>
      <w:pPr>
        <w:sectPr>
          <w:pgSz w:w="11900" w:h="16838" w:orient="portrait"/>
          <w:cols w:equalWidth="0" w:num="1">
            <w:col w:w="11240"/>
          </w:cols>
          <w:pgMar w:left="320" w:top="1409" w:right="339" w:bottom="1440" w:gutter="0" w:footer="0" w:header="0"/>
        </w:sectPr>
      </w:pPr>
    </w:p>
    <w:bookmarkStart w:id="98" w:name="page99"/>
    <w:bookmarkEnd w:id="98"/>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2.1 Loyalty</w:t>
      </w:r>
      <w:r>
        <w:rPr>
          <w:rFonts w:ascii="Times New Roman" w:cs="Times New Roman" w:eastAsia="Times New Roman" w:hAnsi="Times New Roman"/>
          <w:sz w:val="20"/>
          <w:szCs w:val="20"/>
          <w:color w:val="auto"/>
        </w:rPr>
        <w:t>. During CMO’s employment with the Company, CMO shall devote CMO’s full business energies,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abilities and productive time to the proper and efficient performance of CMO’s duties under this Agreement.</w:t>
      </w:r>
    </w:p>
    <w:p>
      <w:pPr>
        <w:spacing w:after="0" w:line="152"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b w:val="1"/>
          <w:bCs w:val="1"/>
          <w:color w:val="auto"/>
        </w:rPr>
        <w:t>2.2 Agreement not to Participate in Company’s Competitors</w:t>
      </w:r>
      <w:r>
        <w:rPr>
          <w:rFonts w:ascii="Times New Roman" w:cs="Times New Roman" w:eastAsia="Times New Roman" w:hAnsi="Times New Roman"/>
          <w:sz w:val="20"/>
          <w:szCs w:val="20"/>
          <w:color w:val="auto"/>
        </w:rPr>
        <w:t>. During CMO’s employment with the Company, CMO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not to acquire, assume or participate in, directly or indirectly, any position, investment or interest known by CMO to be adverse or antagonistic to the Company, its business, or prospects, financial or otherwise, or in any company, person, or entity that is, directly or indirectly, in competition with the business of the Company or any of its Affiliates (as defined below). Ownership by CMO, in professionally managed funds over which CMO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“Affiliate,” means, with respect to any specific entity, any other entity that, directly or indirectly, through one or more intermediaries, controls, is controlled by or is under common control with such specified entity.</w:t>
      </w:r>
    </w:p>
    <w:p>
      <w:pPr>
        <w:spacing w:after="0" w:line="18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b w:val="1"/>
          <w:bCs w:val="1"/>
          <w:color w:val="auto"/>
        </w:rPr>
        <w:t>2.3 Covenant not to Compete</w:t>
      </w:r>
      <w:r>
        <w:rPr>
          <w:rFonts w:ascii="Times New Roman" w:cs="Times New Roman" w:eastAsia="Times New Roman" w:hAnsi="Times New Roman"/>
          <w:sz w:val="20"/>
          <w:szCs w:val="20"/>
          <w:color w:val="auto"/>
        </w:rPr>
        <w:t>. During CMO’s employment with the Company, CMO shall not engage in competition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and/or any of its Affiliates in any manner or capacity, as adviser, principal, agent, Affiliate, promoter, partner, officer, director, employee, owner, co-owner, consultant, in any phase of the business of developing, manufacturing and marketing of products or services that directly compete with the products or services of the Company, except with the prior written consent of the CEO. CMO shall be entitled to request written consent of the CEO with respect to potential advisory and/or director opportunities presented to CMO by a third party, which CMO believes in good faith will not interfere or compete with the on-going business of the Company.</w:t>
      </w:r>
    </w:p>
    <w:p>
      <w:pPr>
        <w:spacing w:after="0" w:line="179"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COMPENSATION OF CMO.</w:t>
      </w:r>
    </w:p>
    <w:p>
      <w:pPr>
        <w:spacing w:after="0" w:line="21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3.1 Base Salary</w:t>
      </w:r>
      <w:r>
        <w:rPr>
          <w:rFonts w:ascii="Times New Roman" w:cs="Times New Roman" w:eastAsia="Times New Roman" w:hAnsi="Times New Roman"/>
          <w:sz w:val="20"/>
          <w:szCs w:val="20"/>
          <w:color w:val="auto"/>
        </w:rPr>
        <w:t>. The Company shall pay CMO a base salary at the annualized rate of $400,000 (the “</w:t>
      </w:r>
      <w:r>
        <w:rPr>
          <w:rFonts w:ascii="Times New Roman" w:cs="Times New Roman" w:eastAsia="Times New Roman" w:hAnsi="Times New Roman"/>
          <w:sz w:val="20"/>
          <w:szCs w:val="20"/>
          <w:b w:val="1"/>
          <w:bCs w:val="1"/>
          <w:i w:val="1"/>
          <w:iCs w:val="1"/>
          <w:color w:val="auto"/>
        </w:rPr>
        <w:t>Base Salary</w:t>
      </w:r>
      <w:r>
        <w:rPr>
          <w:rFonts w:ascii="Times New Roman" w:cs="Times New Roman" w:eastAsia="Times New Roman" w:hAnsi="Times New Roman"/>
          <w:sz w:val="20"/>
          <w:szCs w:val="20"/>
          <w:color w:val="auto"/>
        </w:rPr>
        <w:t>”), 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payroll deductions and all required withholdings, payable in regular periodic installments in accordance with the Company’s normal payroll practices. The Base Salary shall be prorated for any partial year of employment on the basis of a 365-day fiscal year.</w:t>
      </w:r>
    </w:p>
    <w:p>
      <w:pPr>
        <w:spacing w:after="0" w:line="169"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b w:val="1"/>
          <w:bCs w:val="1"/>
          <w:color w:val="auto"/>
        </w:rPr>
        <w:t>3.2 Discretionary Bonus</w:t>
      </w:r>
      <w:r>
        <w:rPr>
          <w:rFonts w:ascii="Times New Roman" w:cs="Times New Roman" w:eastAsia="Times New Roman" w:hAnsi="Times New Roman"/>
          <w:sz w:val="20"/>
          <w:szCs w:val="20"/>
          <w:color w:val="auto"/>
        </w:rPr>
        <w:t>. At the sole discretion of the Board and the Chief Executive Officer, promptly following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calendar year of employment CMO shall be eligible to receive a discretionary cash bonus of up to 40% of CMO’s then-current base salary (the “</w:t>
      </w:r>
      <w:r>
        <w:rPr>
          <w:rFonts w:ascii="Times New Roman" w:cs="Times New Roman" w:eastAsia="Times New Roman" w:hAnsi="Times New Roman"/>
          <w:sz w:val="20"/>
          <w:szCs w:val="20"/>
          <w:b w:val="1"/>
          <w:bCs w:val="1"/>
          <w:i w:val="1"/>
          <w:iCs w:val="1"/>
          <w:color w:val="auto"/>
        </w:rPr>
        <w:t>Bonus</w:t>
      </w:r>
      <w:r>
        <w:rPr>
          <w:rFonts w:ascii="Times New Roman" w:cs="Times New Roman" w:eastAsia="Times New Roman" w:hAnsi="Times New Roman"/>
          <w:sz w:val="20"/>
          <w:szCs w:val="20"/>
          <w:color w:val="auto"/>
        </w:rPr>
        <w:t>”), based on CMO’s achievement relative to certain performance goals (“</w:t>
      </w:r>
      <w:r>
        <w:rPr>
          <w:rFonts w:ascii="Times New Roman" w:cs="Times New Roman" w:eastAsia="Times New Roman" w:hAnsi="Times New Roman"/>
          <w:sz w:val="20"/>
          <w:szCs w:val="20"/>
          <w:b w:val="1"/>
          <w:bCs w:val="1"/>
          <w:i w:val="1"/>
          <w:iCs w:val="1"/>
          <w:color w:val="auto"/>
        </w:rPr>
        <w:t>Performance Goals</w:t>
      </w:r>
      <w:r>
        <w:rPr>
          <w:rFonts w:ascii="Times New Roman" w:cs="Times New Roman" w:eastAsia="Times New Roman" w:hAnsi="Times New Roman"/>
          <w:sz w:val="20"/>
          <w:szCs w:val="20"/>
          <w:color w:val="auto"/>
        </w:rPr>
        <w:t>”) to be established by the Chief Executive Officer and/or the Board or the Compensation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in writing in a manner reasonably consistent with the Company’s priorities. The determination of whether CMO has met the Performance Goals for any given year, and if so, the amount of any Bonus that will be paid for such year (if any), shall be determined by the Board or the Committee and Chief Executive Officer in their sole and absolute discretion. In order to be eligible to earn or receive any Bonus, CMO must remain employed by the Company through and including the date of payment of such Bonus. For the first calendar year of CMO’s employment with the Company, the Bonus payable shall be pro-rated in accordance with the percentage of the calendar year that the CMO is an employee of the Company.</w:t>
      </w:r>
    </w:p>
    <w:p>
      <w:pPr>
        <w:spacing w:after="0" w:line="186"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3.3 Sign-On Bonus</w:t>
      </w:r>
      <w:r>
        <w:rPr>
          <w:rFonts w:ascii="Times New Roman" w:cs="Times New Roman" w:eastAsia="Times New Roman" w:hAnsi="Times New Roman"/>
          <w:sz w:val="20"/>
          <w:szCs w:val="20"/>
          <w:color w:val="auto"/>
        </w:rPr>
        <w:t>. The Company agrees to pay CMO an aggregate sign-on bonus of $100,000 (the “Sign-On Bonus”).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Sign-On Bonus will be paid in one lump sum in a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99" w:name="page100"/>
    <w:bookmarkEnd w:id="99"/>
    <w:p>
      <w:pPr>
        <w:jc w:val="both"/>
        <w:spacing w:after="0" w:line="233" w:lineRule="auto"/>
        <w:rPr>
          <w:sz w:val="20"/>
          <w:szCs w:val="20"/>
          <w:color w:val="auto"/>
        </w:rPr>
      </w:pPr>
      <w:r>
        <w:rPr>
          <w:rFonts w:ascii="Times New Roman" w:cs="Times New Roman" w:eastAsia="Times New Roman" w:hAnsi="Times New Roman"/>
          <w:sz w:val="20"/>
          <w:szCs w:val="20"/>
          <w:color w:val="auto"/>
        </w:rPr>
        <w:t>check on the next regularly scheduled pay date after the Effective Date. The Sign-On Bonus is taxable, and all regular payroll taxes will be withheld. The Sign-On Bonus is subject to the following vesting schedule: 1/24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Sign-On Bonus shall vest on each monthly anniversary of the Effective Date. In the event that CMO’s employment is terminated by the Company for Cause or by CMO without Good Reason (both as hereinafter defined) prior to the second anniversary of the Effective Date, CMO shall be required to pay back the Company, within 30 days after such termination, any unvested portion of the Sign-On Bonus as of the dated of such termination.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9"/>
          <w:szCs w:val="19"/>
          <w:b w:val="1"/>
          <w:bCs w:val="1"/>
          <w:color w:val="auto"/>
        </w:rPr>
        <w:t>3.4 Stock Option</w:t>
      </w:r>
      <w:r>
        <w:rPr>
          <w:rFonts w:ascii="Times New Roman" w:cs="Times New Roman" w:eastAsia="Times New Roman" w:hAnsi="Times New Roman"/>
          <w:sz w:val="19"/>
          <w:szCs w:val="19"/>
          <w:color w:val="auto"/>
        </w:rPr>
        <w:t>. As soon as practicable following the Effective Date, subject to the approval of the Board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Committee, CMO will be granted an option to purchase up to 90,000 shares of the Company’s Common Stock (the “</w:t>
      </w:r>
      <w:r>
        <w:rPr>
          <w:rFonts w:ascii="Times New Roman" w:cs="Times New Roman" w:eastAsia="Times New Roman" w:hAnsi="Times New Roman"/>
          <w:sz w:val="19"/>
          <w:szCs w:val="19"/>
          <w:b w:val="1"/>
          <w:bCs w:val="1"/>
          <w:i w:val="1"/>
          <w:iCs w:val="1"/>
          <w:color w:val="auto"/>
        </w:rPr>
        <w:t>Base Option</w:t>
      </w:r>
      <w:r>
        <w:rPr>
          <w:rFonts w:ascii="Times New Roman" w:cs="Times New Roman" w:eastAsia="Times New Roman" w:hAnsi="Times New Roman"/>
          <w:sz w:val="19"/>
          <w:szCs w:val="19"/>
          <w:color w:val="auto"/>
        </w:rPr>
        <w:t>”) pursuant to the terms of the Company’s 2017 Equity Incentive Plan, as amended from time to time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The Base Option shall be subject to vesting such that, subject to CMO’s continued employment with the Company, 1/4 of the shares subject to the Base Option shall vest as of the first anniversary of the Effective Date and l/48th of the shares subject to the Base Option shall vest in equal monthly installments on the monthly anniversary of the Effective Date of each month for the 36 months thereafter. The exercise price per share of the Base Option will be equal to the closing selling price as reported on the Nasdaq Stock Market on the date the Base Option is granted. The Base Option will be governed by the Plan and shall be granted pursuant to a separate stock option grant notice and stock option agreement.</w:t>
      </w:r>
    </w:p>
    <w:p>
      <w:pPr>
        <w:spacing w:after="0" w:line="173"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b w:val="1"/>
          <w:bCs w:val="1"/>
          <w:color w:val="auto"/>
        </w:rPr>
        <w:t>3.5 Expense Reimbursements</w:t>
      </w:r>
      <w:r>
        <w:rPr>
          <w:rFonts w:ascii="Times New Roman" w:cs="Times New Roman" w:eastAsia="Times New Roman" w:hAnsi="Times New Roman"/>
          <w:sz w:val="20"/>
          <w:szCs w:val="20"/>
          <w:color w:val="auto"/>
        </w:rPr>
        <w:t>. The Company will reimburse CMO for all reasonable business expenses CMO incurs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conducting his duties hereunder, including all reasonable Commuting Expenses (as defined below), pursuant to the Company’s usual expense reimbursement policies; provided that CMO supplies the appropriate substantiation for such expenses no later than the end of the calendar month following the month in which such expenses were incurred by CMO. “Commuting Expenses” shall mean all reasonable travel and lodging expenses incurred by CMO in connection with CMO’s travel from his home in Oak Park, California to the Company’s offices in San Diego, California.</w:t>
      </w:r>
    </w:p>
    <w:p>
      <w:pPr>
        <w:spacing w:after="0" w:line="179"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3.6 Changes to Compensation</w:t>
      </w:r>
      <w:r>
        <w:rPr>
          <w:rFonts w:ascii="Times New Roman" w:cs="Times New Roman" w:eastAsia="Times New Roman" w:hAnsi="Times New Roman"/>
          <w:sz w:val="20"/>
          <w:szCs w:val="20"/>
          <w:color w:val="auto"/>
        </w:rPr>
        <w:t>. CMO’s compensation will be reviewed annually and may be changed from time to time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sole discretion.</w:t>
      </w:r>
    </w:p>
    <w:p>
      <w:pPr>
        <w:spacing w:after="0" w:line="152"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3.7 Employment Taxes</w:t>
      </w:r>
      <w:r>
        <w:rPr>
          <w:rFonts w:ascii="Times New Roman" w:cs="Times New Roman" w:eastAsia="Times New Roman" w:hAnsi="Times New Roman"/>
          <w:sz w:val="20"/>
          <w:szCs w:val="20"/>
          <w:color w:val="auto"/>
        </w:rPr>
        <w:t>. All of CMO’s compensation shall be subject to customary withholding taxes and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taxes as are commonly required to be collected or withheld by the Company, as determined by the Company.</w:t>
      </w:r>
    </w:p>
    <w:p>
      <w:pPr>
        <w:spacing w:after="0" w:line="15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3.8 Benefits</w:t>
      </w:r>
      <w:r>
        <w:rPr>
          <w:rFonts w:ascii="Times New Roman" w:cs="Times New Roman" w:eastAsia="Times New Roman" w:hAnsi="Times New Roman"/>
          <w:sz w:val="20"/>
          <w:szCs w:val="20"/>
          <w:color w:val="auto"/>
        </w:rPr>
        <w:t>. CMO shall, in accordance with Company policy and the terms of the applicable plan documents, be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participate in benefits under any benefit plan or arrangement that may be in effect from time to time and made available to the Company’s senior management employees.</w:t>
      </w:r>
    </w:p>
    <w:p>
      <w:pPr>
        <w:spacing w:after="0" w:line="16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3.9 Holidays and Vacation</w:t>
      </w:r>
      <w:r>
        <w:rPr>
          <w:rFonts w:ascii="Times New Roman" w:cs="Times New Roman" w:eastAsia="Times New Roman" w:hAnsi="Times New Roman"/>
          <w:sz w:val="20"/>
          <w:szCs w:val="20"/>
          <w:color w:val="auto"/>
        </w:rPr>
        <w:t>. CMO shall be eligible for paid holiday and vacation time in accordance with Company policy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in effect from time to time.</w:t>
      </w:r>
    </w:p>
    <w:p>
      <w:pPr>
        <w:spacing w:after="0" w:line="152"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TERMINATION.</w:t>
      </w:r>
    </w:p>
    <w:p>
      <w:pPr>
        <w:spacing w:after="0" w:line="216"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4.1</w:t>
        <w:tab/>
        <w:t>Termination by the Company</w:t>
      </w:r>
      <w:r>
        <w:rPr>
          <w:rFonts w:ascii="Times New Roman" w:cs="Times New Roman" w:eastAsia="Times New Roman" w:hAnsi="Times New Roman"/>
          <w:sz w:val="20"/>
          <w:szCs w:val="20"/>
          <w:color w:val="auto"/>
        </w:rPr>
        <w:t>. CMO’s employment with the Company is at will and may be terminated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at any time and for any reason, or for no reason, including, but not limited to, under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00" w:name="page101"/>
    <w:bookmarkEnd w:id="100"/>
    <w:p>
      <w:pPr>
        <w:jc w:val="both"/>
        <w:ind w:firstLine="1944"/>
        <w:spacing w:after="0" w:line="256" w:lineRule="auto"/>
        <w:rPr>
          <w:sz w:val="20"/>
          <w:szCs w:val="20"/>
          <w:color w:val="auto"/>
        </w:rPr>
      </w:pPr>
      <w:r>
        <w:rPr>
          <w:rFonts w:ascii="Times New Roman" w:cs="Times New Roman" w:eastAsia="Times New Roman" w:hAnsi="Times New Roman"/>
          <w:sz w:val="20"/>
          <w:szCs w:val="20"/>
          <w:b w:val="1"/>
          <w:bCs w:val="1"/>
          <w:color w:val="auto"/>
        </w:rPr>
        <w:t>4.1.1 Termination by the Company for Cause</w:t>
      </w:r>
      <w:r>
        <w:rPr>
          <w:rFonts w:ascii="Times New Roman" w:cs="Times New Roman" w:eastAsia="Times New Roman" w:hAnsi="Times New Roman"/>
          <w:sz w:val="20"/>
          <w:szCs w:val="20"/>
          <w:color w:val="auto"/>
        </w:rPr>
        <w:t>. The Company may terminate CMO’s employment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for Cause (as defined below) by delivery of written notice to CMO. Any notice of termination given pursuant to this section shall effect termination as of the date of the notice, or as of such other date specified in the notice.</w:t>
      </w:r>
    </w:p>
    <w:p>
      <w:pPr>
        <w:spacing w:after="0" w:line="169"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20"/>
          <w:szCs w:val="20"/>
          <w:b w:val="1"/>
          <w:bCs w:val="1"/>
          <w:color w:val="auto"/>
        </w:rPr>
        <w:t>4.1.2 Termination by the Company without Cause</w:t>
      </w:r>
      <w:r>
        <w:rPr>
          <w:rFonts w:ascii="Times New Roman" w:cs="Times New Roman" w:eastAsia="Times New Roman" w:hAnsi="Times New Roman"/>
          <w:sz w:val="20"/>
          <w:szCs w:val="20"/>
          <w:color w:val="auto"/>
        </w:rPr>
        <w:t>. The Company may terminate CMO’s employment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without Cause at any time and for any reason, or for no reason. Such termination shall be effective on the date CMO is so informed, or as otherwise specified by the Company.</w:t>
      </w:r>
    </w:p>
    <w:p>
      <w:pPr>
        <w:spacing w:after="0" w:line="16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4.2 Termination by CMO</w:t>
      </w:r>
      <w:r>
        <w:rPr>
          <w:rFonts w:ascii="Times New Roman" w:cs="Times New Roman" w:eastAsia="Times New Roman" w:hAnsi="Times New Roman"/>
          <w:sz w:val="20"/>
          <w:szCs w:val="20"/>
          <w:color w:val="auto"/>
        </w:rPr>
        <w:t>. CMO may terminate his employment with the Company at any time and for any reason, or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reason, upon thirty (30) days written notice to the Company.</w:t>
      </w:r>
    </w:p>
    <w:p>
      <w:pPr>
        <w:spacing w:after="0" w:line="152"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4.3 Termination for Death or Disability</w:t>
      </w:r>
      <w:r>
        <w:rPr>
          <w:rFonts w:ascii="Times New Roman" w:cs="Times New Roman" w:eastAsia="Times New Roman" w:hAnsi="Times New Roman"/>
          <w:sz w:val="20"/>
          <w:szCs w:val="20"/>
          <w:color w:val="auto"/>
        </w:rPr>
        <w:t>. CMO’s employment with the Company shall automatically terminate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date of CMO’s death or Disability (as defined in the Plan).</w:t>
      </w:r>
    </w:p>
    <w:p>
      <w:pPr>
        <w:spacing w:after="0" w:line="15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4.4 Termination by Mutual Agreement of the Parties</w:t>
      </w:r>
      <w:r>
        <w:rPr>
          <w:rFonts w:ascii="Times New Roman" w:cs="Times New Roman" w:eastAsia="Times New Roman" w:hAnsi="Times New Roman"/>
          <w:sz w:val="20"/>
          <w:szCs w:val="20"/>
          <w:color w:val="auto"/>
        </w:rPr>
        <w:t>. CMO’s employment with the Company may be terminated 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upon a mutual agreement in writing of the Parties. Any such termination of employment shall have the consequences specified in such agreement.</w:t>
      </w:r>
    </w:p>
    <w:p>
      <w:pPr>
        <w:spacing w:after="0" w:line="169"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20"/>
          <w:szCs w:val="20"/>
          <w:b w:val="1"/>
          <w:bCs w:val="1"/>
          <w:color w:val="auto"/>
        </w:rPr>
        <w:t>4.5</w:t>
      </w:r>
      <w:r>
        <w:rPr>
          <w:sz w:val="20"/>
          <w:szCs w:val="20"/>
          <w:color w:val="auto"/>
        </w:rPr>
        <w:tab/>
      </w:r>
      <w:r>
        <w:rPr>
          <w:rFonts w:ascii="Times New Roman" w:cs="Times New Roman" w:eastAsia="Times New Roman" w:hAnsi="Times New Roman"/>
          <w:sz w:val="19"/>
          <w:szCs w:val="19"/>
          <w:b w:val="1"/>
          <w:bCs w:val="1"/>
          <w:color w:val="auto"/>
        </w:rPr>
        <w:t>Compensation upon Termination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b w:val="1"/>
          <w:bCs w:val="1"/>
          <w:color w:val="auto"/>
        </w:rPr>
        <w:t>4.5.1 Death or Disability</w:t>
      </w:r>
      <w:r>
        <w:rPr>
          <w:rFonts w:ascii="Times New Roman" w:cs="Times New Roman" w:eastAsia="Times New Roman" w:hAnsi="Times New Roman"/>
          <w:sz w:val="20"/>
          <w:szCs w:val="20"/>
          <w:color w:val="auto"/>
        </w:rPr>
        <w:t>. If CMO’s employment is terminated by death or Disability, the Company shall pay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CMO, or to CMO’s heirs, CMO’s accrued and unpaid base salary and accrued and unused vacation benefits earned through the date of termination at the rate in effect at the time of termination, less standard deductions and withholdings. The Company shall thereafter have no further obligations to CMO and/or CMO’s heirs under this Agreement, except as otherwise provided by law.</w:t>
      </w:r>
    </w:p>
    <w:p>
      <w:pPr>
        <w:spacing w:after="0" w:line="176"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b w:val="1"/>
          <w:bCs w:val="1"/>
          <w:color w:val="auto"/>
        </w:rPr>
        <w:t>4.5.2 Termination for Cause</w:t>
      </w:r>
      <w:r>
        <w:rPr>
          <w:rFonts w:ascii="Times New Roman" w:cs="Times New Roman" w:eastAsia="Times New Roman" w:hAnsi="Times New Roman"/>
          <w:sz w:val="20"/>
          <w:szCs w:val="20"/>
          <w:color w:val="auto"/>
        </w:rPr>
        <w:t>. If the Company terminates CMO’s employment for Cause, then the Company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 CMO’s accrued and unpaid base salary and accrued and unused vacation benefits earned through the date of termination, at the rate in effect at the time of termination, less standard deductions and withholdings. The Company shall thereafter have no further obligations to CMO under this Agreement, except as otherwise provided by law.</w:t>
      </w:r>
    </w:p>
    <w:p>
      <w:pPr>
        <w:spacing w:after="0" w:line="176" w:lineRule="exact"/>
        <w:rPr>
          <w:sz w:val="20"/>
          <w:szCs w:val="20"/>
          <w:color w:val="auto"/>
        </w:rPr>
      </w:pPr>
    </w:p>
    <w:p>
      <w:pPr>
        <w:jc w:val="both"/>
        <w:ind w:firstLine="1944"/>
        <w:spacing w:after="0" w:line="242" w:lineRule="auto"/>
        <w:rPr>
          <w:sz w:val="20"/>
          <w:szCs w:val="20"/>
          <w:color w:val="auto"/>
        </w:rPr>
      </w:pPr>
      <w:r>
        <w:rPr>
          <w:rFonts w:ascii="Times New Roman" w:cs="Times New Roman" w:eastAsia="Times New Roman" w:hAnsi="Times New Roman"/>
          <w:sz w:val="20"/>
          <w:szCs w:val="20"/>
          <w:b w:val="1"/>
          <w:bCs w:val="1"/>
          <w:color w:val="auto"/>
        </w:rPr>
        <w:t>4.5.3 Termination by Company without Cause or by CMO for Good Reason Not In Connection with a Change in Control</w:t>
      </w:r>
      <w:r>
        <w:rPr>
          <w:rFonts w:ascii="Times New Roman" w:cs="Times New Roman" w:eastAsia="Times New Roman" w:hAnsi="Times New Roman"/>
          <w:sz w:val="20"/>
          <w:szCs w:val="20"/>
          <w:color w:val="auto"/>
        </w:rPr>
        <w:t>. If the Company terminates CMO’s employment without Cause or if CMO resigns his employment for Good Reason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defined below), in either case at any time other than upon the occurrence of, or within the 13 months immediately following, the effective date of a Change in Control, the Company shall pay CMO’s accrued and unpaid base salary and accrued and unused vacation benefits earned through the date of termination, at the rate in effect at the time of termination, less standard deductions and withholdings. In addition to the above, if CMO furnishes to the Company an executed waiver and release of claims in the form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(or in such other form as may be specified by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within the time period specified therein, but in no event later than 45 days following CMO’s termination, and if CMO allows such Release to become effective in accordance with its terms, then (i) CMO shall be entitled to severance in the form of continuation of his base salary, at the base salary rate equal to the greater of the rate in effect at the time of termination or the rate immediately prior to the event giving rise to Good Reason (the “</w:t>
      </w:r>
      <w:r>
        <w:rPr>
          <w:rFonts w:ascii="Times New Roman" w:cs="Times New Roman" w:eastAsia="Times New Roman" w:hAnsi="Times New Roman"/>
          <w:sz w:val="20"/>
          <w:szCs w:val="20"/>
          <w:b w:val="1"/>
          <w:bCs w:val="1"/>
          <w:i w:val="1"/>
          <w:iCs w:val="1"/>
          <w:color w:val="auto"/>
        </w:rPr>
        <w:t>Severance Payments</w:t>
      </w:r>
      <w:r>
        <w:rPr>
          <w:rFonts w:ascii="Times New Roman" w:cs="Times New Roman" w:eastAsia="Times New Roman" w:hAnsi="Times New Roman"/>
          <w:sz w:val="20"/>
          <w:szCs w:val="20"/>
          <w:color w:val="auto"/>
        </w:rPr>
        <w:t>”), for a period of nine (9) months following the termination date (the “</w:t>
      </w:r>
      <w:r>
        <w:rPr>
          <w:rFonts w:ascii="Times New Roman" w:cs="Times New Roman" w:eastAsia="Times New Roman" w:hAnsi="Times New Roman"/>
          <w:sz w:val="20"/>
          <w:szCs w:val="20"/>
          <w:b w:val="1"/>
          <w:bCs w:val="1"/>
          <w:i w:val="1"/>
          <w:iCs w:val="1"/>
          <w:color w:val="auto"/>
        </w:rPr>
        <w:t>Severance Period</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101" w:name="page102"/>
    <w:bookmarkEnd w:id="101"/>
    <w:p>
      <w:pPr>
        <w:jc w:val="both"/>
        <w:ind w:firstLine="8"/>
        <w:spacing w:after="0" w:line="241" w:lineRule="auto"/>
        <w:tabs>
          <w:tab w:leader="none" w:pos="29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CMO timely elects COBRA coverage, the Company will pay directly to the insurance provider the premium for COBRA continuation coverage for CMO and CMO’s family during the Severance Period or until he obtains new employment, whichever comes first (the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Coverage</w:t>
      </w:r>
      <w:r>
        <w:rPr>
          <w:rFonts w:ascii="Times New Roman" w:cs="Times New Roman" w:eastAsia="Times New Roman" w:hAnsi="Times New Roman"/>
          <w:sz w:val="20"/>
          <w:szCs w:val="20"/>
          <w:color w:val="auto"/>
        </w:rPr>
        <w:t>”); provided that, if the Company determines that it cannot provide the COBRA Coverage without potentially violating applicable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law or incurring additional expense under applicable law (including, without limitation, Section 2716 of the Public Health Service Act), the Company will provide CMO, in lieu thereof, taxable, continued installment payments equal to the COBRA premium, payable on the last day of a given month, for 9 months (measured from the termination date), which payments will be made regardless of whether CMO elects COBRA continuation coverage (the “</w:t>
      </w:r>
      <w:r>
        <w:rPr>
          <w:rFonts w:ascii="Times New Roman" w:cs="Times New Roman" w:eastAsia="Times New Roman" w:hAnsi="Times New Roman"/>
          <w:sz w:val="20"/>
          <w:szCs w:val="20"/>
          <w:b w:val="1"/>
          <w:bCs w:val="1"/>
          <w:i w:val="1"/>
          <w:iCs w:val="1"/>
          <w:color w:val="auto"/>
        </w:rPr>
        <w:t>COBRA Bonus</w:t>
      </w:r>
      <w:r>
        <w:rPr>
          <w:rFonts w:ascii="Times New Roman" w:cs="Times New Roman" w:eastAsia="Times New Roman" w:hAnsi="Times New Roman"/>
          <w:sz w:val="20"/>
          <w:szCs w:val="20"/>
          <w:color w:val="auto"/>
        </w:rPr>
        <w:t xml:space="preserve">”). Notwithstanding the foregoing, the number of months of COBRA Bonus to be paid, in any case, shall be reduced by the number of months of COBRA Coverage previously paid by the Company.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if the 45 day period to execute the Release spans two calendar years, no Severance Payments will be made until the later calendar year. The Company shall thereafter have no further obligations to CMO under this Agreement, except as otherwise provided by law.</w:t>
      </w:r>
    </w:p>
    <w:p>
      <w:pPr>
        <w:spacing w:after="0" w:line="193" w:lineRule="exact"/>
        <w:rPr>
          <w:sz w:val="20"/>
          <w:szCs w:val="20"/>
          <w:color w:val="auto"/>
        </w:rPr>
      </w:pPr>
    </w:p>
    <w:p>
      <w:pPr>
        <w:jc w:val="both"/>
        <w:ind w:firstLine="1944"/>
        <w:spacing w:after="0" w:line="242" w:lineRule="auto"/>
        <w:rPr>
          <w:sz w:val="20"/>
          <w:szCs w:val="20"/>
          <w:color w:val="auto"/>
        </w:rPr>
      </w:pPr>
      <w:r>
        <w:rPr>
          <w:rFonts w:ascii="Times New Roman" w:cs="Times New Roman" w:eastAsia="Times New Roman" w:hAnsi="Times New Roman"/>
          <w:sz w:val="20"/>
          <w:szCs w:val="20"/>
          <w:b w:val="1"/>
          <w:bCs w:val="1"/>
          <w:color w:val="auto"/>
        </w:rPr>
        <w:t>4.5.4 Termination by Company without Cause or by CMO for Good Reason in Connection with a Change in Control</w:t>
      </w:r>
      <w:r>
        <w:rPr>
          <w:rFonts w:ascii="Times New Roman" w:cs="Times New Roman" w:eastAsia="Times New Roman" w:hAnsi="Times New Roman"/>
          <w:sz w:val="20"/>
          <w:szCs w:val="20"/>
          <w:color w:val="auto"/>
        </w:rPr>
        <w:t>. If the Company terminates CMO’s employment without Cause or if CMO resigns his employment for Good Reason, in either case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occurrence of, or within the 13 months immediately following, the effective date of a Change in Control, the Company shall pay CMO’s accrued and unpaid base salary and accrued and unused vacation benefits earned through the date of termination, at the rate in effect at the time of termination, less standard deductions and withholdings. In addition, if CMO furnishes to the Company an executed Release within the time period specified therein, but in no event later than 45 days following CMO’s termination, and if CMO allows such Release to become effective in accordance with its terms, then CMO shall be entitled to: (1) the Severance Payments and COBRA payments described in Section 4.5.3 above; provided, however, that the Severance Payments and COBRA payments shall be increased from 9 months to 12 months and (2) accelerated vesting of all of CMO’s unvested Company equity awards, such that CMO shall become vested in 100% of the shares subject to all such equity awards on the effective date of the Release; provided, however, that the vesting of any performance-based awards shall be as if all applicable performance criteria were achieved at target levels. The Company shall thereafter have no further obligations to CMO under this Agreement, except as otherwise provided by law.</w:t>
      </w:r>
    </w:p>
    <w:p>
      <w:pPr>
        <w:spacing w:after="0" w:line="187"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4.6</w:t>
      </w:r>
      <w:r>
        <w:rPr>
          <w:sz w:val="20"/>
          <w:szCs w:val="20"/>
          <w:color w:val="auto"/>
        </w:rPr>
        <w:tab/>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 For purposes of this Agreement, the following terms shall have the following meanings:</w:t>
      </w:r>
    </w:p>
    <w:p>
      <w:pPr>
        <w:spacing w:after="0" w:line="216" w:lineRule="exact"/>
        <w:rPr>
          <w:sz w:val="20"/>
          <w:szCs w:val="20"/>
          <w:color w:val="auto"/>
        </w:rPr>
      </w:pPr>
    </w:p>
    <w:p>
      <w:pPr>
        <w:jc w:val="both"/>
        <w:ind w:firstLine="1944"/>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4.6.1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mean the occurrence of any one or more of the following: (i) CMO’s commission of any crime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involving fraud, dishonesty or moral turpitude; (ii) CMO’s attempted commission of or participation in a fraud or act of dishonesty against the Company that results in (or might have reasonably resulted in) material harm to the business of the Company; (iii) CMO’s intentional, material violation of any contract or agreement between CMO and the Company or any statutory duty CMO owes to the Company; or (iv) CMO’s conduct that constitutes gross insubordination, incompetence or habitual neglect of duties and that results in (or might have reasonably resulted in) material harm to the business of the Company;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action or conduct described in clauses (iii) and (iv) above will constitute “Cause” only if such action or conduct continues after the Company has provided CMO with written notice thereof and thirty (30) days to cure, or otherwise remedy to the extent possible under direct control of the CMO, the same. An occurrence of “Cause” as set forth in the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69" w:lineRule="auto"/>
        <w:rPr>
          <w:sz w:val="20"/>
          <w:szCs w:val="20"/>
          <w:color w:val="auto"/>
        </w:rPr>
      </w:pPr>
      <w:r>
        <w:rPr>
          <w:rFonts w:ascii="Times New Roman" w:cs="Times New Roman" w:eastAsia="Times New Roman" w:hAnsi="Times New Roman"/>
          <w:sz w:val="20"/>
          <w:szCs w:val="20"/>
          <w:color w:val="auto"/>
        </w:rPr>
        <w:t>sentence shall be based upon a good faith determination by the Board. CMO’s Disability shall not constitute Cause as set forth herein. The determination that a termination is for Cause shall be by the Board in its sole and exclusive judgment and discretion.</w:t>
      </w:r>
    </w:p>
    <w:p>
      <w:pPr>
        <w:spacing w:after="0" w:line="155"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4.6.2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Amended and Restated 2006 Equity Incentive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90" w:lineRule="exact"/>
        <w:rPr>
          <w:sz w:val="20"/>
          <w:szCs w:val="20"/>
          <w:color w:val="auto"/>
        </w:rPr>
      </w:pPr>
    </w:p>
    <w:p>
      <w:pPr>
        <w:jc w:val="both"/>
        <w:ind w:firstLine="1944"/>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4.6.3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mean any of the following actions: (i) the assignment to CMO of any duties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responsibilities that results in a material diminution in CMO’s function as in effect immediately prior to the effective date of the Change in Control; provided, however, that it will be considered a material diminution in CMO’s function if, following a Change in Control, the CMO is not reporting directly to the Chief Executive Officer who is in turn reporting to the Company’s (or if applicable ultimate parent entity’s) corporate board of directors; (ii) a reduction by the Company in CMO’s annual base salary as in effect on the effective date of the Change in Control; provided, however, that Good Reason shall not be deemed to have occurred in the event of a reduction in CMO’s annual base salary that is pursuant to a salary reduction program affecting substantially all of the employees of the Company and that does not adversely affect CMO to a greater extent than other similarly situated employees; or (iii) a relocation of CMO’s primary business office to a location more than 50 miles from the location of CMO’s primary business office as of the effective date of the Change in Control, except for required travel by CMO on the Company’s business to an extent substantially consistent with CMO’s business travel obligations prior to the effective date of the Change in Control. For the purposes of application of this definition of Good Reason to Section 4.5.3, the words “as in effect immediately prior to the effective date of the Change in Control” shall be read to mean as of, or immediately prior to, the date of the event giving rise to Good Reason. In all events, in order for a termination for Good Reason to occur, the CMO must provide the Company with written notice of the condition constituting Good Reason within 90 days of the initial occurrence of such condition, and allow the Company a 30-day cure period in which to cure such condition, and the CMO must resign employment within 10 days of the end of such 30-day cure period if the Company does not cure the condition in such cure period. For clarity, “corporate board of directors” as used in the definition of Good Reason means the Company’s (or if applicable ultimate parent entity’s) board of directors as such term is used in Section 141 of the Delaware General Corporation Law, or if the Company (or if applicable ultimate parent entity) is not a corporation organized under Delaware law, the most senior governing body of the Company (or if applicable ultimate parent entity) the majority of which is comprised of non-employee and independent members and has responsibility and authority for managing the business and affairs of the Company (or if applicable ultimate parent entity).</w:t>
      </w:r>
    </w:p>
    <w:p>
      <w:pPr>
        <w:spacing w:after="0" w:line="186"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4.7</w:t>
      </w:r>
      <w:r>
        <w:rPr>
          <w:sz w:val="20"/>
          <w:szCs w:val="20"/>
          <w:color w:val="auto"/>
        </w:rPr>
        <w:tab/>
      </w:r>
      <w:r>
        <w:rPr>
          <w:rFonts w:ascii="Times New Roman" w:cs="Times New Roman" w:eastAsia="Times New Roman" w:hAnsi="Times New Roman"/>
          <w:sz w:val="19"/>
          <w:szCs w:val="19"/>
          <w:b w:val="1"/>
          <w:bCs w:val="1"/>
          <w:color w:val="auto"/>
        </w:rPr>
        <w:t>Survival of Certain Sections</w:t>
      </w:r>
      <w:r>
        <w:rPr>
          <w:rFonts w:ascii="Times New Roman" w:cs="Times New Roman" w:eastAsia="Times New Roman" w:hAnsi="Times New Roman"/>
          <w:sz w:val="19"/>
          <w:szCs w:val="19"/>
          <w:color w:val="auto"/>
        </w:rPr>
        <w:t>. Sections 3.5, 3.7 and 4 through 18 of this Agreement will survive the termination of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b w:val="1"/>
          <w:bCs w:val="1"/>
          <w:color w:val="auto"/>
        </w:rPr>
        <w:t>4.8 Parachute Payment</w:t>
      </w:r>
      <w:r>
        <w:rPr>
          <w:rFonts w:ascii="Times New Roman" w:cs="Times New Roman" w:eastAsia="Times New Roman" w:hAnsi="Times New Roman"/>
          <w:sz w:val="19"/>
          <w:szCs w:val="19"/>
          <w:color w:val="auto"/>
        </w:rPr>
        <w:t>. If any payment or benefit CMO would receive pursuant to this Agreement (“</w:t>
      </w:r>
      <w:r>
        <w:rPr>
          <w:rFonts w:ascii="Times New Roman" w:cs="Times New Roman" w:eastAsia="Times New Roman" w:hAnsi="Times New Roman"/>
          <w:sz w:val="19"/>
          <w:szCs w:val="19"/>
          <w:b w:val="1"/>
          <w:bCs w:val="1"/>
          <w:i w:val="1"/>
          <w:iCs w:val="1"/>
          <w:color w:val="auto"/>
        </w:rPr>
        <w:t>Payment</w:t>
      </w:r>
      <w:r>
        <w:rPr>
          <w:rFonts w:ascii="Times New Roman" w:cs="Times New Roman" w:eastAsia="Times New Roman" w:hAnsi="Times New Roman"/>
          <w:sz w:val="19"/>
          <w:szCs w:val="19"/>
          <w:color w:val="auto"/>
        </w:rPr>
        <w:t>”) would (i)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constitute a “</w:t>
      </w:r>
      <w:r>
        <w:rPr>
          <w:rFonts w:ascii="Times New Roman" w:cs="Times New Roman" w:eastAsia="Times New Roman" w:hAnsi="Times New Roman"/>
          <w:sz w:val="19"/>
          <w:szCs w:val="19"/>
          <w:b w:val="1"/>
          <w:bCs w:val="1"/>
          <w:i w:val="1"/>
          <w:iCs w:val="1"/>
          <w:color w:val="auto"/>
        </w:rPr>
        <w:t>Parachute Payment</w:t>
      </w:r>
      <w:r>
        <w:rPr>
          <w:rFonts w:ascii="Times New Roman" w:cs="Times New Roman" w:eastAsia="Times New Roman" w:hAnsi="Times New Roman"/>
          <w:sz w:val="19"/>
          <w:szCs w:val="19"/>
          <w:color w:val="auto"/>
        </w:rPr>
        <w:t>” within the meaning of Section 280G of the Internal Revenue Code of 1986, as amended (the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and</w:t>
      </w:r>
    </w:p>
    <w:p>
      <w:pPr>
        <w:spacing w:after="0" w:line="1" w:lineRule="exact"/>
        <w:rPr>
          <w:sz w:val="20"/>
          <w:szCs w:val="20"/>
          <w:color w:val="auto"/>
        </w:rPr>
      </w:pPr>
    </w:p>
    <w:p>
      <w:pPr>
        <w:jc w:val="both"/>
        <w:ind w:firstLine="8"/>
        <w:spacing w:after="0"/>
        <w:tabs>
          <w:tab w:leader="none" w:pos="30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but for this sentence,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then such Payment shall be equal to the Reduced Amount. The “</w:t>
      </w:r>
      <w:r>
        <w:rPr>
          <w:rFonts w:ascii="Times New Roman" w:cs="Times New Roman" w:eastAsia="Times New Roman" w:hAnsi="Times New Roman"/>
          <w:sz w:val="20"/>
          <w:szCs w:val="20"/>
          <w:b w:val="1"/>
          <w:bCs w:val="1"/>
          <w:i w:val="1"/>
          <w:iCs w:val="1"/>
          <w:color w:val="auto"/>
        </w:rPr>
        <w:t>Reduced Amount</w:t>
      </w:r>
      <w:r>
        <w:rPr>
          <w:rFonts w:ascii="Times New Roman" w:cs="Times New Roman" w:eastAsia="Times New Roman" w:hAnsi="Times New Roman"/>
          <w:sz w:val="20"/>
          <w:szCs w:val="20"/>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CMO’s receipt, on an after-tax basis, of the greatest economic benefit notwithstanding that all or some portion of the Payment may be subject to the Excise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54" w:lineRule="auto"/>
        <w:rPr>
          <w:sz w:val="20"/>
          <w:szCs w:val="20"/>
          <w:color w:val="auto"/>
        </w:rPr>
      </w:pPr>
      <w:r>
        <w:rPr>
          <w:rFonts w:ascii="Times New Roman" w:cs="Times New Roman" w:eastAsia="Times New Roman" w:hAnsi="Times New Roman"/>
          <w:sz w:val="20"/>
          <w:szCs w:val="20"/>
          <w:color w:val="auto"/>
        </w:rPr>
        <w:t>Tax. If a reduction in payments or benefits constituting Parachute Payments is necessary so that the Payment equals the Reduced Amount, reduction shall occur in the manner that results in the greatest economic benefit for CMO. If more than one method of reduction will result in the same economic benefit, the items so reduced will be reduced pro rata.</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the event it is subsequently determined by the Internal Revenue Service that some portion of the Reduced Amount (as determined pursuant to clause (x) in the preceding paragraph) is subject to the Excise Tax, CMO agrees to promptly return to the Company a sufficient amount of the Payment so that no portion of the Reduced Amount is subject to the Excise Tax. For the avoidance of doubt, if the Reduced Amount is determined in accordance with clause (y) in the preceding paragraph, CMO will have no obligation to return any portion of the Payment pursuant to the preceding sentence.</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Unless CMO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shall use commercially reasonable efforts such that the accounting, law or consulting firm engaged to make the determinations hereunder shall provide its calculations, together with detailed supporting documentation, to CMO and the Company within 15 calendar days after the date on which CMO’s right to a Payment is triggered (if requested at that time by CMO or the Company) or such other time as requested by CMO or the Company.</w:t>
      </w:r>
    </w:p>
    <w:p>
      <w:pPr>
        <w:spacing w:after="0" w:line="17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0"/>
          <w:szCs w:val="20"/>
          <w:b w:val="1"/>
          <w:bCs w:val="1"/>
          <w:color w:val="auto"/>
        </w:rPr>
        <w:t>4.9 Application of Internal Revenue Code Section 409A</w:t>
      </w:r>
      <w:r>
        <w:rPr>
          <w:rFonts w:ascii="Times New Roman" w:cs="Times New Roman" w:eastAsia="Times New Roman" w:hAnsi="Times New Roman"/>
          <w:sz w:val="20"/>
          <w:szCs w:val="20"/>
          <w:color w:val="auto"/>
        </w:rPr>
        <w:t>. Notwithstanding anything to the contrary set forth herein,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and benefits provided under this Agreement (the “</w:t>
      </w:r>
      <w:r>
        <w:rPr>
          <w:rFonts w:ascii="Times New Roman" w:cs="Times New Roman" w:eastAsia="Times New Roman" w:hAnsi="Times New Roman"/>
          <w:sz w:val="20"/>
          <w:szCs w:val="20"/>
          <w:b w:val="1"/>
          <w:bCs w:val="1"/>
          <w:i w:val="1"/>
          <w:iCs w:val="1"/>
          <w:color w:val="auto"/>
        </w:rPr>
        <w:t>Severance Benefits</w:t>
      </w:r>
      <w:r>
        <w:rPr>
          <w:rFonts w:ascii="Times New Roman" w:cs="Times New Roman" w:eastAsia="Times New Roman" w:hAnsi="Times New Roman"/>
          <w:sz w:val="20"/>
          <w:szCs w:val="20"/>
          <w:color w:val="auto"/>
        </w:rPr>
        <w:t>”) that constitute “deferred compensation” within the meaning of Section 409A of the Code and the regulations and other guidance thereunder and any state law of similar effect (collectively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shall not commence in connection with CMO’s termination of employment unless and until CMO has also incurred a “separation from service” (as such term is defined in Treasury Regulation Section 1.409A-1(h))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unless the Company reasonably determines that such amounts may be provided to CMO without causing CMO to incur the additional 20% tax under Section 409A.</w:t>
      </w:r>
    </w:p>
    <w:p>
      <w:pPr>
        <w:spacing w:after="0" w:line="18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 1.409A-1(b)(5) and 1.409A-1(b)(9). However, if the Company (or, if applicable, the successor entity thereto) determines that the Severance Benefits constitute “deferred compensation” under Section 409A and CMO is, on the termination of service, a “specified employee” of the Company or any successor entity thereto, as such term is defined in Section 409A(a)(2) (B)(i) of the Code, then, solely to the extent necessary to avoid the incurrence of the adverse personal tax consequences under Section 409A, the timing of the Severance Benefit payments shall be delayed until the earlier to occur of: (i) the date that is six months and one day after CMO’s Separation From Service, or (ii) the date of CMO’s death (such applicable date, the “</w:t>
      </w:r>
      <w:r>
        <w:rPr>
          <w:rFonts w:ascii="Times New Roman" w:cs="Times New Roman" w:eastAsia="Times New Roman" w:hAnsi="Times New Roman"/>
          <w:sz w:val="20"/>
          <w:szCs w:val="20"/>
          <w:b w:val="1"/>
          <w:bCs w:val="1"/>
          <w:i w:val="1"/>
          <w:iCs w:val="1"/>
          <w:color w:val="auto"/>
        </w:rPr>
        <w:t>Specified Employee Initial Payment Date</w:t>
      </w:r>
      <w:r>
        <w:rPr>
          <w:rFonts w:ascii="Times New Roman" w:cs="Times New Roman" w:eastAsia="Times New Roman" w:hAnsi="Times New Roman"/>
          <w:sz w:val="20"/>
          <w:szCs w:val="20"/>
          <w:color w:val="auto"/>
        </w:rPr>
        <w:t>”), the Company (or the successor entity thereto, as applicable) shall (A) pay to CMO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04" w:name="page105"/>
    <w:bookmarkEnd w:id="104"/>
    <w:p>
      <w:pPr>
        <w:jc w:val="both"/>
        <w:spacing w:after="0" w:line="249" w:lineRule="auto"/>
        <w:rPr>
          <w:sz w:val="20"/>
          <w:szCs w:val="20"/>
          <w:color w:val="auto"/>
        </w:rPr>
      </w:pPr>
      <w:r>
        <w:rPr>
          <w:rFonts w:ascii="Times New Roman" w:cs="Times New Roman" w:eastAsia="Times New Roman" w:hAnsi="Times New Roman"/>
          <w:sz w:val="20"/>
          <w:szCs w:val="20"/>
          <w:color w:val="auto"/>
        </w:rPr>
        <w:t>lump sum amount equal to the sum of the Severance Benefit payments that CMO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set forth herein, CMO shall receive the Severance Benefits described above, if and only if CMO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CMO the Severance Benefits that CMO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82" w:lineRule="exact"/>
        <w:rPr>
          <w:sz w:val="20"/>
          <w:szCs w:val="20"/>
          <w:color w:val="auto"/>
        </w:rPr>
      </w:pPr>
    </w:p>
    <w:p>
      <w:pPr>
        <w:jc w:val="both"/>
        <w:ind w:right="20" w:firstLine="656"/>
        <w:spacing w:after="0" w:line="256" w:lineRule="auto"/>
        <w:tabs>
          <w:tab w:leader="none" w:pos="1226"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CONFIDENTIAL AND PROPRIETARY INFORMATION. </w:t>
      </w:r>
      <w:r>
        <w:rPr>
          <w:rFonts w:ascii="Times New Roman" w:cs="Times New Roman" w:eastAsia="Times New Roman" w:hAnsi="Times New Roman"/>
          <w:sz w:val="20"/>
          <w:szCs w:val="20"/>
          <w:color w:val="auto"/>
        </w:rPr>
        <w:t>CMO has already executed, as a condition of CMO’s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the Company’s standard form of Proprietary Information and Inventions Agreement (the “</w:t>
      </w:r>
      <w:r>
        <w:rPr>
          <w:rFonts w:ascii="Times New Roman" w:cs="Times New Roman" w:eastAsia="Times New Roman" w:hAnsi="Times New Roman"/>
          <w:sz w:val="20"/>
          <w:szCs w:val="20"/>
          <w:b w:val="1"/>
          <w:bCs w:val="1"/>
          <w:i w:val="1"/>
          <w:iCs w:val="1"/>
          <w:color w:val="auto"/>
        </w:rPr>
        <w:t>PIIA</w:t>
      </w:r>
      <w:r>
        <w:rPr>
          <w:rFonts w:ascii="Times New Roman" w:cs="Times New Roman" w:eastAsia="Times New Roman" w:hAnsi="Times New Roman"/>
          <w:sz w:val="20"/>
          <w:szCs w:val="20"/>
          <w:color w:val="auto"/>
        </w:rPr>
        <w:t>”). The PIIA remains in full force and effect.</w:t>
      </w:r>
    </w:p>
    <w:p>
      <w:pPr>
        <w:spacing w:after="0" w:line="168"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AND BINDING EFFECT.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Agreement shall be binding upon and inure to the benefit of CMO and CMO’s heirs, executors, personal representatives, assigns, administrators and legal representatives. Because of the unique and personal nature of CMO’s duties under this Agreement, neither this Agreement nor any rights or obligations under this Agreement shall be assignable by CMO.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82"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NOTICES.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All notices or demands of any kind required or permitted to be given by the Company or CMO under this Agreement shall be given in writing and shall be personally delivered (and receipted for) or faxed during normal business hours or mailed by certified mail, return receipt requested, postage prepaid, addressed as follows: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If to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10421 Pacific Center Court, Suite 200</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San Diego, CA 92121</w:t>
      </w:r>
    </w:p>
    <w:p>
      <w:pPr>
        <w:ind w:left="660"/>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20"/>
          <w:szCs w:val="20"/>
          <w:b w:val="1"/>
          <w:bCs w:val="1"/>
          <w:color w:val="auto"/>
        </w:rPr>
        <w:t>If to CMO: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Paul Lizzul, MD</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788 Sassafrass Way</w:t>
      </w:r>
    </w:p>
    <w:p>
      <w:pPr>
        <w:ind w:left="660"/>
        <w:spacing w:after="0"/>
        <w:rPr>
          <w:sz w:val="20"/>
          <w:szCs w:val="20"/>
          <w:color w:val="auto"/>
        </w:rPr>
      </w:pPr>
      <w:r>
        <w:rPr>
          <w:rFonts w:ascii="Times New Roman" w:cs="Times New Roman" w:eastAsia="Times New Roman" w:hAnsi="Times New Roman"/>
          <w:sz w:val="20"/>
          <w:szCs w:val="20"/>
          <w:color w:val="auto"/>
        </w:rPr>
        <w:t>Oak Park, CA 91377</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170"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CHOICE OF LAW.</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Agreement shall be construed and interpreted in accordance with the internal laws of the State of California without regard to its conflict of laws principles.</w:t>
      </w:r>
    </w:p>
    <w:p>
      <w:pPr>
        <w:spacing w:after="0" w:line="155"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INTEGRATION.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This Agreement, including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and the PIIA, contains the complete, final and exclusive agreement of the Parties relating to the terms and conditions of CMO’s employment and the termination of CMO’s employment, and supersedes any and all prior and/or contemporaneous oral and written employment agreements or arrangements between the Parties.</w:t>
      </w:r>
    </w:p>
    <w:p>
      <w:pPr>
        <w:spacing w:after="0" w:line="16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AMENDMENT.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Agreement cannot be amended or modified except by a written agreement signed by CMO and the Company.</w:t>
      </w:r>
    </w:p>
    <w:p>
      <w:pPr>
        <w:spacing w:after="0" w:line="21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WAIVER.</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70"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SEVERABILITY.</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176"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INTERPRETATION; CONSTRUCTION.</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headings set forth in this Agreement are for convenience of reference only and shall not be used in interpreting this Agreement. This Agreement has been drafted by legal counsel representing the Company, but CMO has been encouraged to consult with, and has consulted with, CMO’s own independent counsel and tax advisors with respect to the terms of this Agreement. The Parties acknowledge that each Party and its counsel has reviewed and revised, or had an opportunity to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9" w:right="339" w:bottom="1440" w:gutter="0" w:footer="0" w:header="0"/>
        </w:sectPr>
      </w:pPr>
    </w:p>
    <w:bookmarkStart w:id="106" w:name="page107"/>
    <w:bookmarkEnd w:id="106"/>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and revise, this Agreement, and any rule of construction to the effect that any ambiguities are to be resolved against the drafting party shall not be employed in the interpretation of this Agreement.</w:t>
      </w:r>
    </w:p>
    <w:p>
      <w:pPr>
        <w:spacing w:after="0" w:line="155"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REPRESENTATIONS AND WARRANTIES.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CMO represents and warrants that CMO is not restricted or prohibited, contractually or otherwise, from entering into and performing each of the terms and covenants contained in this Agreement, and that CMO’s execution and performance of this Agreement will not violate or breach any other agreements between CMO and any other person or entity.</w:t>
      </w:r>
    </w:p>
    <w:p>
      <w:pPr>
        <w:spacing w:after="0" w:line="179"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20"/>
          <w:szCs w:val="20"/>
          <w:b w:val="1"/>
          <w:bCs w:val="1"/>
          <w:color w:val="auto"/>
        </w:rPr>
        <w:t>.</w:t>
      </w:r>
    </w:p>
    <w:p>
      <w:pPr>
        <w:spacing w:after="0" w:line="2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Agreement may be executed in two counterparts, each of which shall be deemed an original, all of which together shall contribute one and the same instrument.</w:t>
      </w:r>
    </w:p>
    <w:p>
      <w:pPr>
        <w:spacing w:after="0" w:line="155"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ARBITRATION.</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To ensure the rapid and economical resolution of disputes that may arise in connection with CMO’s employment with the Company, CMO and the Company agree that any and all disputes, claims, or causes of action, in law or equity, arising from or relating to CMO’s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Times New Roman" w:cs="Times New Roman" w:eastAsia="Times New Roman" w:hAnsi="Times New Roman"/>
          <w:sz w:val="20"/>
          <w:szCs w:val="20"/>
          <w:b w:val="1"/>
          <w:bCs w:val="1"/>
          <w:i w:val="1"/>
          <w:iCs w:val="1"/>
          <w:color w:val="auto"/>
        </w:rPr>
        <w:t>JAMS</w:t>
      </w:r>
      <w:r>
        <w:rPr>
          <w:rFonts w:ascii="Times New Roman" w:cs="Times New Roman" w:eastAsia="Times New Roman" w:hAnsi="Times New Roman"/>
          <w:sz w:val="20"/>
          <w:szCs w:val="20"/>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CMO and the Company hereby waive any right to a jury trial. Both CMO and the Company shall be entitled to all rights and remedies that either CMO or the Company would be entitled to pursue in a court of law. The Company shall pay any JAMS filing fee and shall pay the arbitrator’s fee. Nothing in this Agreement is intended to prevent either CMO or the Company from obtaining injunctive relief in court to prevent irreparable harm pending the conclusion of any such arbitration. Notwithstanding the foregoing, CMO and the Company each have the right to resolve any issue or dispute involving confidential, proprietary or trade secret information, or intellectual property rights, by Court action instead of arbitration.</w:t>
      </w:r>
    </w:p>
    <w:p>
      <w:pPr>
        <w:spacing w:after="0" w:line="193"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17.</w:t>
      </w:r>
      <w:r>
        <w:rPr>
          <w:sz w:val="20"/>
          <w:szCs w:val="20"/>
          <w:color w:val="auto"/>
        </w:rPr>
        <w:tab/>
      </w:r>
      <w:r>
        <w:rPr>
          <w:rFonts w:ascii="Times New Roman" w:cs="Times New Roman" w:eastAsia="Times New Roman" w:hAnsi="Times New Roman"/>
          <w:sz w:val="19"/>
          <w:szCs w:val="19"/>
          <w:b w:val="1"/>
          <w:bCs w:val="1"/>
          <w:color w:val="auto"/>
        </w:rPr>
        <w:t>TRADE SECRETS OF OTHERS.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It is the understanding of both the Company and CMO that CMO shall not divulge to the Company and/or its subsidiaries any confidential information or trade secrets belonging to others, including CMO’s former employers, nor shall the Company and/or its Affiliates seek to elicit from CMO any such information. Consistent with the foregoing, CMO shall not provide to the Company and/or its Affiliates, and the Company and/or its Affiliates shall not request, any documents or copies of documents containing such information.</w:t>
      </w:r>
    </w:p>
    <w:p>
      <w:pPr>
        <w:spacing w:after="0" w:line="176"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19"/>
          <w:szCs w:val="19"/>
          <w:b w:val="1"/>
          <w:bCs w:val="1"/>
          <w:color w:val="auto"/>
        </w:rPr>
        <w:t>ADVERTISING WAIVER.</w:t>
      </w:r>
    </w:p>
    <w:p>
      <w:pPr>
        <w:spacing w:after="0" w:line="22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CMO agrees to permit the Company, and persons or other organizations authorized by the Company, to use, publish and distribute advertising or sales promotional literature concerning the products and/or services of the Company, or the machinery and equipment used in the provision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269" w:lineRule="auto"/>
        <w:rPr>
          <w:sz w:val="20"/>
          <w:szCs w:val="20"/>
          <w:color w:val="auto"/>
        </w:rPr>
      </w:pPr>
      <w:r>
        <w:rPr>
          <w:rFonts w:ascii="Times New Roman" w:cs="Times New Roman" w:eastAsia="Times New Roman" w:hAnsi="Times New Roman"/>
          <w:sz w:val="20"/>
          <w:szCs w:val="20"/>
          <w:color w:val="auto"/>
        </w:rPr>
        <w:t>in which CMO’s name and/or pictures of CMO taken in the course of CMO’s provision of services to the Company appear. CMO hereby waives and releases any claim or right CMO may otherwise have arising out of such use, publication or distribution.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1413" w:right="35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the Agreement as of the date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00" w:lineRule="exact"/>
        <w:rPr>
          <w:sz w:val="20"/>
          <w:szCs w:val="20"/>
          <w:color w:val="auto"/>
        </w:rPr>
      </w:pPr>
    </w:p>
    <w:p>
      <w:pPr>
        <w:spacing w:after="0" w:line="22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Hamza Suria</w:t>
      </w:r>
    </w:p>
    <w:p>
      <w:pPr>
        <w:spacing w:after="0" w:line="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Name:</w:t>
        <w:tab/>
        <w:t>Hamza Suria</w:t>
      </w: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 &amp; CEO</w:t>
      </w:r>
    </w:p>
    <w:p>
      <w:pPr>
        <w:spacing w:after="0" w:line="3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19"/>
          <w:szCs w:val="19"/>
          <w:color w:val="auto"/>
        </w:rPr>
        <w:t>July 20, 2020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CMO:</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Paul Lizzul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PAUL LIZZUL, MD</w:t>
      </w:r>
    </w:p>
    <w:p>
      <w:pPr>
        <w:spacing w:after="0" w:line="30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19"/>
          <w:szCs w:val="19"/>
          <w:color w:val="auto"/>
        </w:rPr>
        <w:t>July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20"/>
          <w:szCs w:val="20"/>
          <w:b w:val="1"/>
          <w:bCs w:val="1"/>
          <w:color w:val="auto"/>
        </w:rPr>
        <w:t>[SIGNATURE PAGE TO EMPLOYMENT AGREEMENT]</w:t>
      </w:r>
    </w:p>
    <w:p>
      <w:pPr>
        <w:sectPr>
          <w:pgSz w:w="11900" w:h="16838" w:orient="portrait"/>
          <w:cols w:equalWidth="0" w:num="1">
            <w:col w:w="10139"/>
          </w:cols>
          <w:pgMar w:left="320" w:top="1409"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RELEASE AND WAIVER OF CLAIMS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SIGNED ON OR FOLLOWING THE SEPARATION DATE ONLY</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consideration of the payments and other benefits set forth in the Employment Agreement effective July 31, 2020, to which this form is attached, I, Paul Lizzul, MD, hereby furnish AnaptysBio,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with the following release and waiver (“</w:t>
      </w:r>
      <w:r>
        <w:rPr>
          <w:rFonts w:ascii="Times New Roman" w:cs="Times New Roman" w:eastAsia="Times New Roman" w:hAnsi="Times New Roman"/>
          <w:sz w:val="20"/>
          <w:szCs w:val="20"/>
          <w:b w:val="1"/>
          <w:bCs w:val="1"/>
          <w:i w:val="1"/>
          <w:iCs w:val="1"/>
          <w:color w:val="auto"/>
        </w:rPr>
        <w:t>Release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Waiver</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In exchange for the consideration provided to me by the Employment Agreement that I am not otherwise entitled to receive, I hereby generally and completely release the Company and its current and former directors, officers, employees, stockholders, partners, agents, attorneys, predecessors, successors, parent and subsidiary entities, insurers, affiliates, and assigns (collectively, the “</w:t>
      </w:r>
      <w:r>
        <w:rPr>
          <w:rFonts w:ascii="Times New Roman" w:cs="Times New Roman" w:eastAsia="Times New Roman" w:hAnsi="Times New Roman"/>
          <w:sz w:val="19"/>
          <w:szCs w:val="19"/>
          <w:b w:val="1"/>
          <w:bCs w:val="1"/>
          <w:i w:val="1"/>
          <w:iCs w:val="1"/>
          <w:color w:val="auto"/>
        </w:rPr>
        <w:t>Released Parties</w:t>
      </w:r>
      <w:r>
        <w:rPr>
          <w:rFonts w:ascii="Times New Roman" w:cs="Times New Roman" w:eastAsia="Times New Roman" w:hAnsi="Times New Roman"/>
          <w:sz w:val="19"/>
          <w:szCs w:val="19"/>
          <w:color w:val="auto"/>
        </w:rPr>
        <w:t>”) from any and all claims, liabilities and obligations, both known and unknown, that arise out of or are in any way related to events, acts, conduct, or omissions occurring prior to or on the date that I sign this Agreement (collectively, the “</w:t>
      </w:r>
      <w:r>
        <w:rPr>
          <w:rFonts w:ascii="Times New Roman" w:cs="Times New Roman" w:eastAsia="Times New Roman" w:hAnsi="Times New Roman"/>
          <w:sz w:val="19"/>
          <w:szCs w:val="19"/>
          <w:b w:val="1"/>
          <w:bCs w:val="1"/>
          <w:i w:val="1"/>
          <w:iCs w:val="1"/>
          <w:color w:val="auto"/>
        </w:rPr>
        <w:t>Released Claims</w:t>
      </w:r>
      <w:r>
        <w:rPr>
          <w:rFonts w:ascii="Times New Roman" w:cs="Times New Roman" w:eastAsia="Times New Roman" w:hAnsi="Times New Roman"/>
          <w:sz w:val="19"/>
          <w:szCs w:val="19"/>
          <w:color w:val="auto"/>
        </w:rPr>
        <w:t>”).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w:t>
      </w:r>
      <w:r>
        <w:rPr>
          <w:rFonts w:ascii="Times New Roman" w:cs="Times New Roman" w:eastAsia="Times New Roman" w:hAnsi="Times New Roman"/>
          <w:sz w:val="19"/>
          <w:szCs w:val="19"/>
          <w:b w:val="1"/>
          <w:bCs w:val="1"/>
          <w:i w:val="1"/>
          <w:iCs w:val="1"/>
          <w:color w:val="auto"/>
        </w:rPr>
        <w:t>ADEA</w:t>
      </w:r>
      <w:r>
        <w:rPr>
          <w:rFonts w:ascii="Times New Roman" w:cs="Times New Roman" w:eastAsia="Times New Roman" w:hAnsi="Times New Roman"/>
          <w:sz w:val="19"/>
          <w:szCs w:val="19"/>
          <w:color w:val="auto"/>
        </w:rPr>
        <w:t>”), the California Labor Code, and the California Fair Employment and Housing Act (as amended). Notwithstanding the foregoing, the following are not included in the Released Claims (the “</w:t>
      </w:r>
      <w:r>
        <w:rPr>
          <w:rFonts w:ascii="Times New Roman" w:cs="Times New Roman" w:eastAsia="Times New Roman" w:hAnsi="Times New Roman"/>
          <w:sz w:val="19"/>
          <w:szCs w:val="19"/>
          <w:b w:val="1"/>
          <w:bCs w:val="1"/>
          <w:i w:val="1"/>
          <w:iCs w:val="1"/>
          <w:color w:val="auto"/>
        </w:rPr>
        <w:t>Excluded Claims</w:t>
      </w:r>
      <w:r>
        <w:rPr>
          <w:rFonts w:ascii="Times New Roman" w:cs="Times New Roman" w:eastAsia="Times New Roman" w:hAnsi="Times New Roman"/>
          <w:sz w:val="19"/>
          <w:szCs w:val="19"/>
          <w:color w:val="auto"/>
        </w:rPr>
        <w:t>”): (a) any rights or claims for indemnification I may have pursuant to the charter or bylaws of the Company or under applicable law; (b) 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 also acknowledge that I have read and understand Section 1542 of the California Civil Code which reads as follows: “</w:t>
      </w:r>
      <w:r>
        <w:rPr>
          <w:rFonts w:ascii="Times New Roman" w:cs="Times New Roman" w:eastAsia="Times New Roman" w:hAnsi="Times New Roman"/>
          <w:sz w:val="20"/>
          <w:szCs w:val="20"/>
          <w:b w:val="1"/>
          <w:bCs w:val="1"/>
          <w:color w:val="auto"/>
        </w:rPr>
        <w:t>A 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release does not extend to claims which the creditor does not know or suspect to exist in his or her favor at the time of executing the release, which if known by him or her must have materially affected his or her settlement with the debtor</w:t>
      </w:r>
      <w:r>
        <w:rPr>
          <w:rFonts w:ascii="Times New Roman" w:cs="Times New Roman" w:eastAsia="Times New Roman" w:hAnsi="Times New Roman"/>
          <w:sz w:val="20"/>
          <w:szCs w:val="20"/>
          <w:color w:val="auto"/>
        </w:rPr>
        <w:t>.” I hereby expressly waive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relinquish all rights and benefits under that Section and any law of any jurisdiction, including New York, of similar effect with respect to any claims I may have against the Company.</w:t>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w:t>
      </w:r>
    </w:p>
    <w:p>
      <w:pPr>
        <w:sectPr>
          <w:pgSz w:w="11900" w:h="16838" w:orient="portrait"/>
          <w:cols w:equalWidth="0" w:num="1">
            <w:col w:w="11240"/>
          </w:cols>
          <w:pgMar w:left="320" w:top="1409" w:right="339" w:bottom="1440" w:gutter="0" w:footer="0" w:header="0"/>
        </w:sectPr>
      </w:pPr>
    </w:p>
    <w:bookmarkStart w:id="110" w:name="page111"/>
    <w:bookmarkEnd w:id="110"/>
    <w:p>
      <w:pPr>
        <w:jc w:val="both"/>
        <w:spacing w:after="0" w:line="246" w:lineRule="auto"/>
        <w:rPr>
          <w:sz w:val="20"/>
          <w:szCs w:val="20"/>
          <w:color w:val="auto"/>
        </w:rPr>
      </w:pPr>
      <w:r>
        <w:rPr>
          <w:rFonts w:ascii="Times New Roman" w:cs="Times New Roman" w:eastAsia="Times New Roman" w:hAnsi="Times New Roman"/>
          <w:sz w:val="20"/>
          <w:szCs w:val="20"/>
          <w:color w:val="auto"/>
        </w:rPr>
        <w:t>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257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-10795</wp:posOffset>
            </wp:positionV>
            <wp:extent cx="1257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PAUL LIZZUL, MD</w:t>
      </w:r>
    </w:p>
    <w:p>
      <w:pPr>
        <w:sectPr>
          <w:pgSz w:w="11900" w:h="16838" w:orient="portrait"/>
          <w:cols w:equalWidth="0" w:num="1">
            <w:col w:w="11240"/>
          </w:cols>
          <w:pgMar w:left="320" w:top="141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17"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9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180" w:right="540" w:hanging="172"/>
        <w:spacing w:after="0" w:line="282" w:lineRule="auto"/>
        <w:tabs>
          <w:tab w:leader="none" w:pos="1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 w:hanging="172"/>
        <w:spacing w:after="0" w:line="266" w:lineRule="auto"/>
        <w:tabs>
          <w:tab w:leader="none" w:pos="1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80" w:hanging="169"/>
        <w:spacing w:after="0" w:line="266" w:lineRule="auto"/>
        <w:tabs>
          <w:tab w:leader="none" w:pos="44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60" w:hanging="169"/>
        <w:spacing w:after="0" w:line="266" w:lineRule="auto"/>
        <w:tabs>
          <w:tab w:leader="none" w:pos="45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120" w:hanging="169"/>
        <w:spacing w:after="0" w:line="282" w:lineRule="auto"/>
        <w:tabs>
          <w:tab w:leader="none" w:pos="44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hanging="169"/>
        <w:spacing w:after="0" w:line="266" w:lineRule="auto"/>
        <w:tabs>
          <w:tab w:leader="none" w:pos="45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80" w:right="480" w:hanging="172"/>
        <w:spacing w:after="0" w:line="282" w:lineRule="auto"/>
        <w:tabs>
          <w:tab w:leader="none" w:pos="1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80" w:hanging="169"/>
        <w:spacing w:after="0" w:line="282" w:lineRule="auto"/>
        <w:tabs>
          <w:tab w:leader="none" w:pos="45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36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37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Hamza Suria</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141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Mulroy, certify that:</w:t>
      </w:r>
    </w:p>
    <w:p>
      <w:pPr>
        <w:spacing w:after="0" w:line="212"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57"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9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180" w:right="540" w:hanging="172"/>
        <w:spacing w:after="0" w:line="282" w:lineRule="auto"/>
        <w:tabs>
          <w:tab w:leader="none" w:pos="1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 w:hanging="172"/>
        <w:spacing w:after="0" w:line="266" w:lineRule="auto"/>
        <w:tabs>
          <w:tab w:leader="none" w:pos="1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80" w:hanging="169"/>
        <w:spacing w:after="0" w:line="266" w:lineRule="auto"/>
        <w:tabs>
          <w:tab w:leader="none" w:pos="44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60" w:hanging="169"/>
        <w:spacing w:after="0" w:line="266" w:lineRule="auto"/>
        <w:tabs>
          <w:tab w:leader="none" w:pos="45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120" w:hanging="169"/>
        <w:spacing w:after="0" w:line="282" w:lineRule="auto"/>
        <w:tabs>
          <w:tab w:leader="none" w:pos="44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hanging="169"/>
        <w:spacing w:after="0" w:line="266" w:lineRule="auto"/>
        <w:tabs>
          <w:tab w:leader="none" w:pos="45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80" w:right="480" w:hanging="172"/>
        <w:spacing w:after="0" w:line="282" w:lineRule="auto"/>
        <w:tabs>
          <w:tab w:leader="none" w:pos="1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80" w:hanging="169"/>
        <w:spacing w:after="0" w:line="282" w:lineRule="auto"/>
        <w:tabs>
          <w:tab w:leader="none" w:pos="45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3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17145</wp:posOffset>
            </wp:positionV>
            <wp:extent cx="43376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Dennis Mulroy</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1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Hamza Suria, Chief Executive Officer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AnaptysBio, Inc. (the "Company"), do hereby certify that to my knowledge:</w:t>
      </w:r>
    </w:p>
    <w:p>
      <w:pPr>
        <w:spacing w:after="0" w:line="99" w:lineRule="exact"/>
        <w:rPr>
          <w:sz w:val="20"/>
          <w:szCs w:val="20"/>
          <w:color w:val="auto"/>
        </w:rPr>
      </w:pPr>
    </w:p>
    <w:p>
      <w:pPr>
        <w:ind w:left="900" w:right="160" w:hanging="406"/>
        <w:spacing w:after="0" w:line="282" w:lineRule="auto"/>
        <w:tabs>
          <w:tab w:leader="none" w:pos="8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2020 (the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900" w:right="740" w:hanging="406"/>
        <w:spacing w:after="0" w:line="282" w:lineRule="auto"/>
        <w:tabs>
          <w:tab w:leader="none" w:pos="8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36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37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Hamza Suria</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141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Dennis Mulroy, Chief Financial Officer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AnaptysBio, Inc. (the "Company"), do hereby certify, that to my knowledge:</w:t>
      </w:r>
    </w:p>
    <w:p>
      <w:pPr>
        <w:spacing w:after="0" w:line="99" w:lineRule="exact"/>
        <w:rPr>
          <w:sz w:val="20"/>
          <w:szCs w:val="20"/>
          <w:color w:val="auto"/>
        </w:rPr>
      </w:pPr>
    </w:p>
    <w:p>
      <w:pPr>
        <w:ind w:left="900" w:right="160" w:hanging="406"/>
        <w:spacing w:after="0" w:line="282" w:lineRule="auto"/>
        <w:tabs>
          <w:tab w:leader="none" w:pos="8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2020 (the “Report”), as filed with the Securities and Exchange Commission,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900" w:right="740" w:hanging="406"/>
        <w:spacing w:after="0" w:line="282" w:lineRule="auto"/>
        <w:tabs>
          <w:tab w:leader="none" w:pos="8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36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348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Dennis Mulroy</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2"/>
    </w:lvl>
  </w:abstractNum>
  <w:abstractNum w:abstractNumId="3">
    <w:nsid w:val="6CEAF087"/>
    <w:multiLevelType w:val="hybridMultilevel"/>
    <w:lvl w:ilvl="0">
      <w:lvlJc w:val="left"/>
      <w:lvlText w:val="%1."/>
      <w:numFmt w:val="decimal"/>
      <w:start w:val="4"/>
    </w:lvl>
  </w:abstractNum>
  <w:abstractNum w:abstractNumId="4">
    <w:nsid w:val="22221A70"/>
    <w:multiLevelType w:val="hybridMultilevel"/>
    <w:lvl w:ilvl="0">
      <w:lvlJc w:val="left"/>
      <w:lvlText w:val="(%1)"/>
      <w:numFmt w:val="lowerRoman"/>
      <w:start w:val="3"/>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9"/>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2"/>
    </w:lvl>
  </w:abstractNum>
  <w:abstractNum w:abstractNumId="31">
    <w:nsid w:val="4B588F54"/>
    <w:multiLevelType w:val="hybridMultilevel"/>
    <w:lvl w:ilvl="0">
      <w:lvlJc w:val="left"/>
      <w:lvlText w:val="%1."/>
      <w:numFmt w:val="decimal"/>
      <w:start w:val="3"/>
    </w:lvl>
  </w:abstractNum>
  <w:abstractNum w:abstractNumId="32">
    <w:nsid w:val="542289EC"/>
    <w:multiLevelType w:val="hybridMultilevel"/>
    <w:lvl w:ilvl="0">
      <w:lvlJc w:val="left"/>
      <w:lvlText w:val="%1."/>
      <w:numFmt w:val="decimal"/>
      <w:start w:val="4"/>
    </w:lvl>
  </w:abstractNum>
  <w:abstractNum w:abstractNumId="33">
    <w:nsid w:val="6DE91B18"/>
    <w:multiLevelType w:val="hybridMultilevel"/>
    <w:lvl w:ilvl="0">
      <w:lvlJc w:val="left"/>
      <w:lvlText w:val="(%1)"/>
      <w:numFmt w:val="lowerRoman"/>
      <w:start w:val="1"/>
    </w:lvl>
  </w:abstractNum>
  <w:abstractNum w:abstractNumId="34">
    <w:nsid w:val="38437FDB"/>
    <w:multiLevelType w:val="hybridMultilevel"/>
    <w:lvl w:ilvl="0">
      <w:lvlJc w:val="left"/>
      <w:lvlText w:val="%1."/>
      <w:numFmt w:val="decimal"/>
      <w:start w:val="5"/>
    </w:lvl>
  </w:abstractNum>
  <w:abstractNum w:abstractNumId="35">
    <w:nsid w:val="7644A45C"/>
    <w:multiLevelType w:val="hybridMultilevel"/>
    <w:lvl w:ilvl="0">
      <w:lvlJc w:val="left"/>
      <w:lvlText w:val="%1."/>
      <w:numFmt w:val="decimal"/>
      <w:start w:val="6"/>
    </w:lvl>
  </w:abstractNum>
  <w:abstractNum w:abstractNumId="36">
    <w:nsid w:val="32FFF902"/>
    <w:multiLevelType w:val="hybridMultilevel"/>
    <w:lvl w:ilvl="0">
      <w:lvlJc w:val="left"/>
      <w:lvlText w:val="%1."/>
      <w:numFmt w:val="decimal"/>
      <w:start w:val="7"/>
    </w:lvl>
  </w:abstractNum>
  <w:abstractNum w:abstractNumId="37">
    <w:nsid w:val="684A481A"/>
    <w:multiLevelType w:val="hybridMultilevel"/>
    <w:lvl w:ilvl="0">
      <w:lvlJc w:val="left"/>
      <w:lvlText w:val="%1."/>
      <w:numFmt w:val="decimal"/>
      <w:start w:val="8"/>
    </w:lvl>
  </w:abstractNum>
  <w:abstractNum w:abstractNumId="38">
    <w:nsid w:val="579478FE"/>
    <w:multiLevelType w:val="hybridMultilevel"/>
    <w:lvl w:ilvl="0">
      <w:lvlJc w:val="left"/>
      <w:lvlText w:val="%1."/>
      <w:numFmt w:val="decimal"/>
      <w:start w:val="9"/>
    </w:lvl>
  </w:abstractNum>
  <w:abstractNum w:abstractNumId="39">
    <w:nsid w:val="749ABB43"/>
    <w:multiLevelType w:val="hybridMultilevel"/>
    <w:lvl w:ilvl="0">
      <w:lvlJc w:val="left"/>
      <w:lvlText w:val="%1."/>
      <w:numFmt w:val="decimal"/>
      <w:start w:val="10"/>
    </w:lvl>
  </w:abstractNum>
  <w:abstractNum w:abstractNumId="40">
    <w:nsid w:val="3DC240FB"/>
    <w:multiLevelType w:val="hybridMultilevel"/>
    <w:lvl w:ilvl="0">
      <w:lvlJc w:val="left"/>
      <w:lvlText w:val="%1."/>
      <w:numFmt w:val="decimal"/>
      <w:start w:val="11"/>
    </w:lvl>
  </w:abstractNum>
  <w:abstractNum w:abstractNumId="41">
    <w:nsid w:val="1BA026FA"/>
    <w:multiLevelType w:val="hybridMultilevel"/>
    <w:lvl w:ilvl="0">
      <w:lvlJc w:val="left"/>
      <w:lvlText w:val="%1."/>
      <w:numFmt w:val="decimal"/>
      <w:start w:val="12"/>
    </w:lvl>
  </w:abstractNum>
  <w:abstractNum w:abstractNumId="42">
    <w:nsid w:val="79A1DEAA"/>
    <w:multiLevelType w:val="hybridMultilevel"/>
    <w:lvl w:ilvl="0">
      <w:lvlJc w:val="left"/>
      <w:lvlText w:val="%1."/>
      <w:numFmt w:val="decimal"/>
      <w:start w:val="13"/>
    </w:lvl>
  </w:abstractNum>
  <w:abstractNum w:abstractNumId="43">
    <w:nsid w:val="75C6C33A"/>
    <w:multiLevelType w:val="hybridMultilevel"/>
    <w:lvl w:ilvl="0">
      <w:lvlJc w:val="left"/>
      <w:lvlText w:val="%1."/>
      <w:numFmt w:val="decimal"/>
      <w:start w:val="14"/>
    </w:lvl>
  </w:abstractNum>
  <w:abstractNum w:abstractNumId="44">
    <w:nsid w:val="12E685FB"/>
    <w:multiLevelType w:val="hybridMultilevel"/>
    <w:lvl w:ilvl="0">
      <w:lvlJc w:val="left"/>
      <w:lvlText w:val="%1."/>
      <w:numFmt w:val="decimal"/>
      <w:start w:val="15"/>
    </w:lvl>
  </w:abstractNum>
  <w:abstractNum w:abstractNumId="45">
    <w:nsid w:val="70C6A529"/>
    <w:multiLevelType w:val="hybridMultilevel"/>
    <w:lvl w:ilvl="0">
      <w:lvlJc w:val="left"/>
      <w:lvlText w:val="%1."/>
      <w:numFmt w:val="decimal"/>
      <w:start w:val="16"/>
    </w:lvl>
  </w:abstractNum>
  <w:abstractNum w:abstractNumId="46">
    <w:nsid w:val="520EEDD1"/>
    <w:multiLevelType w:val="hybridMultilevel"/>
    <w:lvl w:ilvl="0">
      <w:lvlJc w:val="left"/>
      <w:lvlText w:val="%1."/>
      <w:numFmt w:val="decimal"/>
      <w:start w:val="17"/>
    </w:lvl>
  </w:abstractNum>
  <w:abstractNum w:abstractNumId="47">
    <w:nsid w:val="374A3FE6"/>
    <w:multiLevelType w:val="hybridMultilevel"/>
    <w:lvl w:ilvl="0">
      <w:lvlJc w:val="left"/>
      <w:lvlText w:val="%1."/>
      <w:numFmt w:val="decimal"/>
      <w:start w:val="18"/>
    </w:lvl>
  </w:abstractNum>
  <w:abstractNum w:abstractNumId="48">
    <w:nsid w:val="4F4EF005"/>
    <w:multiLevelType w:val="hybridMultilevel"/>
    <w:lvl w:ilvl="0">
      <w:lvlJc w:val="left"/>
      <w:lvlText w:val="(%1)"/>
      <w:numFmt w:val="lowerLetter"/>
      <w:start w:val="3"/>
    </w:lvl>
  </w:abstractNum>
  <w:abstractNum w:abstractNumId="49">
    <w:nsid w:val="23F9C13C"/>
    <w:multiLevelType w:val="hybridMultilevel"/>
    <w:lvl w:ilvl="0">
      <w:lvlJc w:val="left"/>
      <w:lvlText w:val="(%1)"/>
      <w:numFmt w:val="lowerLetter"/>
      <w:start w:val="4"/>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Roman"/>
      <w:start w:val="2"/>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lowerRoman"/>
      <w:start w:val="2"/>
    </w:lvl>
  </w:abstractNum>
  <w:abstractNum w:abstractNumId="54">
    <w:nsid w:val="180115BE"/>
    <w:multiLevelType w:val="hybridMultilevel"/>
    <w:lvl w:ilvl="0">
      <w:lvlJc w:val="left"/>
      <w:lvlText w:val="(%1)"/>
      <w:numFmt w:val="lowerRoman"/>
      <w:start w:val="2"/>
    </w:lvl>
  </w:abstractNum>
  <w:abstractNum w:abstractNumId="55">
    <w:nsid w:val="235BA861"/>
    <w:multiLevelType w:val="hybridMultilevel"/>
    <w:lvl w:ilvl="0">
      <w:lvlJc w:val="left"/>
      <w:lvlText w:val="%1."/>
      <w:numFmt w:val="decimal"/>
      <w:start w:val="5"/>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2020-11-04T15:25:45Z</dcterms:created>
  <dcterms:modified xsi:type="dcterms:W3CDTF">2020-11-04T15:25:45Z</dcterms:modified>
</cp:coreProperties>
</file>