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PURSUANT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13 OR 15(d) OF THE SECURITIES EXCHANGE ACT OF 1934</w:t>
      </w:r>
    </w:p>
    <w:p>
      <w:pPr>
        <w:spacing w:after="0" w:line="2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Date of Report: June 17, 2025</w:t>
      </w:r>
    </w:p>
    <w:p>
      <w:pPr>
        <w:spacing w:after="0" w:line="1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80"/>
          </w:cols>
          <w:pgMar w:left="300" w:top="1222" w:right="319" w:bottom="1440" w:gutter="0" w:footer="0" w:header="0"/>
        </w:sectPr>
      </w:pPr>
    </w:p>
    <w:p>
      <w:pPr>
        <w:spacing w:after="0" w:line="2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20-3828755</w:t>
      </w:r>
    </w:p>
    <w:p>
      <w:pPr>
        <w:spacing w:after="0" w:line="44" w:lineRule="exact"/>
        <w:rPr>
          <w:sz w:val="24"/>
          <w:szCs w:val="24"/>
          <w:color w:val="auto"/>
        </w:rPr>
      </w:pPr>
    </w:p>
    <w:p>
      <w:pPr>
        <w:sectPr>
          <w:pgSz w:w="11900" w:h="16838" w:orient="portrait"/>
          <w:cols w:equalWidth="0" w:num="3">
            <w:col w:w="4620" w:space="720"/>
            <w:col w:w="2920" w:space="720"/>
            <w:col w:w="2300"/>
          </w:cols>
          <w:pgMar w:left="300" w:top="122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2" w:right="319" w:bottom="1440" w:gutter="0" w:footer="0" w:header="0"/>
          <w:type w:val="continuous"/>
        </w:sectPr>
      </w:pPr>
    </w:p>
    <w:p>
      <w:pPr>
        <w:spacing w:after="0" w:line="8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80"/>
          </w:cols>
          <w:pgMar w:left="300" w:top="1222" w:right="3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Written communication pursuant to Rule 425 under the Securities Act (17 CFR 230.425)</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190"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5"/>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5" w:lineRule="exact"/>
        <w:rPr>
          <w:sz w:val="24"/>
          <w:szCs w:val="24"/>
          <w:color w:val="auto"/>
        </w:rPr>
      </w:pP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17, 2025, AnaptysBio,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held its 2025 Annual Meeting of Stockholders and the following proposals were adopted:</w:t>
      </w:r>
    </w:p>
    <w:p>
      <w:pPr>
        <w:spacing w:after="0" w:line="200" w:lineRule="exact"/>
        <w:rPr>
          <w:sz w:val="20"/>
          <w:szCs w:val="20"/>
          <w:color w:val="auto"/>
        </w:rPr>
      </w:pPr>
    </w:p>
    <w:p>
      <w:pPr>
        <w:ind w:left="520" w:hanging="260"/>
        <w:spacing w:after="0" w:line="273" w:lineRule="auto"/>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three Class II directors, Rita Jain, M.D., John Orwin, and J. Anthony Ware, M.D., each to serve a three-year term, which will expire at the 2028 Annual Meeting of Stockholders or until such time as his or her respective successor has been duly elected and qualified or until such director’s earlier resignation or removal:</w:t>
      </w:r>
    </w:p>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Nominees</w:t>
            </w:r>
          </w:p>
        </w:tc>
        <w:tc>
          <w:tcPr>
            <w:tcW w:w="22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 / 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7"/>
              </w:rPr>
              <w:t>Rita Jain, M.D.</w:t>
            </w:r>
          </w:p>
        </w:tc>
        <w:tc>
          <w:tcPr>
            <w:tcW w:w="2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23,913,554</w:t>
            </w: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1,763,097</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1,589,342</w:t>
            </w:r>
          </w:p>
        </w:tc>
      </w:tr>
      <w:tr>
        <w:trPr>
          <w:trHeight w:val="209"/>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John Orwin</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21,616,016</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4,060,635</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1,589,342</w:t>
            </w:r>
          </w:p>
        </w:tc>
      </w:tr>
      <w:tr>
        <w:trPr>
          <w:trHeight w:val="216"/>
        </w:trPr>
        <w:tc>
          <w:tcPr>
            <w:tcW w:w="3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J. Anthony Ware, M.D.</w:t>
            </w:r>
          </w:p>
        </w:tc>
        <w:tc>
          <w:tcPr>
            <w:tcW w:w="2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21,035,965</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4,640,686</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1,589,342</w:t>
            </w:r>
          </w:p>
        </w:tc>
      </w:tr>
    </w:tbl>
    <w:p>
      <w:pPr>
        <w:spacing w:after="0" w:line="24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4"/>
          <w:szCs w:val="14"/>
          <w:color w:val="auto"/>
        </w:rPr>
        <w:t>Ratification of the appointment of KPMG LLP as the Company’s independent registered public accounting firm for the fiscal year ending December 31, 2025:</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27,248,166</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17,021</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4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4"/>
          <w:szCs w:val="14"/>
          <w:color w:val="auto"/>
        </w:rPr>
        <w:t>Non-binding, advisory approval of compensation paid to the Company’s named executive officers: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17,781,545</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6,590,193</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1,304,913</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1,589,342</w:t>
            </w:r>
          </w:p>
        </w:tc>
      </w:tr>
    </w:tbl>
    <w:p>
      <w:pPr>
        <w:spacing w:after="0" w:line="23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4"/>
          <w:szCs w:val="14"/>
          <w:color w:val="auto"/>
        </w:rPr>
        <w:t>Approval of the amendment and restatement of the Company's 2017 Equity Incentive Plan:</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18,017,143</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6,354,718</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1,304,790</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1,589,342</w:t>
            </w:r>
          </w:p>
        </w:tc>
      </w:tr>
    </w:tbl>
    <w:p>
      <w:pPr>
        <w:spacing w:after="0" w:line="24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4"/>
          <w:szCs w:val="14"/>
          <w:color w:val="auto"/>
        </w:rPr>
        <w:t>Non-binding advisory vote on the frequency of holding future advisory votes regarding named executive officer compensation:</w:t>
      </w:r>
    </w:p>
    <w:p>
      <w:pPr>
        <w:spacing w:after="0" w:line="30"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18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24,999,881</w:t>
            </w: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453,735</w:t>
            </w: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221,977</w:t>
            </w: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1,590,400</w:t>
            </w:r>
          </w:p>
        </w:tc>
      </w:tr>
    </w:tbl>
    <w:p>
      <w:pPr>
        <w:spacing w:after="0" w:line="2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79" w:lineRule="exact"/>
        <w:rPr>
          <w:sz w:val="20"/>
          <w:szCs w:val="20"/>
          <w:color w:val="auto"/>
        </w:rPr>
      </w:pPr>
    </w:p>
    <w:p>
      <w:pPr>
        <w:ind w:left="860" w:hanging="346"/>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3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Amended and Restated 2017 Equity Incentive Plan.</w:t>
            </w:r>
          </w:p>
        </w:tc>
        <w:tc>
          <w:tcPr>
            <w:tcW w:w="6220" w:type="dxa"/>
            <w:vAlign w:val="bottom"/>
          </w:tcPr>
          <w:p>
            <w:pPr>
              <w:spacing w:after="0"/>
              <w:rPr>
                <w:sz w:val="16"/>
                <w:szCs w:val="16"/>
                <w:color w:val="auto"/>
              </w:rPr>
            </w:pPr>
          </w:p>
        </w:tc>
      </w:tr>
      <w:tr>
        <w:trPr>
          <w:trHeight w:val="217"/>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tc>
      </w:tr>
      <w:tr>
        <w:trPr>
          <w:trHeight w:val="804"/>
        </w:trPr>
        <w:tc>
          <w:tcPr>
            <w:tcW w:w="18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AnaptysBio, Inc.</w:t>
      </w:r>
    </w:p>
    <w:p>
      <w:pPr>
        <w:spacing w:after="0" w:line="19"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16"/>
          <w:szCs w:val="16"/>
          <w:color w:val="auto"/>
        </w:rPr>
        <w:t>Date: June 17,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15875</wp:posOffset>
            </wp:positionV>
            <wp:extent cx="4123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 Eric Loumeau</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Title: Chief Legal Officer</w:t>
      </w:r>
    </w:p>
    <w:p>
      <w:pPr>
        <w:sectPr>
          <w:pgSz w:w="11900" w:h="16838" w:orient="portrait"/>
          <w:cols w:equalWidth="0" w:num="1">
            <w:col w:w="11280"/>
          </w:cols>
          <w:pgMar w:left="300" w:top="113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2025-06-17T15:09:28Z</dcterms:created>
  <dcterms:modified xsi:type="dcterms:W3CDTF">2025-06-17T15:09:28Z</dcterms:modified>
</cp:coreProperties>
</file>