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2479675</wp:posOffset>
            </wp:positionH>
            <wp:positionV relativeFrom="page">
              <wp:posOffset>620395</wp:posOffset>
            </wp:positionV>
            <wp:extent cx="2588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88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105410</wp:posOffset>
            </wp:positionV>
            <wp:extent cx="2588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132080</wp:posOffset>
            </wp:positionV>
            <wp:extent cx="2588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3380"/>
        <w:spacing w:after="0"/>
        <w:tabs>
          <w:tab w:leader="none" w:pos="666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120015</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ANAPTYSBIO,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116205</wp:posOffset>
            </wp:positionV>
            <wp:extent cx="258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80"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980" w:type="dxa"/>
            <w:vAlign w:val="bottom"/>
            <w:gridSpan w:val="2"/>
          </w:tcPr>
          <w:p>
            <w:pPr>
              <w:jc w:val="center"/>
              <w:ind w:left="1976"/>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2"/>
          </w:tcPr>
          <w:p>
            <w:pPr>
              <w:jc w:val="center"/>
              <w:ind w:right="1939"/>
              <w:spacing w:after="0"/>
              <w:rPr>
                <w:sz w:val="20"/>
                <w:szCs w:val="20"/>
                <w:color w:val="auto"/>
              </w:rPr>
            </w:pPr>
            <w:r>
              <w:rPr>
                <w:rFonts w:ascii="Arial" w:cs="Arial" w:eastAsia="Arial" w:hAnsi="Arial"/>
                <w:sz w:val="18"/>
                <w:szCs w:val="18"/>
                <w:b w:val="1"/>
                <w:bCs w:val="1"/>
                <w:color w:val="auto"/>
                <w:w w:val="91"/>
              </w:rPr>
              <w:t>20-3828755</w:t>
            </w:r>
          </w:p>
        </w:tc>
      </w:tr>
      <w:tr>
        <w:trPr>
          <w:trHeight w:val="144"/>
        </w:trPr>
        <w:tc>
          <w:tcPr>
            <w:tcW w:w="3980" w:type="dxa"/>
            <w:vAlign w:val="bottom"/>
            <w:gridSpan w:val="2"/>
          </w:tcPr>
          <w:p>
            <w:pPr>
              <w:jc w:val="center"/>
              <w:ind w:left="1976"/>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0" w:type="dxa"/>
            <w:vAlign w:val="bottom"/>
          </w:tcPr>
          <w:p>
            <w:pPr>
              <w:jc w:val="center"/>
              <w:ind w:right="219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gridSpan w:val="2"/>
          </w:tcPr>
          <w:p>
            <w:pPr>
              <w:jc w:val="center"/>
              <w:ind w:left="1976"/>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gridSpan w:val="2"/>
          </w:tcPr>
          <w:p>
            <w:pPr>
              <w:jc w:val="center"/>
              <w:ind w:right="1939"/>
              <w:spacing w:after="0"/>
              <w:rPr>
                <w:sz w:val="20"/>
                <w:szCs w:val="20"/>
                <w:color w:val="auto"/>
              </w:rPr>
            </w:pPr>
            <w:r>
              <w:rPr>
                <w:rFonts w:ascii="Arial" w:cs="Arial" w:eastAsia="Arial" w:hAnsi="Arial"/>
                <w:sz w:val="14"/>
                <w:szCs w:val="14"/>
                <w:b w:val="1"/>
                <w:bCs w:val="1"/>
                <w:color w:val="auto"/>
                <w:w w:val="96"/>
              </w:rPr>
              <w:t>Identification Number)</w:t>
            </w:r>
          </w:p>
        </w:tc>
      </w:tr>
      <w:tr>
        <w:trPr>
          <w:trHeight w:val="295"/>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10770 Wateridge Circle, Suite 210</w:t>
            </w: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2"/>
        </w:trPr>
        <w:tc>
          <w:tcPr>
            <w:tcW w:w="3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San Diego, CA 92121</w:t>
            </w:r>
          </w:p>
        </w:tc>
        <w:tc>
          <w:tcPr>
            <w:tcW w:w="26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00"/>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gridSpan w:val="2"/>
          </w:tcPr>
          <w:p>
            <w:pPr>
              <w:jc w:val="center"/>
              <w:ind w:left="102"/>
              <w:spacing w:after="0"/>
              <w:rPr>
                <w:sz w:val="20"/>
                <w:szCs w:val="20"/>
                <w:color w:val="auto"/>
              </w:rPr>
            </w:pPr>
            <w:r>
              <w:rPr>
                <w:rFonts w:ascii="Arial" w:cs="Arial" w:eastAsia="Arial" w:hAnsi="Arial"/>
                <w:sz w:val="18"/>
                <w:szCs w:val="18"/>
                <w:b w:val="1"/>
                <w:bCs w:val="1"/>
                <w:color w:val="auto"/>
                <w:w w:val="90"/>
              </w:rPr>
              <w:t>(858) 362-6295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23"/>
        </w:trPr>
        <w:tc>
          <w:tcPr>
            <w:tcW w:w="358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3600" w:type="dxa"/>
            <w:vAlign w:val="bottom"/>
          </w:tcPr>
          <w:p>
            <w:pPr>
              <w:spacing w:after="0"/>
              <w:rPr>
                <w:sz w:val="24"/>
                <w:szCs w:val="24"/>
                <w:color w:val="auto"/>
              </w:rPr>
            </w:pPr>
          </w:p>
        </w:tc>
      </w:tr>
      <w:tr>
        <w:trPr>
          <w:trHeight w:val="318"/>
        </w:trPr>
        <w:tc>
          <w:tcPr>
            <w:tcW w:w="11260" w:type="dxa"/>
            <w:vAlign w:val="bottom"/>
            <w:gridSpan w:val="7"/>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35"/>
        </w:trPr>
        <w:tc>
          <w:tcPr>
            <w:tcW w:w="398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gridSpan w:val="2"/>
          </w:tcPr>
          <w:p>
            <w:pPr>
              <w:spacing w:after="0"/>
              <w:rPr>
                <w:sz w:val="11"/>
                <w:szCs w:val="11"/>
                <w:color w:val="auto"/>
              </w:rPr>
            </w:pP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Arial" w:cs="Arial" w:eastAsia="Arial" w:hAnsi="Arial"/>
                <w:sz w:val="18"/>
                <w:szCs w:val="18"/>
                <w:color w:val="auto"/>
                <w:w w:val="88"/>
              </w:rPr>
              <w:t>Title of each class</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gridSpan w:val="2"/>
          </w:tcPr>
          <w:p>
            <w:pPr>
              <w:jc w:val="center"/>
              <w:ind w:right="259"/>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Arial" w:cs="Arial" w:eastAsia="Arial" w:hAnsi="Arial"/>
                <w:sz w:val="18"/>
                <w:szCs w:val="18"/>
                <w:color w:val="auto"/>
                <w:w w:val="89"/>
              </w:rPr>
              <w:t>Common Stock, $0.001 par value</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jc w:val="center"/>
              <w:ind w:right="519"/>
              <w:spacing w:after="0"/>
              <w:rPr>
                <w:sz w:val="20"/>
                <w:szCs w:val="20"/>
                <w:color w:val="auto"/>
              </w:rPr>
            </w:pPr>
            <w:r>
              <w:rPr>
                <w:rFonts w:ascii="Arial" w:cs="Arial" w:eastAsia="Arial" w:hAnsi="Arial"/>
                <w:sz w:val="18"/>
                <w:szCs w:val="18"/>
                <w:color w:val="auto"/>
                <w:w w:val="92"/>
              </w:rPr>
              <w:t>The Nasdaq Stock Market LLC</w:t>
            </w:r>
          </w:p>
        </w:tc>
      </w:tr>
    </w:tbl>
    <w:p>
      <w:pPr>
        <w:spacing w:after="0" w:line="80" w:lineRule="exact"/>
        <w:rPr>
          <w:sz w:val="24"/>
          <w:szCs w:val="24"/>
          <w:color w:val="auto"/>
        </w:rPr>
      </w:pPr>
    </w:p>
    <w:p>
      <w:pPr>
        <w:ind w:right="260"/>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tabs>
          <w:tab w:leader="none" w:pos="2600" w:val="left"/>
          <w:tab w:leader="none" w:pos="3360" w:val="left"/>
        </w:tabs>
        <w:rPr>
          <w:sz w:val="20"/>
          <w:szCs w:val="20"/>
          <w:color w:val="auto"/>
        </w:rPr>
      </w:pPr>
      <w:r>
        <w:rPr>
          <w:rFonts w:ascii="Arial" w:cs="Arial" w:eastAsia="Arial" w:hAnsi="Arial"/>
          <w:sz w:val="18"/>
          <w:szCs w:val="18"/>
          <w:color w:val="auto"/>
        </w:rPr>
        <w:t>requirements for the past 90 days: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320"/>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tabs>
          <w:tab w:leader="none" w:pos="580" w:val="left"/>
          <w:tab w:leader="none" w:pos="13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308"/>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90"/>
              </w:rPr>
              <w:t>☐</w:t>
            </w:r>
          </w:p>
        </w:tc>
      </w:tr>
      <w:tr>
        <w:trPr>
          <w:trHeight w:val="367"/>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520"/>
              <w:spacing w:after="0" w:line="251" w:lineRule="exact"/>
              <w:rPr>
                <w:sz w:val="20"/>
                <w:szCs w:val="20"/>
                <w:color w:val="auto"/>
              </w:rPr>
            </w:pPr>
            <w:r>
              <w:rPr>
                <w:rFonts w:ascii="MS PGothic" w:cs="MS PGothic" w:eastAsia="MS PGothic" w:hAnsi="MS PGothic"/>
                <w:sz w:val="25"/>
                <w:szCs w:val="25"/>
                <w:color w:val="auto"/>
              </w:rPr>
              <w:t>☒</w:t>
            </w:r>
          </w:p>
        </w:tc>
        <w:tc>
          <w:tcPr>
            <w:tcW w:w="498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380"/>
              <w:spacing w:after="0" w:line="251" w:lineRule="exact"/>
              <w:rPr>
                <w:sz w:val="20"/>
                <w:szCs w:val="20"/>
                <w:color w:val="auto"/>
              </w:rPr>
            </w:pPr>
            <w:r>
              <w:rPr>
                <w:rFonts w:ascii="MS PGothic" w:cs="MS PGothic" w:eastAsia="MS PGothic" w:hAnsi="MS PGothic"/>
                <w:sz w:val="25"/>
                <w:szCs w:val="25"/>
                <w:color w:val="auto"/>
                <w:w w:val="79"/>
              </w:rPr>
              <w:t>☒</w:t>
            </w:r>
          </w:p>
        </w:tc>
      </w:tr>
      <w:tr>
        <w:trPr>
          <w:trHeight w:val="338"/>
        </w:trPr>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8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90"/>
              </w:rPr>
              <w:t>☐</w:t>
            </w:r>
          </w:p>
        </w:tc>
      </w:tr>
    </w:tbl>
    <w:p>
      <w:pPr>
        <w:spacing w:after="0" w:line="60" w:lineRule="exact"/>
        <w:rPr>
          <w:sz w:val="24"/>
          <w:szCs w:val="24"/>
          <w:color w:val="auto"/>
        </w:rPr>
      </w:pPr>
    </w:p>
    <w:p>
      <w:pPr>
        <w:ind w:right="18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spacing w:after="0" w:line="288" w:lineRule="exact"/>
        <w:tabs>
          <w:tab w:leader="none" w:pos="7640" w:val="left"/>
          <w:tab w:leader="none" w:pos="8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5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August 5, 2021, there were 27,433,359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140970</wp:posOffset>
            </wp:positionV>
            <wp:extent cx="2588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2" w:name="page3"/>
    <w:bookmarkEnd w:id="2"/>
    <w:p>
      <w:pPr>
        <w:ind w:left="4860"/>
        <w:spacing w:after="0"/>
        <w:rPr>
          <w:sz w:val="20"/>
          <w:szCs w:val="20"/>
          <w:color w:val="auto"/>
        </w:rPr>
      </w:pPr>
      <w:r>
        <w:rPr>
          <w:rFonts w:ascii="Arial" w:cs="Arial" w:eastAsia="Arial" w:hAnsi="Arial"/>
          <w:sz w:val="22"/>
          <w:szCs w:val="22"/>
          <w:b w:val="1"/>
          <w:bCs w:val="1"/>
          <w:color w:val="auto"/>
        </w:rPr>
        <w:t>AnaptysBio, Inc.</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39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35" w:lineRule="exact"/>
        <w:rPr>
          <w:sz w:val="20"/>
          <w:szCs w:val="20"/>
          <w:color w:val="auto"/>
        </w:rPr>
      </w:pPr>
    </w:p>
    <w:p>
      <w:pPr>
        <w:ind w:left="80"/>
        <w:spacing w:after="0"/>
        <w:tabs>
          <w:tab w:leader="none" w:pos="1320" w:val="left"/>
        </w:tabs>
        <w:rPr>
          <w:rFonts w:ascii="Arial" w:cs="Arial" w:eastAsia="Arial" w:hAnsi="Arial"/>
          <w:sz w:val="16"/>
          <w:szCs w:val="16"/>
          <w:u w:val="single" w:color="auto"/>
          <w:color w:val="0000FF"/>
        </w:rPr>
      </w:pPr>
      <w:hyperlink w:anchor="page4">
        <w:r>
          <w:rPr>
            <w:rFonts w:ascii="Arial" w:cs="Arial" w:eastAsia="Arial" w:hAnsi="Arial"/>
            <w:sz w:val="18"/>
            <w:szCs w:val="18"/>
            <w:color w:val="0000FF"/>
          </w:rPr>
          <w:t>Item 1.</w:t>
        </w:r>
      </w:hyperlink>
      <w:r>
        <w:rPr>
          <w:rFonts w:ascii="Arial" w:cs="Arial" w:eastAsia="Arial" w:hAnsi="Arial"/>
          <w:sz w:val="18"/>
          <w:szCs w:val="18"/>
          <w:color w:val="0000FF"/>
        </w:rPr>
        <w:tab/>
      </w:r>
      <w:hyperlink w:anchor="page4">
        <w:r>
          <w:rPr>
            <w:rFonts w:ascii="Arial" w:cs="Arial" w:eastAsia="Arial" w:hAnsi="Arial"/>
            <w:sz w:val="16"/>
            <w:szCs w:val="16"/>
            <w:u w:val="single" w:color="auto"/>
            <w:color w:val="0000FF"/>
          </w:rPr>
          <w:t>Consolidated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13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Balance Sheets as of June 30, 2021 and December 31, 2020</w:t>
        </w:r>
      </w:hyperlink>
    </w:p>
    <w:p>
      <w:pPr>
        <w:spacing w:after="0" w:line="117" w:lineRule="exact"/>
        <w:rPr>
          <w:sz w:val="20"/>
          <w:szCs w:val="20"/>
          <w:color w:val="auto"/>
        </w:rPr>
      </w:pPr>
    </w:p>
    <w:p>
      <w:pPr>
        <w:ind w:left="1340"/>
        <w:spacing w:after="0" w:line="235"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Operations and Comprehensive Loss for the Three and Six Months Ended June 30, 2021</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-256540</wp:posOffset>
            </wp:positionV>
            <wp:extent cx="7115175"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316865"/>
                    </a:xfrm>
                    <a:prstGeom prst="rect">
                      <a:avLst/>
                    </a:prstGeom>
                    <a:noFill/>
                  </pic:spPr>
                </pic:pic>
              </a:graphicData>
            </a:graphic>
          </wp:anchor>
        </w:drawing>
      </w:r>
    </w:p>
    <w:p>
      <w:pPr>
        <w:spacing w:after="0" w:line="74" w:lineRule="exact"/>
        <w:rPr>
          <w:sz w:val="20"/>
          <w:szCs w:val="20"/>
          <w:color w:val="auto"/>
        </w:rPr>
      </w:pPr>
    </w:p>
    <w:p>
      <w:pPr>
        <w:ind w:left="13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Stockholders' Equity for the Three and Six Months Ended June 30, 2021</w:t>
        </w:r>
      </w:hyperlink>
    </w:p>
    <w:p>
      <w:pPr>
        <w:spacing w:after="0" w:line="117" w:lineRule="exact"/>
        <w:rPr>
          <w:sz w:val="20"/>
          <w:szCs w:val="20"/>
          <w:color w:val="auto"/>
        </w:rPr>
      </w:pPr>
    </w:p>
    <w:p>
      <w:pPr>
        <w:ind w:left="13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Stockholders’ Equity for the Three and Six Months Ended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13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 xml:space="preserve">Consolidated Statements of Cash Flows for </w:t>
        </w:r>
      </w:hyperlink>
      <w:r>
        <w:rPr>
          <w:rFonts w:ascii="Arial" w:cs="Arial" w:eastAsia="Arial" w:hAnsi="Arial"/>
          <w:sz w:val="18"/>
          <w:szCs w:val="18"/>
          <w:u w:val="single" w:color="auto"/>
          <w:color w:val="0000FF"/>
        </w:rPr>
        <w:t xml:space="preserve">the </w:t>
      </w:r>
      <w:hyperlink w:anchor="page7">
        <w:r>
          <w:rPr>
            <w:rFonts w:ascii="Arial" w:cs="Arial" w:eastAsia="Arial" w:hAnsi="Arial"/>
            <w:sz w:val="18"/>
            <w:szCs w:val="18"/>
            <w:u w:val="single" w:color="auto"/>
            <w:color w:val="0000FF"/>
          </w:rPr>
          <w:t>Six Months Ended June 30, 2021 and 2020</w:t>
        </w:r>
      </w:hyperlink>
    </w:p>
    <w:p>
      <w:pPr>
        <w:spacing w:after="0" w:line="117" w:lineRule="exact"/>
        <w:rPr>
          <w:sz w:val="20"/>
          <w:szCs w:val="20"/>
          <w:color w:val="auto"/>
        </w:rPr>
      </w:pPr>
    </w:p>
    <w:p>
      <w:pPr>
        <w:ind w:left="13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Unaudited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80"/>
        <w:spacing w:after="0"/>
        <w:tabs>
          <w:tab w:leader="none" w:pos="1320" w:val="left"/>
        </w:tabs>
        <w:rPr>
          <w:rFonts w:ascii="Arial" w:cs="Arial" w:eastAsia="Arial" w:hAnsi="Arial"/>
          <w:sz w:val="16"/>
          <w:szCs w:val="16"/>
          <w:u w:val="single" w:color="auto"/>
          <w:color w:val="0000FF"/>
        </w:rPr>
      </w:pPr>
      <w:hyperlink w:anchor="page23">
        <w:r>
          <w:rPr>
            <w:rFonts w:ascii="Arial" w:cs="Arial" w:eastAsia="Arial" w:hAnsi="Arial"/>
            <w:sz w:val="18"/>
            <w:szCs w:val="18"/>
            <w:color w:val="0000FF"/>
          </w:rPr>
          <w:t>Item 2.</w:t>
        </w:r>
      </w:hyperlink>
      <w:r>
        <w:rPr>
          <w:rFonts w:ascii="Arial" w:cs="Arial" w:eastAsia="Arial" w:hAnsi="Arial"/>
          <w:sz w:val="18"/>
          <w:szCs w:val="18"/>
          <w:color w:val="0000FF"/>
        </w:rPr>
        <w:tab/>
      </w:r>
      <w:hyperlink w:anchor="page23">
        <w:r>
          <w:rPr>
            <w:rFonts w:ascii="Arial" w:cs="Arial" w:eastAsia="Arial" w:hAnsi="Arial"/>
            <w:sz w:val="16"/>
            <w:szCs w:val="16"/>
            <w:u w:val="single" w:color="auto"/>
            <w:color w:val="0000FF"/>
          </w:rPr>
          <w:t>Management’s Discussion and Analysis of Financial Condition and Results of Operations</w:t>
        </w:r>
      </w:hyperlink>
    </w:p>
    <w:p>
      <w:pPr>
        <w:spacing w:after="0" w:line="117" w:lineRule="exact"/>
        <w:rPr>
          <w:sz w:val="20"/>
          <w:szCs w:val="20"/>
          <w:color w:val="auto"/>
        </w:rPr>
      </w:pPr>
    </w:p>
    <w:p>
      <w:pPr>
        <w:ind w:left="80"/>
        <w:spacing w:after="0"/>
        <w:tabs>
          <w:tab w:leader="none" w:pos="1320" w:val="left"/>
        </w:tabs>
        <w:rPr>
          <w:rFonts w:ascii="Arial" w:cs="Arial" w:eastAsia="Arial" w:hAnsi="Arial"/>
          <w:sz w:val="16"/>
          <w:szCs w:val="16"/>
          <w:u w:val="single" w:color="auto"/>
          <w:color w:val="0000FF"/>
        </w:rPr>
      </w:pPr>
      <w:hyperlink w:anchor="page32">
        <w:r>
          <w:rPr>
            <w:rFonts w:ascii="Arial" w:cs="Arial" w:eastAsia="Arial" w:hAnsi="Arial"/>
            <w:sz w:val="18"/>
            <w:szCs w:val="18"/>
            <w:color w:val="0000FF"/>
          </w:rPr>
          <w:t>Item 3.</w:t>
        </w:r>
      </w:hyperlink>
      <w:r>
        <w:rPr>
          <w:rFonts w:ascii="Arial" w:cs="Arial" w:eastAsia="Arial" w:hAnsi="Arial"/>
          <w:sz w:val="18"/>
          <w:szCs w:val="18"/>
          <w:color w:val="0000FF"/>
        </w:rPr>
        <w:tab/>
      </w:r>
      <w:hyperlink w:anchor="page32">
        <w:r>
          <w:rPr>
            <w:rFonts w:ascii="Arial" w:cs="Arial" w:eastAsia="Arial" w:hAnsi="Arial"/>
            <w:sz w:val="16"/>
            <w:szCs w:val="16"/>
            <w:u w:val="single" w:color="auto"/>
            <w:color w:val="0000FF"/>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80"/>
        <w:spacing w:after="0"/>
        <w:tabs>
          <w:tab w:leader="none" w:pos="1320" w:val="left"/>
        </w:tabs>
        <w:rPr>
          <w:rFonts w:ascii="Arial" w:cs="Arial" w:eastAsia="Arial" w:hAnsi="Arial"/>
          <w:sz w:val="16"/>
          <w:szCs w:val="16"/>
          <w:u w:val="single" w:color="auto"/>
          <w:color w:val="0000FF"/>
        </w:rPr>
      </w:pPr>
      <w:hyperlink w:anchor="page33">
        <w:r>
          <w:rPr>
            <w:rFonts w:ascii="Arial" w:cs="Arial" w:eastAsia="Arial" w:hAnsi="Arial"/>
            <w:sz w:val="18"/>
            <w:szCs w:val="18"/>
            <w:color w:val="0000FF"/>
          </w:rPr>
          <w:t>Item 4.</w:t>
        </w:r>
      </w:hyperlink>
      <w:r>
        <w:rPr>
          <w:rFonts w:ascii="Arial" w:cs="Arial" w:eastAsia="Arial" w:hAnsi="Arial"/>
          <w:sz w:val="18"/>
          <w:szCs w:val="18"/>
          <w:color w:val="0000FF"/>
        </w:rPr>
        <w:tab/>
      </w:r>
      <w:hyperlink w:anchor="page33">
        <w:r>
          <w:rPr>
            <w:rFonts w:ascii="Arial" w:cs="Arial" w:eastAsia="Arial" w:hAnsi="Arial"/>
            <w:sz w:val="16"/>
            <w:szCs w:val="16"/>
            <w:u w:val="single" w:color="auto"/>
            <w:color w:val="0000FF"/>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6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36830</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p>
      <w:pPr>
        <w:spacing w:after="0" w:line="293"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p>
      <w:pPr>
        <w:spacing w:after="0" w:line="542" w:lineRule="exact"/>
        <w:rPr>
          <w:sz w:val="20"/>
          <w:szCs w:val="20"/>
          <w:color w:val="auto"/>
        </w:rPr>
      </w:pPr>
    </w:p>
    <w:p>
      <w:pPr>
        <w:sectPr>
          <w:pgSz w:w="11900" w:h="16838" w:orient="portrait"/>
          <w:cols w:equalWidth="0" w:num="2">
            <w:col w:w="9740" w:space="340"/>
            <w:col w:w="1160"/>
          </w:cols>
          <w:pgMar w:left="320" w:top="895" w:right="339" w:bottom="1440" w:gutter="0" w:footer="0" w:header="0"/>
        </w:sectPr>
      </w:pPr>
    </w:p>
    <w:tbl>
      <w:tblPr>
        <w:tblLayout w:type="fixed"/>
        <w:tblInd w:w="20" w:type="dxa"/>
        <w:tblCellMar>
          <w:top w:w="0" w:type="dxa"/>
          <w:left w:w="0" w:type="dxa"/>
          <w:bottom w:w="0" w:type="dxa"/>
          <w:right w:w="0" w:type="dxa"/>
        </w:tblCellMar>
      </w:tblPr>
      <w:tr>
        <w:trPr>
          <w:trHeight w:val="250"/>
        </w:trPr>
        <w:tc>
          <w:tcPr>
            <w:tcW w:w="1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1.</w:t>
              </w:r>
            </w:hyperlink>
          </w:p>
        </w:tc>
        <w:tc>
          <w:tcPr>
            <w:tcW w:w="6740" w:type="dxa"/>
            <w:vAlign w:val="bottom"/>
            <w:gridSpan w:val="8"/>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3140" w:type="dxa"/>
            <w:vAlign w:val="bottom"/>
            <w:vMerge w:val="restart"/>
          </w:tcPr>
          <w:p>
            <w:pPr>
              <w:jc w:val="right"/>
              <w:ind w:right="47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6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1A.</w:t>
              </w:r>
            </w:hyperlink>
          </w:p>
        </w:tc>
        <w:tc>
          <w:tcPr>
            <w:tcW w:w="6740" w:type="dxa"/>
            <w:vAlign w:val="bottom"/>
            <w:gridSpan w:val="8"/>
            <w:shd w:val="clear" w:color="auto" w:fill="CCEEFF"/>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Risk Factors</w:t>
              </w:r>
            </w:hyperlink>
          </w:p>
        </w:tc>
        <w:tc>
          <w:tcPr>
            <w:tcW w:w="314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CCEEFF"/>
            </w:tcBorders>
            <w:shd w:val="clear" w:color="auto" w:fill="CCEEFF"/>
          </w:tcPr>
          <w:p>
            <w:pPr>
              <w:spacing w:after="0"/>
              <w:rPr>
                <w:sz w:val="10"/>
                <w:szCs w:val="10"/>
                <w:color w:val="auto"/>
              </w:rPr>
            </w:pPr>
          </w:p>
        </w:tc>
        <w:tc>
          <w:tcPr>
            <w:tcW w:w="238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Item 2.</w:t>
              </w:r>
            </w:hyperlink>
          </w:p>
        </w:tc>
        <w:tc>
          <w:tcPr>
            <w:tcW w:w="6740" w:type="dxa"/>
            <w:vAlign w:val="bottom"/>
            <w:gridSpan w:val="8"/>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Unregistered Sales of Equity Securities and Use of Proceeds</w:t>
              </w:r>
            </w:hyperlink>
          </w:p>
        </w:tc>
        <w:tc>
          <w:tcPr>
            <w:tcW w:w="3140" w:type="dxa"/>
            <w:vAlign w:val="bottom"/>
            <w:vMerge w:val="restart"/>
          </w:tcPr>
          <w:p>
            <w:pPr>
              <w:jc w:val="right"/>
              <w:ind w:right="470"/>
              <w:spacing w:after="0"/>
              <w:rPr>
                <w:rFonts w:ascii="Arial" w:cs="Arial" w:eastAsia="Arial" w:hAnsi="Arial"/>
                <w:sz w:val="18"/>
                <w:szCs w:val="18"/>
                <w:color w:val="0000FF"/>
              </w:rPr>
            </w:pPr>
            <w:hyperlink w:anchor="page72">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2020" w:type="dxa"/>
            <w:vAlign w:val="bottom"/>
            <w:tcBorders>
              <w:top w:val="single" w:sz="8" w:color="0000FF"/>
            </w:tcBorders>
          </w:tcPr>
          <w:p>
            <w:pPr>
              <w:spacing w:after="0"/>
              <w:rPr>
                <w:sz w:val="10"/>
                <w:szCs w:val="10"/>
                <w:color w:val="auto"/>
              </w:rPr>
            </w:pPr>
          </w:p>
        </w:tc>
        <w:tc>
          <w:tcPr>
            <w:tcW w:w="23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6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Item 3.</w:t>
              </w:r>
            </w:hyperlink>
          </w:p>
        </w:tc>
        <w:tc>
          <w:tcPr>
            <w:tcW w:w="6740" w:type="dxa"/>
            <w:vAlign w:val="bottom"/>
            <w:gridSpan w:val="8"/>
            <w:shd w:val="clear" w:color="auto" w:fill="CCEEFF"/>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Defaults Upon Senior Securities</w:t>
              </w:r>
            </w:hyperlink>
          </w:p>
        </w:tc>
        <w:tc>
          <w:tcPr>
            <w:tcW w:w="314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72">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440" w:type="dxa"/>
            <w:vAlign w:val="bottom"/>
            <w:tcBorders>
              <w:top w:val="single" w:sz="8" w:color="0000FF"/>
            </w:tcBorders>
            <w:shd w:val="clear" w:color="auto" w:fill="CCEEFF"/>
          </w:tcPr>
          <w:p>
            <w:pPr>
              <w:spacing w:after="0"/>
              <w:rPr>
                <w:sz w:val="10"/>
                <w:szCs w:val="10"/>
                <w:color w:val="auto"/>
              </w:rPr>
            </w:pPr>
          </w:p>
        </w:tc>
        <w:tc>
          <w:tcPr>
            <w:tcW w:w="560" w:type="dxa"/>
            <w:vAlign w:val="bottom"/>
            <w:tcBorders>
              <w:top w:val="single" w:sz="8" w:color="0000FF"/>
            </w:tcBorders>
            <w:shd w:val="clear" w:color="auto" w:fill="CCEEFF"/>
          </w:tcPr>
          <w:p>
            <w:pPr>
              <w:spacing w:after="0"/>
              <w:rPr>
                <w:sz w:val="10"/>
                <w:szCs w:val="10"/>
                <w:color w:val="auto"/>
              </w:rPr>
            </w:pPr>
          </w:p>
        </w:tc>
        <w:tc>
          <w:tcPr>
            <w:tcW w:w="2020" w:type="dxa"/>
            <w:vAlign w:val="bottom"/>
            <w:tcBorders>
              <w:top w:val="single" w:sz="8" w:color="CCEEFF"/>
            </w:tcBorders>
            <w:shd w:val="clear" w:color="auto" w:fill="CCEEFF"/>
          </w:tcPr>
          <w:p>
            <w:pPr>
              <w:spacing w:after="0"/>
              <w:rPr>
                <w:sz w:val="10"/>
                <w:szCs w:val="10"/>
                <w:color w:val="auto"/>
              </w:rPr>
            </w:pPr>
          </w:p>
        </w:tc>
        <w:tc>
          <w:tcPr>
            <w:tcW w:w="238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Item 4.</w:t>
              </w:r>
            </w:hyperlink>
          </w:p>
        </w:tc>
        <w:tc>
          <w:tcPr>
            <w:tcW w:w="6740" w:type="dxa"/>
            <w:vAlign w:val="bottom"/>
            <w:gridSpan w:val="8"/>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Mine Safety Disclosures</w:t>
              </w:r>
            </w:hyperlink>
          </w:p>
        </w:tc>
        <w:tc>
          <w:tcPr>
            <w:tcW w:w="3140" w:type="dxa"/>
            <w:vAlign w:val="bottom"/>
            <w:vMerge w:val="restart"/>
          </w:tcPr>
          <w:p>
            <w:pPr>
              <w:jc w:val="right"/>
              <w:ind w:right="470"/>
              <w:spacing w:after="0"/>
              <w:rPr>
                <w:rFonts w:ascii="Arial" w:cs="Arial" w:eastAsia="Arial" w:hAnsi="Arial"/>
                <w:sz w:val="18"/>
                <w:szCs w:val="18"/>
                <w:color w:val="0000FF"/>
              </w:rPr>
            </w:pPr>
            <w:hyperlink w:anchor="page72">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6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Item 5.</w:t>
              </w:r>
            </w:hyperlink>
          </w:p>
        </w:tc>
        <w:tc>
          <w:tcPr>
            <w:tcW w:w="6740" w:type="dxa"/>
            <w:vAlign w:val="bottom"/>
            <w:gridSpan w:val="8"/>
            <w:shd w:val="clear" w:color="auto" w:fill="CCEEFF"/>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Other Information</w:t>
              </w:r>
            </w:hyperlink>
          </w:p>
        </w:tc>
        <w:tc>
          <w:tcPr>
            <w:tcW w:w="314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CCEEFF"/>
            </w:tcBorders>
            <w:shd w:val="clear" w:color="auto" w:fill="CCEEFF"/>
          </w:tcPr>
          <w:p>
            <w:pPr>
              <w:spacing w:after="0"/>
              <w:rPr>
                <w:sz w:val="10"/>
                <w:szCs w:val="10"/>
                <w:color w:val="auto"/>
              </w:rPr>
            </w:pPr>
          </w:p>
        </w:tc>
        <w:tc>
          <w:tcPr>
            <w:tcW w:w="238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Item 6.</w:t>
              </w:r>
            </w:hyperlink>
          </w:p>
        </w:tc>
        <w:tc>
          <w:tcPr>
            <w:tcW w:w="6740" w:type="dxa"/>
            <w:vAlign w:val="bottom"/>
            <w:gridSpan w:val="8"/>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Exhibits</w:t>
              </w:r>
            </w:hyperlink>
          </w:p>
        </w:tc>
        <w:tc>
          <w:tcPr>
            <w:tcW w:w="3140" w:type="dxa"/>
            <w:vAlign w:val="bottom"/>
            <w:vMerge w:val="restart"/>
          </w:tcPr>
          <w:p>
            <w:pPr>
              <w:jc w:val="right"/>
              <w:ind w:right="470"/>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400" w:type="dxa"/>
            <w:vAlign w:val="bottom"/>
            <w:gridSpan w:val="4"/>
            <w:shd w:val="clear" w:color="auto" w:fill="CCEEFF"/>
          </w:tcPr>
          <w:p>
            <w:pPr>
              <w:ind w:left="136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Exhibit Index</w:t>
              </w:r>
            </w:hyperlink>
          </w:p>
        </w:tc>
        <w:tc>
          <w:tcPr>
            <w:tcW w:w="480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4040" w:type="dxa"/>
            <w:vAlign w:val="bottom"/>
            <w:tcBorders>
              <w:top w:val="single" w:sz="8" w:color="CCEEFF"/>
            </w:tcBorders>
            <w:shd w:val="clear" w:color="auto" w:fill="CCEEFF"/>
          </w:tcPr>
          <w:p>
            <w:pPr>
              <w:spacing w:after="0"/>
              <w:rPr>
                <w:sz w:val="10"/>
                <w:szCs w:val="10"/>
                <w:color w:val="auto"/>
              </w:rPr>
            </w:pPr>
          </w:p>
        </w:tc>
        <w:tc>
          <w:tcPr>
            <w:tcW w:w="4800" w:type="dxa"/>
            <w:vAlign w:val="bottom"/>
            <w:tcBorders>
              <w:top w:val="single" w:sz="8" w:color="CCEEFF"/>
            </w:tcBorders>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0" w:type="dxa"/>
            <w:vAlign w:val="bottom"/>
            <w:gridSpan w:val="4"/>
          </w:tcPr>
          <w:p>
            <w:pPr>
              <w:ind w:left="136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Signatures</w:t>
              </w:r>
            </w:hyperlink>
          </w:p>
        </w:tc>
        <w:tc>
          <w:tcPr>
            <w:tcW w:w="4800" w:type="dxa"/>
            <w:vAlign w:val="bottom"/>
            <w:vMerge w:val="restart"/>
          </w:tcPr>
          <w:p>
            <w:pPr>
              <w:jc w:val="right"/>
              <w:ind w:right="470"/>
              <w:spacing w:after="0"/>
              <w:rPr>
                <w:rFonts w:ascii="Arial" w:cs="Arial" w:eastAsia="Arial" w:hAnsi="Arial"/>
                <w:sz w:val="18"/>
                <w:szCs w:val="18"/>
                <w:color w:val="0000FF"/>
              </w:rPr>
            </w:pPr>
            <w:hyperlink w:anchor="page73">
              <w:r>
                <w:rPr>
                  <w:rFonts w:ascii="Arial" w:cs="Arial" w:eastAsia="Arial" w:hAnsi="Arial"/>
                  <w:sz w:val="18"/>
                  <w:szCs w:val="18"/>
                  <w:color w:val="0000FF"/>
                </w:rPr>
                <w:t>71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4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5"/>
        </w:trPr>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53"/>
        </w:trPr>
        <w:tc>
          <w:tcPr>
            <w:tcW w:w="7980" w:type="dxa"/>
            <w:vAlign w:val="bottom"/>
          </w:tcPr>
          <w:p>
            <w:pPr>
              <w:ind w:left="53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332,254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250,456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 from collaborative partners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143,197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396,561</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4"/>
        </w:trPr>
        <w:tc>
          <w:tcPr>
            <w:tcW w:w="79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426,569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86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operating lease liability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19,821</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980" w:type="dxa"/>
            <w:vAlign w:val="bottom"/>
          </w:tcPr>
          <w:p>
            <w:pPr>
              <w:ind w:left="20"/>
              <w:spacing w:after="0" w:line="179" w:lineRule="exact"/>
              <w:rPr>
                <w:sz w:val="20"/>
                <w:szCs w:val="20"/>
                <w:color w:val="auto"/>
              </w:rPr>
            </w:pPr>
            <w:r>
              <w:rPr>
                <w:rFonts w:ascii="Arial" w:cs="Arial" w:eastAsia="Arial" w:hAnsi="Arial"/>
                <w:sz w:val="16"/>
                <w:szCs w:val="16"/>
                <w:color w:val="auto"/>
                <w:w w:val="93"/>
              </w:rPr>
              <w:t>Preferred stock, $0.001 par value, 10,000 shares authorized and no shares, issued or outstanding at June 30, 2021 and</w:t>
            </w:r>
          </w:p>
        </w:tc>
        <w:tc>
          <w:tcPr>
            <w:tcW w:w="220" w:type="dxa"/>
            <w:vAlign w:val="bottom"/>
          </w:tcPr>
          <w:p>
            <w:pPr>
              <w:spacing w:after="0"/>
              <w:rPr>
                <w:sz w:val="15"/>
                <w:szCs w:val="15"/>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December 31, 2020, respectively</w:t>
            </w:r>
          </w:p>
        </w:tc>
        <w:tc>
          <w:tcPr>
            <w:tcW w:w="2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Common stock, $0.001 par value, 500,000 shares authorized, 27,433 shares and 27,356 shares issued and outstanding at</w:t>
            </w: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2021 and December 31, 2020, respectively</w:t>
            </w: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Additional paid in capital</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668,429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660,665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385,731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396,731</w:t>
            </w:r>
          </w:p>
        </w:tc>
        <w:tc>
          <w:tcPr>
            <w:tcW w:w="0" w:type="dxa"/>
            <w:vAlign w:val="bottom"/>
          </w:tcPr>
          <w:p>
            <w:pPr>
              <w:spacing w:after="0"/>
              <w:rPr>
                <w:sz w:val="1"/>
                <w:szCs w:val="1"/>
                <w:color w:val="auto"/>
              </w:rPr>
            </w:pPr>
          </w:p>
        </w:tc>
      </w:tr>
      <w:tr>
        <w:trPr>
          <w:trHeight w:val="207"/>
        </w:trPr>
        <w:tc>
          <w:tcPr>
            <w:tcW w:w="7980" w:type="dxa"/>
            <w:vAlign w:val="bottom"/>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426,569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30,027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41,274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19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25,314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17,948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49,499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38,916</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10,669</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8,972</w:t>
            </w:r>
          </w:p>
        </w:tc>
        <w:tc>
          <w:tcPr>
            <w:tcW w:w="0" w:type="dxa"/>
            <w:vAlign w:val="bottom"/>
          </w:tcPr>
          <w:p>
            <w:pPr>
              <w:spacing w:after="0"/>
              <w:rPr>
                <w:sz w:val="1"/>
                <w:szCs w:val="1"/>
                <w:color w:val="auto"/>
              </w:rPr>
            </w:pPr>
          </w:p>
        </w:tc>
      </w:tr>
      <w:tr>
        <w:trPr>
          <w:trHeight w:val="212"/>
        </w:trPr>
        <w:tc>
          <w:tcPr>
            <w:tcW w:w="5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30,560</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22,635</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60,168</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47,888</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(22,635)</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(18,894)</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(32,888)</w:t>
            </w:r>
          </w:p>
        </w:tc>
        <w:tc>
          <w:tcPr>
            <w:tcW w:w="0" w:type="dxa"/>
            <w:vAlign w:val="bottom"/>
          </w:tcPr>
          <w:p>
            <w:pPr>
              <w:spacing w:after="0"/>
              <w:rPr>
                <w:sz w:val="1"/>
                <w:szCs w:val="1"/>
                <w:color w:val="auto"/>
              </w:rPr>
            </w:pPr>
          </w:p>
        </w:tc>
      </w:tr>
      <w:tr>
        <w:trPr>
          <w:trHeight w:val="19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Total other income, net</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3,078</w:t>
            </w:r>
          </w:p>
        </w:tc>
        <w:tc>
          <w:tcPr>
            <w:tcW w:w="0" w:type="dxa"/>
            <w:vAlign w:val="bottom"/>
          </w:tcPr>
          <w:p>
            <w:pPr>
              <w:spacing w:after="0"/>
              <w:rPr>
                <w:sz w:val="1"/>
                <w:szCs w:val="1"/>
                <w:color w:val="auto"/>
              </w:rPr>
            </w:pPr>
          </w:p>
        </w:tc>
      </w:tr>
      <w:tr>
        <w:trPr>
          <w:trHeight w:val="213"/>
        </w:trPr>
        <w:tc>
          <w:tcPr>
            <w:tcW w:w="57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(21,548)</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(18,592)</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(29,810)</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Unrealized (loss) income on available for sale securities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(21,940)</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(18,764)</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(29,395)</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Net loss per common share:</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27,391</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27,279</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27,377</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27,271</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4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1"/>
        </w:trPr>
        <w:tc>
          <w:tcPr>
            <w:tcW w:w="4140" w:type="dxa"/>
            <w:vAlign w:val="bottom"/>
          </w:tcPr>
          <w:p>
            <w:pPr>
              <w:spacing w:after="0"/>
              <w:rPr>
                <w:sz w:val="7"/>
                <w:szCs w:val="7"/>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7"/>
                <w:szCs w:val="7"/>
                <w:color w:val="auto"/>
              </w:rPr>
            </w:pPr>
          </w:p>
        </w:tc>
        <w:tc>
          <w:tcPr>
            <w:tcW w:w="1120" w:type="dxa"/>
            <w:vAlign w:val="bottom"/>
            <w:gridSpan w:val="2"/>
          </w:tcPr>
          <w:p>
            <w:pPr>
              <w:jc w:val="center"/>
              <w:ind w:right="340"/>
              <w:spacing w:after="0" w:line="81" w:lineRule="exact"/>
              <w:rPr>
                <w:sz w:val="20"/>
                <w:szCs w:val="20"/>
                <w:color w:val="auto"/>
              </w:rPr>
            </w:pPr>
            <w:r>
              <w:rPr>
                <w:rFonts w:ascii="Arial" w:cs="Arial" w:eastAsia="Arial" w:hAnsi="Arial"/>
                <w:sz w:val="9"/>
                <w:szCs w:val="9"/>
                <w:b w:val="1"/>
                <w:bCs w:val="1"/>
                <w:color w:val="auto"/>
              </w:rPr>
              <w:t>Paid-in</w:t>
            </w:r>
          </w:p>
        </w:tc>
        <w:tc>
          <w:tcPr>
            <w:tcW w:w="120" w:type="dxa"/>
            <w:vAlign w:val="bottom"/>
          </w:tcPr>
          <w:p>
            <w:pPr>
              <w:spacing w:after="0"/>
              <w:rPr>
                <w:sz w:val="7"/>
                <w:szCs w:val="7"/>
                <w:color w:val="auto"/>
              </w:rPr>
            </w:pPr>
          </w:p>
        </w:tc>
        <w:tc>
          <w:tcPr>
            <w:tcW w:w="122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Accumulated Other</w:t>
            </w:r>
          </w:p>
        </w:tc>
        <w:tc>
          <w:tcPr>
            <w:tcW w:w="200" w:type="dxa"/>
            <w:vAlign w:val="bottom"/>
          </w:tcPr>
          <w:p>
            <w:pPr>
              <w:spacing w:after="0"/>
              <w:rPr>
                <w:sz w:val="7"/>
                <w:szCs w:val="7"/>
                <w:color w:val="auto"/>
              </w:rPr>
            </w:pPr>
          </w:p>
        </w:tc>
        <w:tc>
          <w:tcPr>
            <w:tcW w:w="1140" w:type="dxa"/>
            <w:vAlign w:val="bottom"/>
            <w:gridSpan w:val="2"/>
          </w:tcPr>
          <w:p>
            <w:pPr>
              <w:ind w:left="120"/>
              <w:spacing w:after="0" w:line="81" w:lineRule="exact"/>
              <w:rPr>
                <w:sz w:val="20"/>
                <w:szCs w:val="20"/>
                <w:color w:val="auto"/>
              </w:rPr>
            </w:pPr>
            <w:r>
              <w:rPr>
                <w:rFonts w:ascii="Arial" w:cs="Arial" w:eastAsia="Arial" w:hAnsi="Arial"/>
                <w:sz w:val="9"/>
                <w:szCs w:val="9"/>
                <w:b w:val="1"/>
                <w:bCs w:val="1"/>
                <w:color w:val="auto"/>
              </w:rPr>
              <w:t>Accumulated</w:t>
            </w:r>
          </w:p>
        </w:tc>
        <w:tc>
          <w:tcPr>
            <w:tcW w:w="200" w:type="dxa"/>
            <w:vAlign w:val="bottom"/>
          </w:tcPr>
          <w:p>
            <w:pPr>
              <w:spacing w:after="0"/>
              <w:rPr>
                <w:sz w:val="7"/>
                <w:szCs w:val="7"/>
                <w:color w:val="auto"/>
              </w:rPr>
            </w:pPr>
          </w:p>
        </w:tc>
        <w:tc>
          <w:tcPr>
            <w:tcW w:w="1040" w:type="dxa"/>
            <w:vAlign w:val="bottom"/>
          </w:tcPr>
          <w:p>
            <w:pPr>
              <w:jc w:val="center"/>
              <w:ind w:right="140"/>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Comprehensive Loss</w:t>
            </w:r>
          </w:p>
        </w:tc>
        <w:tc>
          <w:tcPr>
            <w:tcW w:w="200" w:type="dxa"/>
            <w:vAlign w:val="bottom"/>
          </w:tcPr>
          <w:p>
            <w:pPr>
              <w:spacing w:after="0"/>
              <w:rPr>
                <w:sz w:val="12"/>
                <w:szCs w:val="12"/>
                <w:color w:val="auto"/>
              </w:rPr>
            </w:pPr>
          </w:p>
        </w:tc>
        <w:tc>
          <w:tcPr>
            <w:tcW w:w="114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040" w:type="dxa"/>
            <w:vAlign w:val="bottom"/>
          </w:tcPr>
          <w:p>
            <w:pPr>
              <w:jc w:val="center"/>
              <w:ind w:right="14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14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Balance, December 31, 2020</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27,356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660,665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(263,957)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396,731</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3,315</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Comprehensive loss, net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(18,163)</w:t>
            </w:r>
          </w:p>
        </w:tc>
        <w:tc>
          <w:tcPr>
            <w:tcW w:w="0" w:type="dxa"/>
            <w:vAlign w:val="bottom"/>
          </w:tcPr>
          <w:p>
            <w:pPr>
              <w:spacing w:after="0"/>
              <w:rPr>
                <w:sz w:val="1"/>
                <w:szCs w:val="1"/>
                <w:color w:val="auto"/>
              </w:rPr>
            </w:pPr>
          </w:p>
        </w:tc>
      </w:tr>
      <w:tr>
        <w:trPr>
          <w:trHeight w:val="163"/>
        </w:trPr>
        <w:tc>
          <w:tcPr>
            <w:tcW w:w="4140" w:type="dxa"/>
            <w:vAlign w:val="bottom"/>
            <w:tcBorders>
              <w:bottom w:val="single" w:sz="8" w:color="CFF0FC"/>
            </w:tcBorders>
          </w:tcPr>
          <w:p>
            <w:pPr>
              <w:ind w:left="20"/>
              <w:spacing w:after="0" w:line="144" w:lineRule="exact"/>
              <w:rPr>
                <w:sz w:val="20"/>
                <w:szCs w:val="20"/>
                <w:color w:val="auto"/>
              </w:rPr>
            </w:pPr>
            <w:r>
              <w:rPr>
                <w:rFonts w:ascii="Arial" w:cs="Arial" w:eastAsia="Arial" w:hAnsi="Arial"/>
                <w:sz w:val="13"/>
                <w:szCs w:val="13"/>
                <w:b w:val="1"/>
                <w:bCs w:val="1"/>
                <w:color w:val="auto"/>
              </w:rPr>
              <w:t>Balance,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27,367</w:t>
            </w:r>
          </w:p>
        </w:tc>
        <w:tc>
          <w:tcPr>
            <w:tcW w:w="10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664,147</w:t>
            </w:r>
          </w:p>
        </w:tc>
        <w:tc>
          <w:tcPr>
            <w:tcW w:w="1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(282,120)</w:t>
            </w:r>
          </w:p>
        </w:tc>
        <w:tc>
          <w:tcPr>
            <w:tcW w:w="1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381,943</w:t>
            </w:r>
          </w:p>
        </w:tc>
        <w:tc>
          <w:tcPr>
            <w:tcW w:w="0" w:type="dxa"/>
            <w:vAlign w:val="bottom"/>
          </w:tcPr>
          <w:p>
            <w:pPr>
              <w:spacing w:after="0"/>
              <w:rPr>
                <w:sz w:val="1"/>
                <w:szCs w:val="1"/>
                <w:color w:val="auto"/>
              </w:rPr>
            </w:pPr>
          </w:p>
        </w:tc>
      </w:tr>
      <w:tr>
        <w:trPr>
          <w:trHeight w:val="176"/>
        </w:trPr>
        <w:tc>
          <w:tcPr>
            <w:tcW w:w="4140" w:type="dxa"/>
            <w:vAlign w:val="bottom"/>
            <w:shd w:val="clear" w:color="auto" w:fill="CFF0FC"/>
          </w:tcPr>
          <w:p>
            <w:pPr>
              <w:ind w:left="20"/>
              <w:spacing w:after="0" w:line="147" w:lineRule="exact"/>
              <w:rPr>
                <w:sz w:val="20"/>
                <w:szCs w:val="20"/>
                <w:color w:val="auto"/>
              </w:rPr>
            </w:pPr>
            <w:r>
              <w:rPr>
                <w:rFonts w:ascii="Arial" w:cs="Arial" w:eastAsia="Arial" w:hAnsi="Arial"/>
                <w:sz w:val="13"/>
                <w:szCs w:val="13"/>
                <w:color w:val="auto"/>
              </w:rPr>
              <w:t>Shares issued under employee stock plans</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3,690</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 net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9"/>
        </w:trPr>
        <w:tc>
          <w:tcPr>
            <w:tcW w:w="4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94"/>
        </w:trPr>
        <w:tc>
          <w:tcPr>
            <w:tcW w:w="41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2021</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27,433</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668,429</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(282,549)</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385,731</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Accumulated Other</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4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7"/>
                <w:szCs w:val="7"/>
                <w:color w:val="auto"/>
              </w:rPr>
            </w:pPr>
          </w:p>
        </w:tc>
        <w:tc>
          <w:tcPr>
            <w:tcW w:w="10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7"/>
                <w:szCs w:val="7"/>
                <w:color w:val="auto"/>
              </w:rPr>
            </w:pPr>
          </w:p>
        </w:tc>
        <w:tc>
          <w:tcPr>
            <w:tcW w:w="124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Comprehensive (Loss)</w:t>
            </w:r>
          </w:p>
        </w:tc>
        <w:tc>
          <w:tcPr>
            <w:tcW w:w="180" w:type="dxa"/>
            <w:vAlign w:val="bottom"/>
          </w:tcPr>
          <w:p>
            <w:pPr>
              <w:spacing w:after="0"/>
              <w:rPr>
                <w:sz w:val="7"/>
                <w:szCs w:val="7"/>
                <w:color w:val="auto"/>
              </w:rPr>
            </w:pPr>
          </w:p>
        </w:tc>
        <w:tc>
          <w:tcPr>
            <w:tcW w:w="1100" w:type="dxa"/>
            <w:vAlign w:val="bottom"/>
            <w:gridSpan w:val="2"/>
          </w:tcPr>
          <w:p>
            <w:pPr>
              <w:ind w:left="100"/>
              <w:spacing w:after="0" w:line="81" w:lineRule="exact"/>
              <w:rPr>
                <w:sz w:val="20"/>
                <w:szCs w:val="20"/>
                <w:color w:val="auto"/>
              </w:rPr>
            </w:pPr>
            <w:r>
              <w:rPr>
                <w:rFonts w:ascii="Arial" w:cs="Arial" w:eastAsia="Arial" w:hAnsi="Arial"/>
                <w:sz w:val="9"/>
                <w:szCs w:val="9"/>
                <w:b w:val="1"/>
                <w:bCs w:val="1"/>
                <w:color w:val="auto"/>
              </w:rPr>
              <w:t>Accumulated</w:t>
            </w:r>
          </w:p>
        </w:tc>
        <w:tc>
          <w:tcPr>
            <w:tcW w:w="200" w:type="dxa"/>
            <w:vAlign w:val="bottom"/>
          </w:tcPr>
          <w:p>
            <w:pPr>
              <w:spacing w:after="0"/>
              <w:rPr>
                <w:sz w:val="7"/>
                <w:szCs w:val="7"/>
                <w:color w:val="auto"/>
              </w:rPr>
            </w:pPr>
          </w:p>
        </w:tc>
        <w:tc>
          <w:tcPr>
            <w:tcW w:w="1020" w:type="dxa"/>
            <w:vAlign w:val="bottom"/>
          </w:tcPr>
          <w:p>
            <w:pPr>
              <w:jc w:val="center"/>
              <w:ind w:right="140"/>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w:t>
            </w:r>
          </w:p>
        </w:tc>
        <w:tc>
          <w:tcPr>
            <w:tcW w:w="180" w:type="dxa"/>
            <w:vAlign w:val="bottom"/>
          </w:tcPr>
          <w:p>
            <w:pPr>
              <w:spacing w:after="0"/>
              <w:rPr>
                <w:sz w:val="12"/>
                <w:szCs w:val="12"/>
                <w:color w:val="auto"/>
              </w:rPr>
            </w:pPr>
          </w:p>
        </w:tc>
        <w:tc>
          <w:tcPr>
            <w:tcW w:w="110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020" w:type="dxa"/>
            <w:vAlign w:val="bottom"/>
          </w:tcPr>
          <w:p>
            <w:pPr>
              <w:jc w:val="center"/>
              <w:ind w:right="14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416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16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Balance, December 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27,255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648,669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(244,026)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405,008</w:t>
            </w:r>
          </w:p>
        </w:tc>
        <w:tc>
          <w:tcPr>
            <w:tcW w:w="0" w:type="dxa"/>
            <w:vAlign w:val="bottom"/>
          </w:tcPr>
          <w:p>
            <w:pPr>
              <w:spacing w:after="0"/>
              <w:rPr>
                <w:sz w:val="1"/>
                <w:szCs w:val="1"/>
                <w:color w:val="auto"/>
              </w:rPr>
            </w:pP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2,975</w:t>
            </w:r>
          </w:p>
        </w:tc>
        <w:tc>
          <w:tcPr>
            <w:tcW w:w="0" w:type="dxa"/>
            <w:vAlign w:val="bottom"/>
          </w:tcPr>
          <w:p>
            <w:pPr>
              <w:spacing w:after="0"/>
              <w:rPr>
                <w:sz w:val="1"/>
                <w:szCs w:val="1"/>
                <w:color w:val="auto"/>
              </w:rPr>
            </w:pP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Comprehensive income, net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(8,262)</w:t>
            </w:r>
          </w:p>
        </w:tc>
        <w:tc>
          <w:tcPr>
            <w:tcW w:w="0" w:type="dxa"/>
            <w:vAlign w:val="bottom"/>
          </w:tcPr>
          <w:p>
            <w:pPr>
              <w:spacing w:after="0"/>
              <w:rPr>
                <w:sz w:val="1"/>
                <w:szCs w:val="1"/>
                <w:color w:val="auto"/>
              </w:rPr>
            </w:pPr>
          </w:p>
        </w:tc>
      </w:tr>
      <w:tr>
        <w:trPr>
          <w:trHeight w:val="163"/>
        </w:trPr>
        <w:tc>
          <w:tcPr>
            <w:tcW w:w="4160" w:type="dxa"/>
            <w:vAlign w:val="bottom"/>
            <w:tcBorders>
              <w:bottom w:val="single" w:sz="8" w:color="CFF0FC"/>
            </w:tcBorders>
          </w:tcPr>
          <w:p>
            <w:pPr>
              <w:ind w:left="20"/>
              <w:spacing w:after="0" w:line="144" w:lineRule="exact"/>
              <w:rPr>
                <w:sz w:val="20"/>
                <w:szCs w:val="20"/>
                <w:color w:val="auto"/>
              </w:rPr>
            </w:pPr>
            <w:r>
              <w:rPr>
                <w:rFonts w:ascii="Arial" w:cs="Arial" w:eastAsia="Arial" w:hAnsi="Arial"/>
                <w:sz w:val="13"/>
                <w:szCs w:val="13"/>
                <w:b w:val="1"/>
                <w:bCs w:val="1"/>
                <w:color w:val="auto"/>
              </w:rPr>
              <w:t>Balance, March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27,277</w:t>
            </w:r>
          </w:p>
        </w:tc>
        <w:tc>
          <w:tcPr>
            <w:tcW w:w="1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651,680</w:t>
            </w:r>
          </w:p>
        </w:tc>
        <w:tc>
          <w:tcPr>
            <w:tcW w:w="10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1,145</w:t>
            </w:r>
          </w:p>
        </w:tc>
        <w:tc>
          <w:tcPr>
            <w:tcW w:w="12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(252,288)</w:t>
            </w:r>
          </w:p>
        </w:tc>
        <w:tc>
          <w:tcPr>
            <w:tcW w:w="1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400,564</w:t>
            </w: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line="147" w:lineRule="exact"/>
              <w:rPr>
                <w:sz w:val="20"/>
                <w:szCs w:val="20"/>
                <w:color w:val="auto"/>
              </w:rPr>
            </w:pPr>
            <w:r>
              <w:rPr>
                <w:rFonts w:ascii="Arial" w:cs="Arial" w:eastAsia="Arial" w:hAnsi="Arial"/>
                <w:sz w:val="13"/>
                <w:szCs w:val="13"/>
                <w:color w:val="auto"/>
              </w:rPr>
              <w:t>Shares issued under employee stock plans</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2,741</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 net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169"/>
        </w:trPr>
        <w:tc>
          <w:tcPr>
            <w:tcW w:w="4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(21,548)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(21,548)</w:t>
            </w:r>
          </w:p>
        </w:tc>
        <w:tc>
          <w:tcPr>
            <w:tcW w:w="0" w:type="dxa"/>
            <w:vAlign w:val="bottom"/>
          </w:tcPr>
          <w:p>
            <w:pPr>
              <w:spacing w:after="0"/>
              <w:rPr>
                <w:sz w:val="1"/>
                <w:szCs w:val="1"/>
                <w:color w:val="auto"/>
              </w:rPr>
            </w:pPr>
          </w:p>
        </w:tc>
      </w:tr>
      <w:tr>
        <w:trPr>
          <w:trHeight w:val="194"/>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2020</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27,287</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654,492</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753</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(273,836)</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381,436</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99"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Six Months Ended</w:t>
      </w:r>
    </w:p>
    <w:p>
      <w:pPr>
        <w:jc w:val="center"/>
        <w:ind w:left="77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FF0FC"/>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(18,592)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(29,810)</w:t>
            </w:r>
          </w:p>
        </w:tc>
        <w:tc>
          <w:tcPr>
            <w:tcW w:w="0" w:type="dxa"/>
            <w:vAlign w:val="bottom"/>
          </w:tcPr>
          <w:p>
            <w:pPr>
              <w:spacing w:after="0"/>
              <w:rPr>
                <w:sz w:val="1"/>
                <w:szCs w:val="1"/>
                <w:color w:val="auto"/>
              </w:rPr>
            </w:pPr>
          </w:p>
        </w:tc>
      </w:tr>
      <w:tr>
        <w:trPr>
          <w:trHeight w:val="233"/>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5,716</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Accretion/amortization of investments, net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right-of-use assets – operating</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8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(8,068)</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Operating lease liabilities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3"/>
        </w:trPr>
        <w:tc>
          <w:tcPr>
            <w:tcW w:w="77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(13,613)</w:t>
            </w:r>
          </w:p>
        </w:tc>
        <w:tc>
          <w:tcPr>
            <w:tcW w:w="1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(34,722)</w:t>
            </w:r>
          </w:p>
        </w:tc>
        <w:tc>
          <w:tcPr>
            <w:tcW w:w="0" w:type="dxa"/>
            <w:vAlign w:val="bottom"/>
          </w:tcPr>
          <w:p>
            <w:pPr>
              <w:spacing w:after="0"/>
              <w:rPr>
                <w:sz w:val="1"/>
                <w:szCs w:val="1"/>
                <w:color w:val="auto"/>
              </w:rPr>
            </w:pPr>
          </w:p>
        </w:tc>
      </w:tr>
      <w:tr>
        <w:trPr>
          <w:trHeight w:val="19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investments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(9,734)</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(86,947)</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Sales and maturities of investments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105,604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173,262</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cash provided by investing activities</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94,690</w:t>
            </w:r>
          </w:p>
        </w:tc>
        <w:tc>
          <w:tcPr>
            <w:tcW w:w="1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86,145</w:t>
            </w:r>
          </w:p>
        </w:tc>
        <w:tc>
          <w:tcPr>
            <w:tcW w:w="0" w:type="dxa"/>
            <w:vAlign w:val="bottom"/>
          </w:tcPr>
          <w:p>
            <w:pPr>
              <w:spacing w:after="0"/>
              <w:rPr>
                <w:sz w:val="1"/>
                <w:szCs w:val="1"/>
                <w:color w:val="auto"/>
              </w:rPr>
            </w:pPr>
          </w:p>
        </w:tc>
      </w:tr>
      <w:tr>
        <w:trPr>
          <w:trHeight w:val="19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on notes payable</w:t>
            </w:r>
          </w:p>
        </w:tc>
        <w:tc>
          <w:tcPr>
            <w:tcW w:w="10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13"/>
        </w:trPr>
        <w:tc>
          <w:tcPr>
            <w:tcW w:w="77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increase in cash, cash equivalents, and restricted cash</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81,798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50,155</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250,516</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171,077</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040" w:type="dxa"/>
            <w:vAlign w:val="bottom"/>
            <w:tcBorders>
              <w:bottom w:val="single" w:sz="8" w:color="auto"/>
            </w:tcBorders>
            <w:shd w:val="clear" w:color="auto" w:fill="CFF0FC"/>
          </w:tcPr>
          <w:p>
            <w:pPr>
              <w:jc w:val="right"/>
              <w:ind w:right="86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332,314</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221,232</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paid</w:t>
            </w:r>
          </w:p>
        </w:tc>
        <w:tc>
          <w:tcPr>
            <w:tcW w:w="1040" w:type="dxa"/>
            <w:vAlign w:val="bottom"/>
            <w:shd w:val="clear" w:color="auto" w:fill="CFF0FC"/>
          </w:tcPr>
          <w:p>
            <w:pPr>
              <w:jc w:val="right"/>
              <w:ind w:right="86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Leased assets obtained in exchange for operating lease liabilities</w:t>
            </w:r>
          </w:p>
        </w:tc>
        <w:tc>
          <w:tcPr>
            <w:tcW w:w="1040" w:type="dxa"/>
            <w:vAlign w:val="bottom"/>
            <w:shd w:val="clear" w:color="auto" w:fill="CFF0FC"/>
          </w:tcPr>
          <w:p>
            <w:pPr>
              <w:jc w:val="right"/>
              <w:ind w:right="8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Amounts accrued for property and equipment</w:t>
            </w: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Receivable related to issuance of common stock, upon exercise of stock options</w:t>
            </w:r>
          </w:p>
        </w:tc>
        <w:tc>
          <w:tcPr>
            <w:tcW w:w="1040" w:type="dxa"/>
            <w:vAlign w:val="bottom"/>
            <w:shd w:val="clear" w:color="auto" w:fill="CFF0FC"/>
          </w:tcPr>
          <w:p>
            <w:pPr>
              <w:jc w:val="right"/>
              <w:ind w:right="8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clinical-stage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We currently generate revenue from milestones and royalties achieved under our collaborative research and development arrangements.</w:t>
      </w:r>
    </w:p>
    <w:p>
      <w:pPr>
        <w:spacing w:after="0" w:line="84" w:lineRule="exact"/>
        <w:rPr>
          <w:sz w:val="20"/>
          <w:szCs w:val="20"/>
          <w:color w:val="auto"/>
        </w:rPr>
      </w:pPr>
    </w:p>
    <w:p>
      <w:pPr>
        <w:ind w:right="20" w:firstLine="180"/>
        <w:spacing w:after="0" w:line="271" w:lineRule="auto"/>
        <w:rPr>
          <w:sz w:val="20"/>
          <w:szCs w:val="20"/>
          <w:color w:val="auto"/>
        </w:rPr>
      </w:pPr>
      <w:r>
        <w:rPr>
          <w:rFonts w:ascii="Arial" w:cs="Arial" w:eastAsia="Arial" w:hAnsi="Arial"/>
          <w:sz w:val="17"/>
          <w:szCs w:val="17"/>
          <w:color w:val="auto"/>
        </w:rPr>
        <w:t>Since our inception, we have devoted our primary effort to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The accompanying consolidated financial statements do not include any adjustments that might be necessary if we are unable to continue as a going concern.</w:t>
      </w:r>
    </w:p>
    <w:p>
      <w:pPr>
        <w:spacing w:after="0" w:line="282" w:lineRule="exact"/>
        <w:rPr>
          <w:sz w:val="20"/>
          <w:szCs w:val="20"/>
          <w:color w:val="auto"/>
        </w:rPr>
      </w:pPr>
    </w:p>
    <w:p>
      <w:pPr>
        <w:ind w:left="260" w:right="7680" w:hanging="252"/>
        <w:spacing w:after="0" w:line="378" w:lineRule="auto"/>
        <w:tabs>
          <w:tab w:leader="none" w:pos="19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445"/>
        <w:spacing w:after="0" w:line="285"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Also, certain reclassifications have been made to 2020 financial information to conform to the current year presentation of other long-term assets, operating lease right-of-use, or “ROU” asset, and operating lease liabilities on the Consolidated Balance Sheets and Consolidated Statements of Cash Flows. Operating results for the six months ended June 30, 2021 are not necessarily indicative of the results that may be expected for the year ending December 31, 2021. Interim results are not necessarily indicative of results for a full year, particularly in light of the novel coronavirus (“COVID-19”) pandemic, and its impact on domestic and global economies. To limit the spread of COVID-19, governments have taken various actions, including the issuance of stay-at-home orders and social distancing guidelines, which have resulted in some businesses suspending operations or experiencing a reduction in demand for many products from direct or ultimate customers. Accordingly, businesses have adjusted, reduced or suspended operating activities. The effects of the stay-at-home orders and our work-from-home policies may negatively impact productivity, disrupt our business, and delay our development programs and regulatory and commercialization timelines, the magnitude of which will depend, in part, on the length and severity of the restrictions and other limitations on our ability to conduct our business in the ordinary course. Our future research and development expenses and general and administrative expenses may vary significantly if we experience an increased impact from the COVID-19 pandemic on the costs and timing associated with the conduct of our clinical trials and other related business activities, to date there has not been any material delays in clinical operations. The financial statements should be read in conjunction with our audited financial statements for the year ended December 31, 2020 included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400" w:firstLine="445"/>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60" w:firstLine="445"/>
        <w:spacing w:after="0" w:line="289"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it, as well as the economic impact on local, regional, national and international markets. Our actual results could differ from these estimates under different assumptions or conditions.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We evaluate deliverables on a contract-by-contract basis to determine whether each deliverable represents a good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225" w:lineRule="exact"/>
        <w:rPr>
          <w:sz w:val="20"/>
          <w:szCs w:val="20"/>
          <w:color w:val="auto"/>
        </w:rPr>
      </w:pPr>
    </w:p>
    <w:p>
      <w:pPr>
        <w:ind w:left="660" w:right="140" w:hanging="328"/>
        <w:spacing w:after="0" w:line="30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9" w:lineRule="exact"/>
        <w:rPr>
          <w:rFonts w:ascii="Arial" w:cs="Arial" w:eastAsia="Arial" w:hAnsi="Arial"/>
          <w:sz w:val="16"/>
          <w:szCs w:val="16"/>
          <w:color w:val="auto"/>
        </w:rPr>
      </w:pPr>
    </w:p>
    <w:p>
      <w:pPr>
        <w:ind w:left="660" w:right="10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6"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40" w:firstLine="486"/>
        <w:spacing w:after="0" w:line="253" w:lineRule="auto"/>
        <w:rPr>
          <w:sz w:val="20"/>
          <w:szCs w:val="20"/>
          <w:color w:val="auto"/>
        </w:rPr>
      </w:pPr>
      <w:r>
        <w:rPr>
          <w:rFonts w:ascii="Arial" w:cs="Arial" w:eastAsia="Arial" w:hAnsi="Arial"/>
          <w:sz w:val="17"/>
          <w:szCs w:val="17"/>
          <w:color w:val="auto"/>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one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June 30, 2021, there have not been material differences between actual and estimated royalty revenues.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187"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184"/>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8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3,800</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2,838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3,624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7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Expenses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80" w:type="dxa"/>
            <w:vAlign w:val="bottom"/>
          </w:tcPr>
          <w:p>
            <w:pPr>
              <w:ind w:left="500"/>
              <w:spacing w:after="0"/>
              <w:rPr>
                <w:sz w:val="20"/>
                <w:szCs w:val="20"/>
                <w:color w:val="auto"/>
              </w:rPr>
            </w:pPr>
            <w:r>
              <w:rPr>
                <w:rFonts w:ascii="Arial" w:cs="Arial" w:eastAsia="Arial" w:hAnsi="Arial"/>
                <w:sz w:val="18"/>
                <w:szCs w:val="18"/>
                <w:color w:val="auto"/>
              </w:rPr>
              <w:t>Accrued expenses consist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7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development and manufacturing expenses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GlaxoSmithKline Collaboration</w:t>
      </w:r>
    </w:p>
    <w:p>
      <w:pPr>
        <w:spacing w:after="0" w:line="117"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antibody discovery program against an undisclosed fourth target for an upfront license fee of $2.0 million.</w:t>
      </w:r>
    </w:p>
    <w:p>
      <w:pPr>
        <w:spacing w:after="0" w:line="58"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we determined that the upfront license fees and research funding under the GSK Agreement, as amended, should be accounted for as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through December 31, 2016. As a result, the period over which the unrecognized license fees and discovery milestones were recognized was extended through December 31, 2016 and have since been recognized in full.</w:t>
      </w:r>
    </w:p>
    <w:p>
      <w:pPr>
        <w:spacing w:after="0" w:line="6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GSK’s inability to sub-license,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52" w:lineRule="exact"/>
        <w:rPr>
          <w:sz w:val="20"/>
          <w:szCs w:val="20"/>
          <w:color w:val="auto"/>
        </w:rPr>
      </w:pPr>
    </w:p>
    <w:p>
      <w:pPr>
        <w:ind w:right="180" w:firstLine="567"/>
        <w:spacing w:after="0" w:line="264" w:lineRule="auto"/>
        <w:rPr>
          <w:sz w:val="20"/>
          <w:szCs w:val="20"/>
          <w:color w:val="auto"/>
        </w:rPr>
      </w:pPr>
      <w:r>
        <w:rPr>
          <w:rFonts w:ascii="Arial" w:cs="Arial" w:eastAsia="Arial" w:hAnsi="Arial"/>
          <w:sz w:val="16"/>
          <w:szCs w:val="16"/>
          <w:color w:val="auto"/>
        </w:rPr>
        <w:t>On October 23, 2020, Amendment No. 3 to the GSK Agreement (the “Amendment”) was agreed to by both parties to permit GSK to conduct development and commercialization of Zejula, an oral, once-daily poly (ADP-ribose) polymerase (PARP) inhibitor, which has received U.S. approval for the maintenance treatment of adult patients with advanced epithelial ovarian, fallopian tube, or primary peritoneal cancer who are in a complete or partial</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response to first-line platinum-based chemotherapy, and is under development for additional cancer indications. In addition, under the Amendment, we were granted increased royalties upon sales of JEMPERLI (dostarlimab), an anti-PD-1 antagonist antibody under development by GSK for multiple oncological disorders. The Amendment also provided for a one-time, non-refundable cash payment of $60.0 million that we received and recognized as revenue in the fourth quarter of 2020. GSK also agreed, starting January 1, 2021, to pay us a 1% royalty less third-party royalty deductions on all GSK net</w:t>
      </w:r>
    </w:p>
    <w:p>
      <w:pPr>
        <w:spacing w:after="0" w:line="2"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sales of Zejula. The $1.1 billion in cash milestone payments due under the GSK Agreement remain unchanged. Additionally, under the terms of the Amendment, GSK has agreed to certain diligence commitments with respect to the future development of JEMPERLI, and the parties have agreed to review such commitments under regular joint review committee meetings going forward.</w:t>
      </w:r>
    </w:p>
    <w:p>
      <w:pPr>
        <w:spacing w:after="0" w:line="190"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57"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As of June 30, 2021, the transaction price for the GSK Agreement and Amendment includes the upfront payment, research reimbursement revenue, one-time payment associated with the Amendment, and milestones earned to date, which are allocated in their entirety to the single performance obligation.</w:t>
      </w:r>
    </w:p>
    <w:p>
      <w:pPr>
        <w:spacing w:after="0" w:line="16" w:lineRule="exact"/>
        <w:rPr>
          <w:sz w:val="20"/>
          <w:szCs w:val="20"/>
          <w:color w:val="auto"/>
        </w:rPr>
      </w:pPr>
    </w:p>
    <w:p>
      <w:pPr>
        <w:jc w:val="both"/>
        <w:ind w:right="580" w:firstLine="486"/>
        <w:spacing w:after="0" w:line="248" w:lineRule="auto"/>
        <w:rPr>
          <w:sz w:val="20"/>
          <w:szCs w:val="20"/>
          <w:color w:val="auto"/>
        </w:rPr>
      </w:pPr>
      <w:r>
        <w:rPr>
          <w:rFonts w:ascii="Arial" w:cs="Arial" w:eastAsia="Arial" w:hAnsi="Arial"/>
          <w:sz w:val="18"/>
          <w:szCs w:val="18"/>
          <w:color w:val="auto"/>
        </w:rPr>
        <w:t>We earned and recognized $1.3 million in royalty revenue during the six months ended June 30, 2021 related to GSK net sales of Zejula and JEMPERLI during the period based on estimates of GSK’s sales historical experience. GSK reports sales information to us on a one quarter lag and differences between actual and estimated royalty revenues will be adjusted in the following quarter.</w:t>
      </w:r>
    </w:p>
    <w:p>
      <w:pPr>
        <w:spacing w:after="0" w:line="74"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We earned and recognized three clinical milestones totaling $40.0 million during the six months ended June 30, 2021.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Milestones recognized through June 30, 2021 under the GSK Agreement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Anti-PD-1</w:t>
            </w:r>
          </w:p>
        </w:tc>
        <w:tc>
          <w:tcPr>
            <w:tcW w:w="2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Anti-TIM-3</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460" w:type="dxa"/>
            <w:vAlign w:val="bottom"/>
            <w:gridSpan w:val="3"/>
          </w:tcPr>
          <w:p>
            <w:pPr>
              <w:ind w:left="360"/>
              <w:spacing w:after="0"/>
              <w:rPr>
                <w:sz w:val="20"/>
                <w:szCs w:val="20"/>
                <w:color w:val="auto"/>
              </w:rPr>
            </w:pPr>
            <w:r>
              <w:rPr>
                <w:rFonts w:ascii="Arial" w:cs="Arial" w:eastAsia="Arial" w:hAnsi="Arial"/>
                <w:sz w:val="14"/>
                <w:szCs w:val="14"/>
                <w:b w:val="1"/>
                <w:bCs w:val="1"/>
                <w:color w:val="auto"/>
              </w:rPr>
              <w:t>(JEMPERLI/Dostarlimab)</w:t>
            </w:r>
          </w:p>
        </w:tc>
        <w:tc>
          <w:tcPr>
            <w:tcW w:w="2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(GSK4069889A/Cobolimab)</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(GSK40974386)</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Milestone Event</w:t>
            </w:r>
          </w:p>
        </w:tc>
        <w:tc>
          <w:tcPr>
            <w:tcW w:w="86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4"/>
              </w:rPr>
              <w:t>Amount</w:t>
            </w:r>
          </w:p>
        </w:tc>
        <w:tc>
          <w:tcPr>
            <w:tcW w:w="1500" w:type="dxa"/>
            <w:vAlign w:val="bottom"/>
          </w:tcPr>
          <w:p>
            <w:pPr>
              <w:jc w:val="center"/>
              <w:ind w:left="248"/>
              <w:spacing w:after="0" w:line="129"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1"/>
                <w:szCs w:val="11"/>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ind w:left="8"/>
              <w:spacing w:after="0" w:line="129"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1"/>
                <w:szCs w:val="11"/>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88"/>
        </w:trPr>
        <w:tc>
          <w:tcPr>
            <w:tcW w:w="3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9"/>
              </w:rPr>
              <w:t>Recognized</w:t>
            </w:r>
          </w:p>
        </w:tc>
        <w:tc>
          <w:tcPr>
            <w:tcW w:w="1120" w:type="dxa"/>
            <w:vAlign w:val="bottom"/>
            <w:vMerge w:val="continue"/>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Recognized</w:t>
            </w:r>
          </w:p>
        </w:tc>
        <w:tc>
          <w:tcPr>
            <w:tcW w:w="112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35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6"/>
              </w:rPr>
              <w:t xml:space="preserve">Initiated </w:t>
            </w:r>
            <w:r>
              <w:rPr>
                <w:rFonts w:ascii="Arial" w:cs="Arial" w:eastAsia="Arial" w:hAnsi="Arial"/>
                <w:sz w:val="14"/>
                <w:szCs w:val="14"/>
                <w:i w:val="1"/>
                <w:iCs w:val="1"/>
                <w:color w:val="auto"/>
                <w:w w:val="96"/>
              </w:rPr>
              <w:t>in vivo</w:t>
            </w:r>
            <w:r>
              <w:rPr>
                <w:rFonts w:ascii="Arial" w:cs="Arial" w:eastAsia="Arial" w:hAnsi="Arial"/>
                <w:sz w:val="14"/>
                <w:szCs w:val="14"/>
                <w:color w:val="auto"/>
                <w:w w:val="96"/>
              </w:rPr>
              <w:t xml:space="preserve"> toxicology studies using good laboratory practices</w:t>
            </w:r>
          </w:p>
        </w:tc>
        <w:tc>
          <w:tcPr>
            <w:tcW w:w="860" w:type="dxa"/>
            <w:vAlign w:val="bottom"/>
            <w:vMerge w:val="restart"/>
            <w:shd w:val="clear" w:color="auto" w:fill="CFF0FC"/>
          </w:tcPr>
          <w:p>
            <w:pPr>
              <w:jc w:val="center"/>
              <w:ind w:left="248"/>
              <w:spacing w:after="0"/>
              <w:rPr>
                <w:sz w:val="20"/>
                <w:szCs w:val="20"/>
                <w:color w:val="auto"/>
              </w:rPr>
            </w:pPr>
            <w:r>
              <w:rPr>
                <w:rFonts w:ascii="Arial" w:cs="Arial" w:eastAsia="Arial" w:hAnsi="Arial"/>
                <w:sz w:val="14"/>
                <w:szCs w:val="14"/>
                <w:color w:val="auto"/>
                <w:w w:val="97"/>
              </w:rPr>
              <w:t>$1.0M</w:t>
            </w:r>
          </w:p>
        </w:tc>
        <w:tc>
          <w:tcPr>
            <w:tcW w:w="1600" w:type="dxa"/>
            <w:vAlign w:val="bottom"/>
            <w:gridSpan w:val="2"/>
            <w:vMerge w:val="restart"/>
            <w:shd w:val="clear" w:color="auto" w:fill="CFF0FC"/>
          </w:tcPr>
          <w:p>
            <w:pPr>
              <w:jc w:val="center"/>
              <w:ind w:left="148"/>
              <w:spacing w:after="0"/>
              <w:rPr>
                <w:sz w:val="20"/>
                <w:szCs w:val="20"/>
                <w:color w:val="auto"/>
              </w:rPr>
            </w:pPr>
            <w:r>
              <w:rPr>
                <w:rFonts w:ascii="Arial" w:cs="Arial" w:eastAsia="Arial" w:hAnsi="Arial"/>
                <w:sz w:val="14"/>
                <w:szCs w:val="14"/>
                <w:color w:val="auto"/>
                <w:w w:val="91"/>
              </w:rPr>
              <w:t>Q2'15</w:t>
            </w: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340" w:type="dxa"/>
            <w:vAlign w:val="bottom"/>
            <w:gridSpan w:val="2"/>
            <w:vMerge w:val="restart"/>
            <w:shd w:val="clear" w:color="auto" w:fill="CFF0FC"/>
          </w:tcPr>
          <w:p>
            <w:pPr>
              <w:jc w:val="center"/>
              <w:ind w:right="60"/>
              <w:spacing w:after="0"/>
              <w:rPr>
                <w:sz w:val="20"/>
                <w:szCs w:val="20"/>
                <w:color w:val="auto"/>
              </w:rPr>
            </w:pPr>
            <w:r>
              <w:rPr>
                <w:rFonts w:ascii="Arial" w:cs="Arial" w:eastAsia="Arial" w:hAnsi="Arial"/>
                <w:sz w:val="14"/>
                <w:szCs w:val="14"/>
                <w:color w:val="auto"/>
                <w:w w:val="97"/>
              </w:rPr>
              <w:t>Q4'15</w:t>
            </w: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2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Q3'16</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(GLPs)</w:t>
            </w:r>
          </w:p>
        </w:tc>
        <w:tc>
          <w:tcPr>
            <w:tcW w:w="860" w:type="dxa"/>
            <w:vAlign w:val="bottom"/>
            <w:vMerge w:val="continue"/>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IND clearance from the FDA</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7"/>
              </w:rPr>
              <w:t>$4.0M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Q1'16</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Q2'16</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220" w:type="dxa"/>
            <w:vAlign w:val="bottom"/>
          </w:tcPr>
          <w:p>
            <w:pPr>
              <w:jc w:val="center"/>
              <w:spacing w:after="0"/>
              <w:rPr>
                <w:sz w:val="20"/>
                <w:szCs w:val="20"/>
                <w:color w:val="auto"/>
              </w:rPr>
            </w:pPr>
            <w:r>
              <w:rPr>
                <w:rFonts w:ascii="Arial" w:cs="Arial" w:eastAsia="Arial" w:hAnsi="Arial"/>
                <w:sz w:val="14"/>
                <w:szCs w:val="14"/>
                <w:color w:val="auto"/>
                <w:w w:val="97"/>
              </w:rPr>
              <w:t>Q2'17</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2 clinical trial initiation</w:t>
            </w:r>
          </w:p>
        </w:tc>
        <w:tc>
          <w:tcPr>
            <w:tcW w:w="8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$3.0M</w:t>
            </w:r>
          </w:p>
        </w:tc>
        <w:tc>
          <w:tcPr>
            <w:tcW w:w="160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w w:val="91"/>
              </w:rPr>
              <w:t>Q2'17</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34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7"/>
              </w:rPr>
              <w:t>Q4'17</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Q4'19</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Phase 3 clinical trial initiation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Q3'18</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3 clinical trial initiation - second indication</w:t>
            </w:r>
          </w:p>
        </w:tc>
        <w:tc>
          <w:tcPr>
            <w:tcW w:w="8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w w:val="91"/>
              </w:rPr>
              <w:t>Q2'19</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Filing of the first BLA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Q1'20</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Filing of the first MAA - first indication</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1"/>
              </w:rPr>
              <w:t>Q1'20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Filing of the first BLA - second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Q1'21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BLA approval - first indication</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8"/>
              </w:rPr>
              <w:t>$20.0M</w:t>
            </w:r>
          </w:p>
        </w:tc>
        <w:tc>
          <w:tcPr>
            <w:tcW w:w="16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1"/>
              </w:rPr>
              <w:t>Q2'21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940" w:type="dxa"/>
            <w:vAlign w:val="bottom"/>
          </w:tcPr>
          <w:p>
            <w:pPr>
              <w:ind w:left="20"/>
              <w:spacing w:after="0"/>
              <w:rPr>
                <w:sz w:val="20"/>
                <w:szCs w:val="20"/>
                <w:color w:val="auto"/>
              </w:rPr>
            </w:pPr>
            <w:r>
              <w:rPr>
                <w:rFonts w:ascii="Arial" w:cs="Arial" w:eastAsia="Arial" w:hAnsi="Arial"/>
                <w:sz w:val="14"/>
                <w:szCs w:val="14"/>
                <w:color w:val="auto"/>
              </w:rPr>
              <w:t>First MAA approval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Q2'21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57" w:lineRule="exact"/>
        <w:rPr>
          <w:sz w:val="20"/>
          <w:szCs w:val="20"/>
          <w:color w:val="auto"/>
        </w:rPr>
      </w:pPr>
    </w:p>
    <w:p>
      <w:pPr>
        <w:ind w:right="700" w:firstLine="445"/>
        <w:spacing w:after="0" w:line="261" w:lineRule="auto"/>
        <w:rPr>
          <w:sz w:val="20"/>
          <w:szCs w:val="20"/>
          <w:color w:val="auto"/>
        </w:rPr>
      </w:pPr>
      <w:r>
        <w:rPr>
          <w:rFonts w:ascii="Arial" w:cs="Arial" w:eastAsia="Arial" w:hAnsi="Arial"/>
          <w:sz w:val="18"/>
          <w:szCs w:val="18"/>
          <w:color w:val="auto"/>
        </w:rPr>
        <w:t>We recognized $30.0 million and $41.3 million in revenue under the GSK Agreement during the three and six months ended June 30, 2021, respectively, and $0 and $15.0 million during the three and six months ended June 30, 2020, respectively.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60" w:firstLine="567"/>
        <w:spacing w:after="0" w:line="241"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81" w:lineRule="exact"/>
        <w:rPr>
          <w:sz w:val="20"/>
          <w:szCs w:val="20"/>
          <w:color w:val="auto"/>
        </w:rPr>
      </w:pPr>
    </w:p>
    <w:p>
      <w:pPr>
        <w:jc w:val="both"/>
        <w:ind w:right="640" w:firstLine="445"/>
        <w:spacing w:after="0" w:line="263"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76"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BMS, is a customer. We identified the following material promises under the BMS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BMS, BMS’s inability to sub-license the four targets,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57" w:lineRule="exact"/>
        <w:rPr>
          <w:sz w:val="20"/>
          <w:szCs w:val="20"/>
          <w:color w:val="auto"/>
        </w:rPr>
      </w:pPr>
    </w:p>
    <w:p>
      <w:pPr>
        <w:ind w:right="160" w:firstLine="445"/>
        <w:spacing w:after="0" w:line="296" w:lineRule="auto"/>
        <w:rPr>
          <w:sz w:val="20"/>
          <w:szCs w:val="20"/>
          <w:color w:val="auto"/>
        </w:rPr>
      </w:pPr>
      <w:r>
        <w:rPr>
          <w:rFonts w:ascii="Arial" w:cs="Arial" w:eastAsia="Arial" w:hAnsi="Arial"/>
          <w:sz w:val="16"/>
          <w:szCs w:val="16"/>
          <w:color w:val="auto"/>
        </w:rPr>
        <w:t>As of June 30, 2021, the transaction price of the BMS Agreement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BMS’s efforts. Any consideration related to sales-based milestones, including royalties, will be recognized when the related sales occur as they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9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determined to relate predominantly to the intellectual property license granted to BMS and therefore have also been excluded from the transaction price. We will re-evaluate the transaction price in each reporting period and as uncertain events are resolved or other changes in circumstances occur.</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Milestones achieved through June 30, 2021 under the BMS Agreement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4900" w:type="dxa"/>
            <w:vAlign w:val="bottom"/>
            <w:gridSpan w:val="2"/>
          </w:tcPr>
          <w:p>
            <w:pPr>
              <w:jc w:val="center"/>
              <w:ind w:left="2548"/>
              <w:spacing w:after="0"/>
              <w:rPr>
                <w:sz w:val="20"/>
                <w:szCs w:val="20"/>
                <w:color w:val="auto"/>
              </w:rPr>
            </w:pPr>
            <w:r>
              <w:rPr>
                <w:rFonts w:ascii="Arial" w:cs="Arial" w:eastAsia="Arial" w:hAnsi="Arial"/>
                <w:sz w:val="14"/>
                <w:szCs w:val="14"/>
                <w:b w:val="1"/>
                <w:bCs w:val="1"/>
                <w:color w:val="auto"/>
              </w:rPr>
              <w:t>Anti-PD-1</w:t>
            </w:r>
          </w:p>
        </w:tc>
        <w:tc>
          <w:tcPr>
            <w:tcW w:w="0" w:type="dxa"/>
            <w:vAlign w:val="bottom"/>
          </w:tcPr>
          <w:p>
            <w:pPr>
              <w:spacing w:after="0"/>
              <w:rPr>
                <w:sz w:val="1"/>
                <w:szCs w:val="1"/>
                <w:color w:val="auto"/>
              </w:rPr>
            </w:pPr>
          </w:p>
        </w:tc>
      </w:tr>
      <w:tr>
        <w:trPr>
          <w:trHeight w:val="188"/>
        </w:trPr>
        <w:tc>
          <w:tcPr>
            <w:tcW w:w="634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2"/>
          </w:tcPr>
          <w:p>
            <w:pPr>
              <w:jc w:val="center"/>
              <w:ind w:left="2568"/>
              <w:spacing w:after="0"/>
              <w:rPr>
                <w:sz w:val="20"/>
                <w:szCs w:val="20"/>
                <w:color w:val="auto"/>
              </w:rPr>
            </w:pPr>
            <w:r>
              <w:rPr>
                <w:rFonts w:ascii="Arial" w:cs="Arial" w:eastAsia="Arial" w:hAnsi="Arial"/>
                <w:sz w:val="14"/>
                <w:szCs w:val="14"/>
                <w:b w:val="1"/>
                <w:bCs w:val="1"/>
                <w:color w:val="auto"/>
                <w:w w:val="95"/>
              </w:rPr>
              <w:t>(CC-90006)</w:t>
            </w:r>
          </w:p>
        </w:tc>
        <w:tc>
          <w:tcPr>
            <w:tcW w:w="0" w:type="dxa"/>
            <w:vAlign w:val="bottom"/>
          </w:tcPr>
          <w:p>
            <w:pPr>
              <w:spacing w:after="0"/>
              <w:rPr>
                <w:sz w:val="1"/>
                <w:szCs w:val="1"/>
                <w:color w:val="auto"/>
              </w:rPr>
            </w:pPr>
          </w:p>
        </w:tc>
      </w:tr>
      <w:tr>
        <w:trPr>
          <w:trHeight w:val="130"/>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Milestone Event</w:t>
            </w:r>
          </w:p>
        </w:tc>
        <w:tc>
          <w:tcPr>
            <w:tcW w:w="3760" w:type="dxa"/>
            <w:vAlign w:val="bottom"/>
            <w:vMerge w:val="restart"/>
          </w:tcPr>
          <w:p>
            <w:pPr>
              <w:jc w:val="center"/>
              <w:ind w:left="2668"/>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tcPr>
          <w:p>
            <w:pPr>
              <w:jc w:val="center"/>
              <w:ind w:left="8"/>
              <w:spacing w:after="0" w:line="130"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114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406"/>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760" w:type="dxa"/>
            <w:vAlign w:val="bottom"/>
            <w:shd w:val="clear" w:color="auto" w:fill="CFF0FC"/>
          </w:tcPr>
          <w:p>
            <w:pPr>
              <w:jc w:val="center"/>
              <w:ind w:left="2668"/>
              <w:spacing w:after="0"/>
              <w:rPr>
                <w:sz w:val="20"/>
                <w:szCs w:val="20"/>
                <w:color w:val="auto"/>
              </w:rPr>
            </w:pPr>
            <w:r>
              <w:rPr>
                <w:rFonts w:ascii="Arial" w:cs="Arial" w:eastAsia="Arial" w:hAnsi="Arial"/>
                <w:sz w:val="14"/>
                <w:szCs w:val="14"/>
                <w:color w:val="auto"/>
                <w:w w:val="97"/>
              </w:rPr>
              <w:t>$0.5M</w:t>
            </w:r>
          </w:p>
        </w:tc>
        <w:tc>
          <w:tcPr>
            <w:tcW w:w="114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1"/>
              </w:rPr>
              <w:t>Q2'16</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Arial" w:cs="Arial" w:eastAsia="Arial" w:hAnsi="Arial"/>
                <w:sz w:val="14"/>
                <w:szCs w:val="14"/>
                <w:color w:val="auto"/>
              </w:rPr>
              <w:t>Phase 1 clinical trial initiation</w:t>
            </w:r>
          </w:p>
        </w:tc>
        <w:tc>
          <w:tcPr>
            <w:tcW w:w="3760" w:type="dxa"/>
            <w:vAlign w:val="bottom"/>
          </w:tcPr>
          <w:p>
            <w:pPr>
              <w:jc w:val="center"/>
              <w:ind w:left="2668"/>
              <w:spacing w:after="0"/>
              <w:rPr>
                <w:sz w:val="20"/>
                <w:szCs w:val="20"/>
                <w:color w:val="auto"/>
              </w:rPr>
            </w:pPr>
            <w:r>
              <w:rPr>
                <w:rFonts w:ascii="Arial" w:cs="Arial" w:eastAsia="Arial" w:hAnsi="Arial"/>
                <w:sz w:val="14"/>
                <w:szCs w:val="14"/>
                <w:color w:val="auto"/>
                <w:w w:val="97"/>
              </w:rPr>
              <w:t>$1.0M</w:t>
            </w:r>
          </w:p>
        </w:tc>
        <w:tc>
          <w:tcPr>
            <w:tcW w:w="1140" w:type="dxa"/>
            <w:vAlign w:val="bottom"/>
          </w:tcPr>
          <w:p>
            <w:pPr>
              <w:jc w:val="center"/>
              <w:ind w:left="8"/>
              <w:spacing w:after="0"/>
              <w:rPr>
                <w:sz w:val="20"/>
                <w:szCs w:val="20"/>
                <w:color w:val="auto"/>
              </w:rPr>
            </w:pPr>
            <w:r>
              <w:rPr>
                <w:rFonts w:ascii="Arial" w:cs="Arial" w:eastAsia="Arial" w:hAnsi="Arial"/>
                <w:sz w:val="14"/>
                <w:szCs w:val="14"/>
                <w:color w:val="auto"/>
                <w:w w:val="91"/>
              </w:rPr>
              <w:t>Q4'16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revenue recognized under this agreement during the three and six months ended June 30, 2021 and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 and Available for Sale Investments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Our financial instruments consist principally of cash, cash equivalents, restricted cash,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7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Quoted Market</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8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Prices for</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8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shd w:val="clear" w:color="auto" w:fill="CFF0FC"/>
          </w:tcPr>
          <w:p>
            <w:pPr>
              <w:spacing w:after="0"/>
              <w:rPr>
                <w:sz w:val="15"/>
                <w:szCs w:val="15"/>
                <w:color w:val="auto"/>
              </w:rPr>
            </w:pPr>
          </w:p>
        </w:tc>
        <w:tc>
          <w:tcPr>
            <w:tcW w:w="4840" w:type="dxa"/>
            <w:vAlign w:val="bottom"/>
            <w:tcBorders>
              <w:top w:val="single" w:sz="8" w:color="CFF0FC"/>
            </w:tcBorders>
            <w:gridSpan w:val="3"/>
            <w:shd w:val="clear" w:color="auto" w:fill="CFF0FC"/>
          </w:tcPr>
          <w:p>
            <w:pPr>
              <w:spacing w:after="0" w:line="175" w:lineRule="exact"/>
              <w:rPr>
                <w:sz w:val="20"/>
                <w:szCs w:val="20"/>
                <w:color w:val="auto"/>
              </w:rPr>
            </w:pPr>
            <w:r>
              <w:rPr>
                <w:rFonts w:ascii="Arial" w:cs="Arial" w:eastAsia="Arial" w:hAnsi="Arial"/>
                <w:sz w:val="18"/>
                <w:szCs w:val="18"/>
                <w:b w:val="1"/>
                <w:bCs w:val="1"/>
                <w:color w:val="auto"/>
              </w:rPr>
              <w:t>At June 30, 2021</w:t>
            </w:r>
          </w:p>
        </w:tc>
        <w:tc>
          <w:tcPr>
            <w:tcW w:w="36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305,162</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305,162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At December 31, 2020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188,297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107,697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840" w:type="dxa"/>
            <w:vAlign w:val="bottom"/>
            <w:gridSpan w:val="3"/>
            <w:shd w:val="clear" w:color="auto" w:fill="CFF0FC"/>
          </w:tcPr>
          <w:p>
            <w:pPr>
              <w:ind w:left="40"/>
              <w:spacing w:after="0" w:line="230"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80" w:hanging="232"/>
        <w:spacing w:after="0"/>
        <w:tabs>
          <w:tab w:leader="none" w:pos="28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Included in cash and cash equivalents or restricted cash in the accompanying consolidated balance sheets.</w:t>
      </w:r>
    </w:p>
    <w:p>
      <w:pPr>
        <w:spacing w:after="0" w:line="28" w:lineRule="exact"/>
        <w:rPr>
          <w:rFonts w:ascii="Arial" w:cs="Arial" w:eastAsia="Arial" w:hAnsi="Arial"/>
          <w:sz w:val="23"/>
          <w:szCs w:val="23"/>
          <w:color w:val="auto"/>
          <w:vertAlign w:val="superscript"/>
        </w:rPr>
      </w:pPr>
    </w:p>
    <w:p>
      <w:pPr>
        <w:ind w:left="300" w:hanging="252"/>
        <w:spacing w:after="0" w:line="203" w:lineRule="auto"/>
        <w:tabs>
          <w:tab w:leader="none" w:pos="30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640" w:firstLine="528"/>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accounts payable, accrued expenses, and receivables approximate fair value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17"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June 30, 2021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 Gains</w:t>
            </w: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6"/>
                <w:szCs w:val="16"/>
                <w:color w:val="auto"/>
              </w:rPr>
            </w:pPr>
          </w:p>
        </w:tc>
        <w:tc>
          <w:tcPr>
            <w:tcW w:w="118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45,714</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-33655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-33655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42945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429450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94505"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-779145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-779145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ind w:left="460" w:right="100" w:hanging="412"/>
        <w:spacing w:after="0" w:line="227" w:lineRule="auto"/>
        <w:tabs>
          <w:tab w:leader="none" w:pos="291"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none have maturity dates of less than one year and $5.0 million have a maturity date of between one to two years as of June 30, 2021.</w:t>
      </w:r>
    </w:p>
    <w:p>
      <w:pPr>
        <w:spacing w:after="0" w:line="40" w:lineRule="exact"/>
        <w:rPr>
          <w:rFonts w:ascii="Arial" w:cs="Arial" w:eastAsia="Arial" w:hAnsi="Arial"/>
          <w:sz w:val="23"/>
          <w:szCs w:val="23"/>
          <w:color w:val="auto"/>
          <w:vertAlign w:val="superscript"/>
        </w:rPr>
      </w:pPr>
    </w:p>
    <w:p>
      <w:pPr>
        <w:ind w:left="460" w:right="160" w:hanging="412"/>
        <w:spacing w:after="0" w:line="227" w:lineRule="auto"/>
        <w:tabs>
          <w:tab w:leader="none" w:pos="30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$1.1 million have maturity dates of less than one year and $0.5 million have a maturity date of between one to two years as of June 30, 2021.</w:t>
      </w:r>
    </w:p>
    <w:p>
      <w:pPr>
        <w:spacing w:after="0" w:line="5" w:lineRule="exact"/>
        <w:rPr>
          <w:rFonts w:ascii="Arial" w:cs="Arial" w:eastAsia="Arial" w:hAnsi="Arial"/>
          <w:sz w:val="23"/>
          <w:szCs w:val="23"/>
          <w:color w:val="auto"/>
          <w:vertAlign w:val="superscript"/>
        </w:rPr>
      </w:pPr>
    </w:p>
    <w:p>
      <w:pPr>
        <w:ind w:left="300" w:hanging="252"/>
        <w:spacing w:after="0"/>
        <w:tabs>
          <w:tab w:leader="none" w:pos="30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All of our outstanding commercial and corporate obligations have maturity dates of less than one year as of June 30, 2021.</w:t>
      </w:r>
    </w:p>
    <w:p>
      <w:pPr>
        <w:spacing w:after="0" w:line="55" w:lineRule="exact"/>
        <w:rPr>
          <w:rFonts w:ascii="Arial" w:cs="Arial" w:eastAsia="Arial" w:hAnsi="Arial"/>
          <w:sz w:val="23"/>
          <w:szCs w:val="23"/>
          <w:color w:val="auto"/>
          <w:vertAlign w:val="superscript"/>
        </w:rPr>
      </w:pPr>
    </w:p>
    <w:p>
      <w:pPr>
        <w:ind w:left="280" w:hanging="232"/>
        <w:spacing w:after="0" w:line="194" w:lineRule="auto"/>
        <w:tabs>
          <w:tab w:leader="none" w:pos="28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All of our outstanding U.S. Treasury securities have maturity dates of less than one year as of June 30, 2021.</w:t>
      </w:r>
    </w:p>
    <w:p>
      <w:pPr>
        <w:spacing w:after="0" w:line="202"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The aggregate market value, cost basis, and gross unrealized gains and losses of available-for-sale investments by security type, classified in cash equivalents, short-term and long-term investments as of December 31, 2020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 Gains</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160,540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160,743</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425196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5196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-779780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-779780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-779780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0" w:lineRule="exact"/>
        <w:rPr>
          <w:sz w:val="20"/>
          <w:szCs w:val="20"/>
          <w:color w:val="auto"/>
        </w:rPr>
      </w:pPr>
    </w:p>
    <w:p>
      <w:pPr>
        <w:ind w:left="500" w:right="100" w:hanging="492"/>
        <w:spacing w:after="0" w:line="227" w:lineRule="auto"/>
        <w:tabs>
          <w:tab w:leader="none" w:pos="33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$10.0 million have maturity dates of less than one year and $11.2 million have a maturity date of between one to two years as of December 31, 2020.</w:t>
      </w:r>
    </w:p>
    <w:p>
      <w:pPr>
        <w:spacing w:after="0" w:line="26" w:lineRule="exact"/>
        <w:rPr>
          <w:rFonts w:ascii="Arial" w:cs="Arial" w:eastAsia="Arial" w:hAnsi="Arial"/>
          <w:sz w:val="23"/>
          <w:szCs w:val="23"/>
          <w:color w:val="auto"/>
          <w:vertAlign w:val="superscript"/>
        </w:rPr>
      </w:pPr>
    </w:p>
    <w:p>
      <w:pPr>
        <w:ind w:left="500" w:right="120" w:hanging="492"/>
        <w:spacing w:after="0" w:line="227" w:lineRule="auto"/>
        <w:tabs>
          <w:tab w:leader="none" w:pos="296"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$1.1 million have a maturity date of less than one year and $1.3 million have a maturity date of between one to two years as of December 31, 2020.</w:t>
      </w:r>
    </w:p>
    <w:p>
      <w:pPr>
        <w:spacing w:after="0" w:line="13" w:lineRule="exact"/>
        <w:rPr>
          <w:rFonts w:ascii="Arial" w:cs="Arial" w:eastAsia="Arial" w:hAnsi="Arial"/>
          <w:sz w:val="23"/>
          <w:szCs w:val="23"/>
          <w:color w:val="auto"/>
          <w:vertAlign w:val="superscript"/>
        </w:rPr>
      </w:pPr>
    </w:p>
    <w:p>
      <w:pPr>
        <w:ind w:left="500" w:right="320" w:hanging="492"/>
        <w:spacing w:after="0" w:line="227" w:lineRule="auto"/>
        <w:tabs>
          <w:tab w:leader="none" w:pos="375"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$29.4 million have maturity dates of less than one year and $0.0 million have a maturity date of between one to two years as of December 31, 2020.</w:t>
      </w:r>
    </w:p>
    <w:p>
      <w:pPr>
        <w:spacing w:after="0" w:line="26" w:lineRule="exact"/>
        <w:rPr>
          <w:rFonts w:ascii="Arial" w:cs="Arial" w:eastAsia="Arial" w:hAnsi="Arial"/>
          <w:sz w:val="23"/>
          <w:szCs w:val="23"/>
          <w:color w:val="auto"/>
          <w:vertAlign w:val="superscript"/>
        </w:rPr>
      </w:pPr>
    </w:p>
    <w:p>
      <w:pPr>
        <w:ind w:left="500" w:right="40" w:hanging="492"/>
        <w:spacing w:after="0" w:line="227" w:lineRule="auto"/>
        <w:tabs>
          <w:tab w:leader="none" w:pos="375"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$102.7 million have maturity dates of less than one year and $5.0 million have a maturity date of between one to two years as of December 31, 2020.</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gross unrealized losses and fair values for those investments that were in an unrealized loss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and December 31, 2020, aggregated by investment category and the length of time that individual securities have been in a continuous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Less than 12 Months</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59"/>
              <w:spacing w:after="0" w:line="143" w:lineRule="exact"/>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9"/>
              <w:spacing w:after="0" w:line="143"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1000" w:type="dxa"/>
            <w:vAlign w:val="bottom"/>
          </w:tcPr>
          <w:p>
            <w:pPr>
              <w:jc w:val="center"/>
              <w:ind w:right="194"/>
              <w:spacing w:after="0" w:line="14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8"/>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w w:val="97"/>
              </w:rPr>
              <w:t>Commercial and corporate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3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Less than 12 Months</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59"/>
              <w:spacing w:after="0" w:line="157" w:lineRule="exact"/>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9"/>
              <w:spacing w:after="0" w:line="157"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1000" w:type="dxa"/>
            <w:vAlign w:val="bottom"/>
          </w:tcPr>
          <w:p>
            <w:pPr>
              <w:jc w:val="center"/>
              <w:ind w:right="194"/>
              <w:spacing w:after="0" w:line="15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w w:val="97"/>
              </w:rPr>
              <w:t>Commercial and corporate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300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46,713</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486"/>
        <w:spacing w:after="0" w:line="277" w:lineRule="auto"/>
        <w:rPr>
          <w:sz w:val="20"/>
          <w:szCs w:val="20"/>
          <w:color w:val="auto"/>
        </w:rPr>
      </w:pPr>
      <w:r>
        <w:rPr>
          <w:rFonts w:ascii="Arial" w:cs="Arial" w:eastAsia="Arial" w:hAnsi="Arial"/>
          <w:sz w:val="18"/>
          <w:szCs w:val="18"/>
          <w:color w:val="auto"/>
        </w:rPr>
        <w:t>As of June 30, 2021 and 2020, unrealized losses on available-for-sale investments were not material, and accordingly, no allowance for credit losses were recorded.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right="60" w:firstLine="405"/>
        <w:spacing w:after="0" w:line="308" w:lineRule="auto"/>
        <w:rPr>
          <w:sz w:val="20"/>
          <w:szCs w:val="20"/>
          <w:color w:val="auto"/>
        </w:rPr>
      </w:pPr>
      <w:r>
        <w:rPr>
          <w:rFonts w:ascii="Arial" w:cs="Arial" w:eastAsia="Arial" w:hAnsi="Arial"/>
          <w:sz w:val="17"/>
          <w:szCs w:val="17"/>
          <w:color w:val="auto"/>
        </w:rPr>
        <w:t>Of the 500,000,000 shares of common stock authorized, 27,432,609 shares were issued and outstanding as of June 30, 2021. Common stock reserved for future issuance upon the exercise, issuance or conversion of the respective equity instruments at June 30, 2021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Issued and Outstanding:</w:t>
            </w:r>
          </w:p>
        </w:tc>
        <w:tc>
          <w:tcPr>
            <w:tcW w:w="1580" w:type="dxa"/>
            <w:vAlign w:val="bottom"/>
            <w:shd w:val="clear" w:color="auto" w:fill="CCEEFF"/>
          </w:tcPr>
          <w:p>
            <w:pPr>
              <w:spacing w:after="0"/>
              <w:rPr>
                <w:sz w:val="19"/>
                <w:szCs w:val="19"/>
                <w:color w:val="auto"/>
              </w:rPr>
            </w:pPr>
          </w:p>
        </w:tc>
      </w:tr>
      <w:tr>
        <w:trPr>
          <w:trHeight w:val="229"/>
        </w:trPr>
        <w:tc>
          <w:tcPr>
            <w:tcW w:w="9640" w:type="dxa"/>
            <w:vAlign w:val="bottom"/>
            <w:gridSpan w:val="2"/>
          </w:tcPr>
          <w:p>
            <w:pPr>
              <w:ind w:left="260"/>
              <w:spacing w:after="0"/>
              <w:rPr>
                <w:sz w:val="20"/>
                <w:szCs w:val="20"/>
                <w:color w:val="auto"/>
              </w:rPr>
            </w:pPr>
            <w:r>
              <w:rPr>
                <w:rFonts w:ascii="Arial" w:cs="Arial" w:eastAsia="Arial" w:hAnsi="Arial"/>
                <w:sz w:val="18"/>
                <w:szCs w:val="18"/>
                <w:color w:val="auto"/>
              </w:rPr>
              <w:t>Stock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3,731,808</w:t>
            </w:r>
          </w:p>
        </w:tc>
      </w:tr>
      <w:tr>
        <w:trPr>
          <w:trHeight w:val="230"/>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Reserved For:</w:t>
            </w:r>
          </w:p>
        </w:tc>
        <w:tc>
          <w:tcPr>
            <w:tcW w:w="1580" w:type="dxa"/>
            <w:vAlign w:val="bottom"/>
            <w:shd w:val="clear" w:color="auto" w:fill="CCEEFF"/>
          </w:tcPr>
          <w:p>
            <w:pPr>
              <w:spacing w:after="0"/>
              <w:rPr>
                <w:sz w:val="19"/>
                <w:szCs w:val="19"/>
                <w:color w:val="auto"/>
              </w:rPr>
            </w:pPr>
          </w:p>
        </w:tc>
      </w:tr>
      <w:tr>
        <w:trPr>
          <w:trHeight w:val="243"/>
        </w:trPr>
        <w:tc>
          <w:tcPr>
            <w:tcW w:w="660" w:type="dxa"/>
            <w:vAlign w:val="bottom"/>
          </w:tcPr>
          <w:p>
            <w:pPr>
              <w:ind w:left="260"/>
              <w:spacing w:after="0"/>
              <w:rPr>
                <w:sz w:val="20"/>
                <w:szCs w:val="20"/>
                <w:color w:val="auto"/>
              </w:rPr>
            </w:pPr>
            <w:r>
              <w:rPr>
                <w:rFonts w:ascii="Arial" w:cs="Arial" w:eastAsia="Arial" w:hAnsi="Arial"/>
                <w:sz w:val="18"/>
                <w:szCs w:val="18"/>
                <w:color w:val="auto"/>
                <w:w w:val="94"/>
              </w:rPr>
              <w:t>2017</w:t>
            </w:r>
          </w:p>
        </w:tc>
        <w:tc>
          <w:tcPr>
            <w:tcW w:w="898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3,192,182</w:t>
            </w:r>
          </w:p>
        </w:tc>
      </w:tr>
      <w:tr>
        <w:trPr>
          <w:trHeight w:val="230"/>
        </w:trPr>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2017</w:t>
            </w:r>
          </w:p>
        </w:tc>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1,271,237</w:t>
            </w:r>
          </w:p>
        </w:tc>
      </w:tr>
      <w:tr>
        <w:trPr>
          <w:trHeight w:val="223"/>
        </w:trPr>
        <w:tc>
          <w:tcPr>
            <w:tcW w:w="660" w:type="dxa"/>
            <w:vAlign w:val="bottom"/>
          </w:tcPr>
          <w:p>
            <w:pPr>
              <w:ind w:left="20"/>
              <w:spacing w:after="0"/>
              <w:rPr>
                <w:sz w:val="20"/>
                <w:szCs w:val="20"/>
                <w:color w:val="auto"/>
              </w:rPr>
            </w:pPr>
            <w:r>
              <w:rPr>
                <w:rFonts w:ascii="Arial" w:cs="Arial" w:eastAsia="Arial" w:hAnsi="Arial"/>
                <w:sz w:val="18"/>
                <w:szCs w:val="18"/>
                <w:color w:val="auto"/>
              </w:rPr>
              <w:t>Total</w:t>
            </w:r>
          </w:p>
        </w:tc>
        <w:tc>
          <w:tcPr>
            <w:tcW w:w="89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8,195,227</w:t>
            </w:r>
          </w:p>
        </w:tc>
      </w:tr>
      <w:tr>
        <w:trPr>
          <w:trHeight w:val="20"/>
        </w:trPr>
        <w:tc>
          <w:tcPr>
            <w:tcW w:w="6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Incentive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outstanding shares of our common stock as of the immediately preceding December 31 or such lesser number as determined by our board of directors. The 2017 Plan automatically increased by 1,094,223 shares as of January 1, 2021.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273,555 shares as of January 1, 2021. The initial offering period for the ESPP began in May 2021.</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firstLine="445"/>
        <w:spacing w:after="0" w:line="311" w:lineRule="auto"/>
        <w:rPr>
          <w:sz w:val="20"/>
          <w:szCs w:val="20"/>
          <w:color w:val="auto"/>
        </w:rPr>
      </w:pPr>
      <w:r>
        <w:rPr>
          <w:rFonts w:ascii="Arial" w:cs="Arial" w:eastAsia="Arial" w:hAnsi="Arial"/>
          <w:sz w:val="16"/>
          <w:szCs w:val="16"/>
          <w:color w:val="auto"/>
        </w:rPr>
        <w:t>Stock options granted to employees and non-employees generally vest over a four-year period while stock options granted to directors vest over a one year period. Each stock option award has a maximum term of 10 years from the date of grant, subject to earlier cancellation prior to vesting upon cessation of service to us. A summary of the activity related to stock option awards during the six months ended June 30, 2021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Price per</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82"/>
              <w:spacing w:after="0" w:line="158"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9"/>
        </w:trPr>
        <w:tc>
          <w:tcPr>
            <w:tcW w:w="47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January 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2,920,700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1,037,374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(149,232)</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2021</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3,731,808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18"/>
                <w:szCs w:val="18"/>
                <w:color w:val="auto"/>
              </w:rPr>
              <w:t>24,823</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Exercisable at June 30, 2021</w:t>
            </w: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5.76</w:t>
            </w:r>
          </w:p>
        </w:tc>
        <w:tc>
          <w:tcPr>
            <w:tcW w:w="380" w:type="dxa"/>
            <w:vAlign w:val="bottom"/>
            <w:tcBorders>
              <w:top w:val="single" w:sz="8" w:color="CFF0FC"/>
              <w:bottom w:val="single" w:sz="8" w:color="CFF0FC"/>
            </w:tcBorders>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bottom w:val="single" w:sz="8" w:color="CFF0FC"/>
            </w:tcBorders>
            <w:vMerge w:val="restart"/>
          </w:tcPr>
          <w:p>
            <w:pPr>
              <w:jc w:val="right"/>
              <w:ind w:right="2"/>
              <w:spacing w:after="0"/>
              <w:rPr>
                <w:sz w:val="20"/>
                <w:szCs w:val="20"/>
                <w:color w:val="auto"/>
              </w:rPr>
            </w:pPr>
            <w:r>
              <w:rPr>
                <w:rFonts w:ascii="Arial" w:cs="Arial" w:eastAsia="Arial" w:hAnsi="Arial"/>
                <w:sz w:val="18"/>
                <w:szCs w:val="18"/>
                <w:color w:val="auto"/>
              </w:rPr>
              <w:t>17,109</w:t>
            </w: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1,744,975</w:t>
            </w:r>
          </w:p>
        </w:tc>
        <w:tc>
          <w:tcPr>
            <w:tcW w:w="26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0" w:firstLine="445"/>
        <w:spacing w:after="0" w:line="273" w:lineRule="auto"/>
        <w:rPr>
          <w:sz w:val="20"/>
          <w:szCs w:val="20"/>
          <w:color w:val="auto"/>
        </w:rPr>
      </w:pPr>
      <w:r>
        <w:rPr>
          <w:rFonts w:ascii="Arial" w:cs="Arial" w:eastAsia="Arial" w:hAnsi="Arial"/>
          <w:sz w:val="17"/>
          <w:szCs w:val="17"/>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to employees were determined on the date of grant using the Black-Scholes option valuation model with the following weighted-average assumptions:</w:t>
      </w:r>
    </w:p>
    <w:p>
      <w:pPr>
        <w:spacing w:after="0" w:line="6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Six Months Ended</w:t>
      </w:r>
    </w:p>
    <w:p>
      <w:pPr>
        <w:jc w:val="center"/>
        <w:ind w:left="69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80" w:type="dxa"/>
            <w:vAlign w:val="bottom"/>
            <w:tcBorders>
              <w:bottom w:val="single" w:sz="8" w:color="CFF0FC"/>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6"/>
                <w:szCs w:val="16"/>
                <w:color w:val="auto"/>
              </w:rPr>
            </w:pPr>
          </w:p>
        </w:tc>
      </w:tr>
      <w:tr>
        <w:trPr>
          <w:trHeight w:val="224"/>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91.8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FF0FC"/>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9"/>
                <w:szCs w:val="19"/>
                <w:color w:val="auto"/>
              </w:rPr>
            </w:pPr>
          </w:p>
        </w:tc>
      </w:tr>
      <w:tr>
        <w:trPr>
          <w:trHeight w:val="230"/>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grant date fair value per share</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22.39</w:t>
            </w:r>
          </w:p>
        </w:tc>
        <w:tc>
          <w:tcPr>
            <w:tcW w:w="9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11.97</w:t>
            </w:r>
          </w:p>
        </w:tc>
        <w:tc>
          <w:tcPr>
            <w:tcW w:w="260" w:type="dxa"/>
            <w:vAlign w:val="bottom"/>
            <w:shd w:val="clear" w:color="auto" w:fill="CFF0FC"/>
          </w:tcPr>
          <w:p>
            <w:pPr>
              <w:spacing w:after="0"/>
              <w:rPr>
                <w:sz w:val="19"/>
                <w:szCs w:val="19"/>
                <w:color w:val="auto"/>
              </w:rPr>
            </w:pPr>
          </w:p>
        </w:tc>
      </w:tr>
    </w:tbl>
    <w:p>
      <w:pPr>
        <w:spacing w:after="0" w:line="296"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We determine the appropriate risk-free interest rate, expected term for employee stock-based awards, contractual term for non-employee stock-based awards, and volatility assumptions. The weighted-average expected option term for employee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non-employee stock-based awards reflects the application of the simplified method, which defines the life as the average of the contractual term of the options and the weighted-average vesting period for all option tranches. Estimated volatility for 2021 incorporates the historical volatility of our stock price, and volatility for 2020 incorporates our stock price as well as similar entities whose share prices are publicly available.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176"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84"/>
        </w:trPr>
        <w:tc>
          <w:tcPr>
            <w:tcW w:w="57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1,435</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r>
      <w:tr>
        <w:trPr>
          <w:trHeight w:val="229"/>
        </w:trPr>
        <w:tc>
          <w:tcPr>
            <w:tcW w:w="57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2,255</w:t>
            </w: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1,783</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w:t>
            </w:r>
          </w:p>
        </w:tc>
      </w:tr>
      <w:tr>
        <w:trPr>
          <w:trHeight w:val="248"/>
        </w:trPr>
        <w:tc>
          <w:tcPr>
            <w:tcW w:w="5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3,690</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2,741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w:t>
            </w: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At June 30, 2021, there was $36.8 million of unrecognized compensation cost related to unvested stock option awards, which is expected to be recognized over a remaining weighted-average vesting period of 2.71 years. At June 30, 2021, there was $0.2 million of unrecognized compensation cost related to the ESPP, which is expected to be recognized over a remaining weighted-average vesting period of 0.38 years.</w:t>
      </w:r>
    </w:p>
    <w:p>
      <w:pPr>
        <w:spacing w:after="0" w:line="269" w:lineRule="exact"/>
        <w:rPr>
          <w:sz w:val="20"/>
          <w:szCs w:val="20"/>
          <w:color w:val="auto"/>
        </w:rPr>
      </w:pPr>
    </w:p>
    <w:p>
      <w:pPr>
        <w:ind w:left="300" w:right="8500" w:hanging="292"/>
        <w:spacing w:after="0" w:line="425" w:lineRule="auto"/>
        <w:tabs>
          <w:tab w:leader="none" w:pos="197"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ind w:right="140" w:firstLine="486"/>
        <w:spacing w:after="0"/>
        <w:rPr>
          <w:sz w:val="20"/>
          <w:szCs w:val="20"/>
          <w:color w:val="auto"/>
        </w:rPr>
      </w:pPr>
      <w:r>
        <w:rPr>
          <w:rFonts w:ascii="Arial" w:cs="Arial" w:eastAsia="Arial" w:hAnsi="Arial"/>
          <w:sz w:val="18"/>
          <w:szCs w:val="18"/>
          <w:color w:val="auto"/>
        </w:rPr>
        <w:t>On November 11, 2020, we entered into an agreement to terminate our sublease (the “Sublease Termination”) with Trex Enterprises Corporation, with respect to facilities in the building at 10455 Pacific Center Court in San Diego, California (the “10455 Building”). The terms of the original sublease with Trex provided for a November 12, 2021 lease expiration. Under the Sublease Termination, we agreed to terminate the sublease agreement on December 15, 2020 with no associated penalty. We recorded a non-cash gain of approximately $0.1 million as other income, in connection with the write-off of the lease liability and corresponding ROU asset. As of June 30, 2021, there was no lease liability and corresponding ROU asset related to the 10455 Building Lease.</w:t>
      </w:r>
    </w:p>
    <w:p>
      <w:pPr>
        <w:spacing w:after="0" w:line="189" w:lineRule="exact"/>
        <w:rPr>
          <w:sz w:val="20"/>
          <w:szCs w:val="20"/>
          <w:color w:val="auto"/>
        </w:rPr>
      </w:pPr>
    </w:p>
    <w:p>
      <w:pPr>
        <w:ind w:right="140" w:firstLine="283"/>
        <w:spacing w:after="0" w:line="270" w:lineRule="auto"/>
        <w:rPr>
          <w:sz w:val="20"/>
          <w:szCs w:val="20"/>
          <w:color w:val="auto"/>
        </w:rPr>
      </w:pPr>
      <w:r>
        <w:rPr>
          <w:rFonts w:ascii="Arial" w:cs="Arial" w:eastAsia="Arial" w:hAnsi="Arial"/>
          <w:sz w:val="16"/>
          <w:szCs w:val="16"/>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our ROU assets and lease liabilities. The monthly base rent will be $4.20 per rentable square foot and will be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June 30, 2021, we have recorded $0.3 million as a security deposit in accordance with the terms of the Lease Agreement. As of June 30, 2021, we also maintain the non-cancellable office lease for our facilities at 10421 Pacific Center Court in San Diego, California, which expires on August 31, 2021.</w:t>
      </w:r>
    </w:p>
    <w:p>
      <w:pPr>
        <w:spacing w:after="0" w:line="167" w:lineRule="exact"/>
        <w:rPr>
          <w:sz w:val="20"/>
          <w:szCs w:val="20"/>
          <w:color w:val="auto"/>
        </w:rPr>
      </w:pPr>
    </w:p>
    <w:p>
      <w:pPr>
        <w:ind w:right="80" w:firstLine="283"/>
        <w:spacing w:after="0" w:line="262" w:lineRule="auto"/>
        <w:rPr>
          <w:sz w:val="20"/>
          <w:szCs w:val="20"/>
          <w:color w:val="auto"/>
        </w:rPr>
      </w:pPr>
      <w:r>
        <w:rPr>
          <w:rFonts w:ascii="Arial" w:cs="Arial" w:eastAsia="Arial" w:hAnsi="Arial"/>
          <w:sz w:val="17"/>
          <w:szCs w:val="17"/>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non-cancellable office lease costs are included in our consolidated statements of cash flow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5"/>
                <w:szCs w:val="15"/>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 on the Cash Flow</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76"/>
        </w:trPr>
        <w:tc>
          <w:tcPr>
            <w:tcW w:w="4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Cash paid for amounts included in the measurement of lease</w:t>
            </w: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6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2021, the future minimum annual obligations for the Company’s operating lease liabilities are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2,316</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2,457</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15,846</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payments required</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25,775</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w:t>
      </w:r>
    </w:p>
    <w:p>
      <w:pPr>
        <w:spacing w:after="0" w:line="229" w:lineRule="exact"/>
        <w:rPr>
          <w:sz w:val="20"/>
          <w:szCs w:val="20"/>
          <w:color w:val="auto"/>
        </w:rPr>
      </w:pPr>
    </w:p>
    <w:p>
      <w:pPr>
        <w:ind w:right="20" w:firstLine="567"/>
        <w:spacing w:after="0" w:line="270" w:lineRule="auto"/>
        <w:rPr>
          <w:sz w:val="20"/>
          <w:szCs w:val="20"/>
          <w:color w:val="auto"/>
        </w:rPr>
      </w:pPr>
      <w:r>
        <w:rPr>
          <w:rFonts w:ascii="Arial" w:cs="Arial" w:eastAsia="Arial" w:hAnsi="Arial"/>
          <w:sz w:val="16"/>
          <w:szCs w:val="16"/>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Securities Exchange Act of 1934, as amended (the “Exchange Act”),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seeks, among other things, damages in an unspecified amount, as well as costs and expenses. We believe that the plaintiff’s allegations are without merit and intend to vigorously defend against the claims. On May 3, 2021, a shareholder derivative complaint was filed in the same Court based on allegations substantially similar to those in the class action, and purporting to assert claims on the Company’s behalf against current or former officers and directors for alleged violation of Sections 14(a) and 20(a) of the Exchange Act, breach of fiduciary duties, unjust enrichment, waste of corporate assets and insider selling. Because the Company is in the early stages of these litigation matters, we are unable to estimate a reasonably possible loss or range of loss, if any, that may result from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 imsidolimab for patients with generalized pustular psoriasis (“GPP”), skin toxicities associated with treatments with inhibitors of epidermal growth factor, ichthyosis, hidradenitis suppurativa, and acne;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and the United States (“U.S.”) and global economies;</w:t>
      </w:r>
    </w:p>
    <w:p>
      <w:pPr>
        <w:spacing w:after="0" w:line="117" w:lineRule="exact"/>
        <w:rPr>
          <w:rFonts w:ascii="Arial" w:cs="Arial" w:eastAsia="Arial" w:hAnsi="Arial"/>
          <w:sz w:val="18"/>
          <w:szCs w:val="18"/>
          <w:color w:val="auto"/>
        </w:rPr>
      </w:pPr>
    </w:p>
    <w:p>
      <w:pPr>
        <w:jc w:val="both"/>
        <w:ind w:left="660" w:right="38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42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15" w:lineRule="exact"/>
        <w:rPr>
          <w:rFonts w:ascii="Arial" w:cs="Arial" w:eastAsia="Arial" w:hAnsi="Arial"/>
          <w:sz w:val="16"/>
          <w:szCs w:val="16"/>
          <w:color w:val="auto"/>
        </w:rPr>
      </w:pPr>
    </w:p>
    <w:p>
      <w:pPr>
        <w:ind w:left="660" w:right="5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imsidolimab and our other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developments in the U.S., the United Kingdom, Australia, and other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Part II, Item 1A, “Risk Factors,” and elsewhere in this Quarterly Report. Moreover, we operate in a competitive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2" w:name="page23"/>
    <w:bookmarkEnd w:id="22"/>
    <w:p>
      <w:pPr>
        <w:spacing w:after="0" w:line="3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8"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71" w:lineRule="exact"/>
        <w:rPr>
          <w:sz w:val="20"/>
          <w:szCs w:val="20"/>
          <w:color w:val="auto"/>
        </w:rPr>
      </w:pPr>
    </w:p>
    <w:p>
      <w:pPr>
        <w:ind w:right="680" w:firstLine="567"/>
        <w:spacing w:after="0" w:line="277" w:lineRule="auto"/>
        <w:rPr>
          <w:sz w:val="20"/>
          <w:szCs w:val="20"/>
          <w:color w:val="auto"/>
        </w:rPr>
      </w:pPr>
      <w:r>
        <w:rPr>
          <w:rFonts w:ascii="Arial" w:cs="Arial" w:eastAsia="Arial" w:hAnsi="Arial"/>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consolidated financial statements and related notes for the six months ended June 30, 2021, included in Part I, Item 1 of this report and with our audited consolidated financial statements and related notes thereto for the year ended December 31, 2020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567"/>
        <w:spacing w:after="0" w:line="272"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rosnilimab, previously referred to as ANB030, and ANB032, are designed to modulate therapeutic targets that are genetically associated with human inflammatory disorders.</w:t>
      </w:r>
    </w:p>
    <w:p>
      <w:pPr>
        <w:spacing w:after="0" w:line="177" w:lineRule="exact"/>
        <w:rPr>
          <w:sz w:val="20"/>
          <w:szCs w:val="20"/>
          <w:color w:val="auto"/>
        </w:rPr>
      </w:pPr>
    </w:p>
    <w:p>
      <w:pPr>
        <w:ind w:firstLine="567"/>
        <w:spacing w:after="0" w:line="266" w:lineRule="auto"/>
        <w:rPr>
          <w:sz w:val="20"/>
          <w:szCs w:val="20"/>
          <w:color w:val="auto"/>
        </w:rPr>
      </w:pPr>
      <w:r>
        <w:rPr>
          <w:rFonts w:ascii="Arial" w:cs="Arial" w:eastAsia="Arial" w:hAnsi="Arial"/>
          <w:sz w:val="16"/>
          <w:szCs w:val="16"/>
          <w:color w:val="auto"/>
        </w:rPr>
        <w:t>Imsidolimab, our IL-36R antibody previously referred to as ANB019, inhibits the interleukin-36 receptor (“IL-36R”), and is being developed for the treatment of multiple dermatological inflammatory diseases.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U.S. Food and Drug Administration (the “FDA”) granted Orphan Drug Designation for imsidolimab for the treatment of patients with GPP. We completed an open-label, multi-dose, single-arm Phase 2 clinical trial of imsidolimab in 8 GPP patients, also referred to as the GALLOP clinical trial, where we announced positive topline data in October 2020. Six of 8 (75%) patients treated with imsidolimab monotherapy achieved the primary endpoint of improvement in the clinical global impression scale (“CGI”) on Day 29. Two of 8 (25%) patients were considered to have not met the primary endpoint because they dropped out of the clinical trial prior to Day 29. The modified Japanese Dermatology Association Severity Index (“mJDA-SI”) score, which incorporates both dermatological and systemic aspects of GPP, decreased on average by 29% on Day 8 and 54% on Day 29. Erythema with skin pustules, which clinically defines GPP, decreased by 60% on Day 8 and 94% on Day 29. Serum c-reactive protein (“CRP”), which is an indicator of systemic inflammation, was normal (less than 5 mg/L) for 5 of the 6 patients achieving the primary endpoint on Day 29. Genotypic testing indicated homozygous wild-type IL-36RN, CARD14 and AP1S3 alleles for all tested patients. We believe this suggests that imsidolimab may be broadly applicable to pustular diseases irrespective of genetic drivers. Anti-drug antibodies were not detected as of Day 29 in any patient. Imsidolimab was generally well-tolerated, and most treatment-emergent adverse events were mild to moderate in severity and resolved without sequelae. No infusion or injection site reactions were observed. One patient dropped out of the clinical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mild, unrelated to imsidolimab, and did not lead to study discontinuation. Data from the first two patients to have completed the Day 113 treatment period under this clinical trial, which we announced in September 2019, indicated sustained efficacy in these two patients through Day 113. We plan to report full data from the GALLOP clinical trial at the European Academy of Dermatology and Venereology (EADV) Congress in October 2021. While initial GPP epidemiology studies suggested at least 3,000 GPP patients in the United States,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billing code pertaining to GPP (L40.1).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06"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We have most recently met with the FDA during the second quarter of 2021 for an end-of-Phase 2 meeting to review an orphan disease registration plan for imsidolimab for the treatment of GPP. We anticipate initiating our Phase 3 registrational trials for imsidolimab for GPP, called GEMINI-1 and GEMINI-2, in the third quarter of 2021. GEMINI-1 will enroll approximately 45 moderate-to-severe GPP patients, each undergoing an active flare at baseline, which will be randomized equally to receive a single dose of 750mg intravenous (IV) imsidolimab, 300mg IV imsidolimab or placebo. The primary endpoint of the Phase 3 program is the proportion of patients achieving clear or almost clear skin as determined by a Generalized Pustular Psoriasis Physician’s Global Assessment (GPPPGA) score of zero or 1 at week 4 of GEMINI-1. Patients completing the GEMINI-1 trial will subsequently be enrolled in GEMINI-2, where they will receive monthly doses of 200mg subcutaneous imsidolimab or placebo depending upon whether they are responders, partial responders or non-responders to treatment under GEMINI-1. The objective of GEMINI-2 is to assess the efficacy and safety of imsidolimab after 6 months of monthly dosing.</w:t>
      </w:r>
    </w:p>
    <w:p>
      <w:pPr>
        <w:spacing w:after="0" w:line="191" w:lineRule="exact"/>
        <w:rPr>
          <w:sz w:val="20"/>
          <w:szCs w:val="20"/>
          <w:color w:val="auto"/>
        </w:rPr>
      </w:pPr>
    </w:p>
    <w:p>
      <w:pPr>
        <w:ind w:right="140" w:firstLine="567"/>
        <w:spacing w:after="0" w:line="261" w:lineRule="auto"/>
        <w:rPr>
          <w:sz w:val="20"/>
          <w:szCs w:val="20"/>
          <w:color w:val="auto"/>
        </w:rPr>
      </w:pPr>
      <w:r>
        <w:rPr>
          <w:rFonts w:ascii="Arial" w:cs="Arial" w:eastAsia="Arial" w:hAnsi="Arial"/>
          <w:sz w:val="18"/>
          <w:szCs w:val="18"/>
          <w:color w:val="auto"/>
        </w:rPr>
        <w:t>We are conducting a global registry of GPP patients, also referred to as the RADIANCE study, which we anticipate will improve understanding of the patient journey and assist in enrollment of future GPP clinical trials.</w:t>
      </w:r>
    </w:p>
    <w:p>
      <w:pPr>
        <w:spacing w:after="0" w:line="171" w:lineRule="exact"/>
        <w:rPr>
          <w:sz w:val="20"/>
          <w:szCs w:val="20"/>
          <w:color w:val="auto"/>
        </w:rPr>
      </w:pPr>
    </w:p>
    <w:p>
      <w:pPr>
        <w:ind w:right="60" w:firstLine="567"/>
        <w:spacing w:after="0" w:line="274" w:lineRule="auto"/>
        <w:rPr>
          <w:sz w:val="20"/>
          <w:szCs w:val="20"/>
          <w:color w:val="auto"/>
        </w:rPr>
      </w:pPr>
      <w:r>
        <w:rPr>
          <w:rFonts w:ascii="Arial" w:cs="Arial" w:eastAsia="Arial" w:hAnsi="Arial"/>
          <w:sz w:val="16"/>
          <w:szCs w:val="16"/>
          <w:color w:val="auto"/>
        </w:rPr>
        <w:t>We are conducting clinical development of imsidolimab in acne, which is the most common skin disorder in the United States, with approximately 7 million patients diagnosed with moderate-to-severe disease. Moderate-to-severe acne typically presents with painful papules, pustules, nodules, cysts and scarring. A key contributing factor to the pathogenesis of acne is the immune response to p. acnes, which is associated with upregulated IL-36 cytokine activity, localized inflammation and neutrophil infiltration of the skin. Existing therapies, including isotretinoin and systemic antibiotics, provide variable efficacy for moderate-to-severe acne patients and have practical limitations to their use given potential for clinically meaningful side effects. We are conducting a Phase 2 clinical trial of imsidolimab, called ACORN, where 120 patients will be randomized equally between two dose levels of imsidolimab and placebo, for the treatment of moderate-to-severe acne, and we anticipate top-line data during the first half of 2022.</w:t>
      </w:r>
    </w:p>
    <w:p>
      <w:pPr>
        <w:spacing w:after="0" w:line="163" w:lineRule="exact"/>
        <w:rPr>
          <w:sz w:val="20"/>
          <w:szCs w:val="20"/>
          <w:color w:val="auto"/>
        </w:rPr>
      </w:pPr>
    </w:p>
    <w:p>
      <w:pPr>
        <w:ind w:right="120" w:firstLine="567"/>
        <w:spacing w:after="0" w:line="272" w:lineRule="auto"/>
        <w:rPr>
          <w:sz w:val="20"/>
          <w:szCs w:val="20"/>
          <w:color w:val="auto"/>
        </w:rPr>
      </w:pPr>
      <w:r>
        <w:rPr>
          <w:rFonts w:ascii="Arial" w:cs="Arial" w:eastAsia="Arial" w:hAnsi="Arial"/>
          <w:sz w:val="16"/>
          <w:szCs w:val="16"/>
          <w:color w:val="auto"/>
        </w:rPr>
        <w:t>We are conducting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are conducting a Phase 2 clinical trial of imsidolimab in hidradenitis suppurativa, called HARP, where 120 patients will be randomized equally between two dose levels of imsidolimab and placebo, and we anticipate top-line data during the second half of 2022.</w:t>
      </w:r>
    </w:p>
    <w:p>
      <w:pPr>
        <w:spacing w:after="0" w:line="168" w:lineRule="exact"/>
        <w:rPr>
          <w:sz w:val="20"/>
          <w:szCs w:val="20"/>
          <w:color w:val="auto"/>
        </w:rPr>
      </w:pPr>
    </w:p>
    <w:p>
      <w:pPr>
        <w:ind w:right="140" w:firstLine="567"/>
        <w:spacing w:after="0" w:line="238" w:lineRule="auto"/>
        <w:rPr>
          <w:sz w:val="20"/>
          <w:szCs w:val="20"/>
          <w:color w:val="auto"/>
        </w:rPr>
      </w:pPr>
      <w:r>
        <w:rPr>
          <w:rFonts w:ascii="Arial" w:cs="Arial" w:eastAsia="Arial" w:hAnsi="Arial"/>
          <w:sz w:val="18"/>
          <w:szCs w:val="18"/>
          <w:color w:val="auto"/>
        </w:rPr>
        <w:t>We are conducting clinical development of imsidolimab for the treatment of skin toxicities associated with treatments with inhibitors of epidermal growth factor (“EGFRi”) and MAPK/ERK kinase (“MEKi”). Treatment of solid tumors with EGFRi and/or MEKi is frequently limited by the occurrence of skin toxicities, including acneiform or papulopustular rash. Recent translational data has suggested that these skin toxicities are mediated by excess IL-36 signaling, leading to IL-8-mediated cutaneous neutrophilia and acneiform rash. Based on existing claims data, approximately 60,000 patients are prescribed EGFRi and/or MEKi treatments annually, and the vast majority of these patients experience skin toxicity, which in some cases leads to dose reduction and/or discontinuation of treatment. Current standard-of-care treatments are generally ineffective in patients with the most severe grades of EGFRi and/or MEKi mediated skin toxicity. We are conducting a Phase 2 clinical trial, called EMERGE, of imsidolimab in combination with EGFRi inhibitors, for the treatment of patients diagnosed with a certain baseline severity of skin toxicity, where 45 patients are randomized 2:1 between imsidolimab and placebo arms, to assess the efficacy of imsidolimab in the treatment of this indication where we anticipate an interim analysis by the end of 2021.</w:t>
      </w:r>
    </w:p>
    <w:p>
      <w:pPr>
        <w:spacing w:after="0" w:line="188" w:lineRule="exact"/>
        <w:rPr>
          <w:sz w:val="20"/>
          <w:szCs w:val="20"/>
          <w:color w:val="auto"/>
        </w:rPr>
      </w:pPr>
    </w:p>
    <w:p>
      <w:pPr>
        <w:ind w:firstLine="567"/>
        <w:spacing w:after="0" w:line="257" w:lineRule="auto"/>
        <w:rPr>
          <w:sz w:val="20"/>
          <w:szCs w:val="20"/>
          <w:color w:val="auto"/>
        </w:rPr>
      </w:pPr>
      <w:r>
        <w:rPr>
          <w:rFonts w:ascii="Arial" w:cs="Arial" w:eastAsia="Arial" w:hAnsi="Arial"/>
          <w:sz w:val="17"/>
          <w:szCs w:val="17"/>
          <w:color w:val="auto"/>
        </w:rPr>
        <w:t>We are also conducting clinical development of imsidolimab in ichthyosis, which is a family of rare, inherited, dermatological disorders characterized by dry, scaling and thickened skin. Recent human translational studies have suggested that the underlying skin inflammation responsible for ichthyosis is mediated by dysregulated IL-36 signaling, and we believe that imsidolimab treatment may be efficacious in treatment of this condition. Approximately 6,000 patients in the United States are affected with moderate-to-severe levels of ichthyosis, and no approved therapies are available for this disease. We are conducting a Phase 2 clinical trial, called INSPIRE, of imsidolimab in patients with certain baseline severity of ichthyosis, where 24 patients are randomized 2:1 between imsidolimab and placebo arms, and we anticipate interim top-line data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2" w:lineRule="exact"/>
        <w:rPr>
          <w:sz w:val="20"/>
          <w:szCs w:val="20"/>
          <w:color w:val="auto"/>
        </w:rPr>
      </w:pPr>
    </w:p>
    <w:p>
      <w:pPr>
        <w:ind w:firstLine="567"/>
        <w:spacing w:after="0" w:line="254" w:lineRule="auto"/>
        <w:rPr>
          <w:sz w:val="20"/>
          <w:szCs w:val="20"/>
          <w:color w:val="auto"/>
        </w:rPr>
      </w:pPr>
      <w:r>
        <w:rPr>
          <w:rFonts w:ascii="Arial" w:cs="Arial" w:eastAsia="Arial" w:hAnsi="Arial"/>
          <w:sz w:val="16"/>
          <w:szCs w:val="16"/>
          <w:color w:val="auto"/>
        </w:rPr>
        <w:t xml:space="preserve">Our second wholly-owned program, rosnilimab, previously referred to as ANB030, is an anti-PD-1 agonist antibody program designed to augment PD-1 signaling through rosnilimab treatment to suppress T-cell driven human inflammatory diseases. Genetic mutations in the PD-1 pathway are known to be associated with increased susceptibility to human inflammatory diseases, and hence we believe that rosnilimab is applicable to diseases where PD-1 checkpoint receptor function may be under-represented. We presented preclinical data for rosnilimab at the Festival of Biologics Annual Meeting in March 2020, including translational data demonstrating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of rosnilimab in alopecia areata patient samples. We initiated a Phase 1 healthy volunteer clinical trial in the first half of 2020, which is designed to assess the safety, pharmacokinetics and pharmacodynamics of rosnilimab in single and multiple ascending dose cohorts. We anticipate top-line safety, pharmacokinetic and receptor occupancy data from this Phase 1 clinical trial during the fourth quarter of 2021. We plan to initiate a Phase 2 clinical trial of rosnilimab in alopecia areata in the fourth quarter of 2021. We continue to assess clinical development opportunities for rosnilimab in additional indications, including vitiligo and rheumatoid arthritis, and will make decisions in 2022 pending additional data.</w:t>
      </w:r>
    </w:p>
    <w:p>
      <w:pPr>
        <w:spacing w:after="0" w:line="178" w:lineRule="exact"/>
        <w:rPr>
          <w:sz w:val="20"/>
          <w:szCs w:val="20"/>
          <w:color w:val="auto"/>
        </w:rPr>
      </w:pPr>
    </w:p>
    <w:p>
      <w:pPr>
        <w:ind w:right="60" w:firstLine="567"/>
        <w:spacing w:after="0"/>
        <w:rPr>
          <w:sz w:val="20"/>
          <w:szCs w:val="20"/>
          <w:color w:val="auto"/>
        </w:rPr>
      </w:pPr>
      <w:r>
        <w:rPr>
          <w:rFonts w:ascii="Arial" w:cs="Arial" w:eastAsia="Arial" w:hAnsi="Arial"/>
          <w:sz w:val="18"/>
          <w:szCs w:val="18"/>
          <w:color w:val="auto"/>
        </w:rPr>
        <w:t>Our third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are conducting a healthy volunteer Phase 1 trial of ANB032, under an Australian Clinical Trial Notification (“CTN”) and anticipate top-line data from this trial during the first half of 2022. We presented preclinical data regarding ANB032 at the 2020 Federation of Clinical Immunology Societies (FOCIS) Virtual Annual Meeting in October 2020.</w:t>
      </w:r>
    </w:p>
    <w:p>
      <w:pPr>
        <w:spacing w:after="0" w:line="176" w:lineRule="exact"/>
        <w:rPr>
          <w:sz w:val="20"/>
          <w:szCs w:val="20"/>
          <w:color w:val="auto"/>
        </w:rPr>
      </w:pPr>
    </w:p>
    <w:p>
      <w:pPr>
        <w:ind w:firstLine="567"/>
        <w:spacing w:after="0" w:line="234" w:lineRule="auto"/>
        <w:rPr>
          <w:sz w:val="20"/>
          <w:szCs w:val="20"/>
          <w:color w:val="auto"/>
        </w:rPr>
      </w:pPr>
      <w:r>
        <w:rPr>
          <w:rFonts w:ascii="Arial" w:cs="Arial" w:eastAsia="Arial" w:hAnsi="Arial"/>
          <w:sz w:val="17"/>
          <w:szCs w:val="17"/>
          <w:color w:val="auto"/>
        </w:rPr>
        <w:t>In addition to our wholly-owned antibody programs, multiple Company-developed antibody programs have been advanced to preclinical and clinical milestones under our collaborations. We have received to date approximately $205.3 million in cash receipts from collaborations. Our collaborations include an immuno-oncology-focused collaboration with GlaxoSmithKline, Inc. (“GSK”) and an inflammation-focused collaboration with Bristol-Myers Squibb (“BMS”). A Biologics License Application (“BLA”) for our most advanced partnered program, which is an anti-PD-1 antagonist antibody called JEMPERLI (dostarlimab), was approved by the FDA in April 2021 for the treatment of advanced or recurrent deficient mismatch repair endometrial cancer (“dMMREC”). This is the first AnaptysBio-generated antibody, of eight currently under clinical development, to obtain FDA approval. We earned a $20.0 million milestone payment as a result of this FDA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which approval makes JEMPERLI the first anti-PD-1 therapy available for endometrial cancer in Europe. We earned a $10.0 million milestone payment as a result of this approval. A second BLA submitted by GSK was accepted by the FDA during the first quarter of 2021 for JEMPERLI in pan-deficient mismatch repair tumors (“PdMMRT”). We received a $10.0 million cash milestone payment upon the FDA acceptance of GSK’s second FDA BLA for JEMPERLI and anticipate an additional $20.0 million cash milestone payment upon FDA approval of this second FDA BLA of JEMPERLI during the second half of 2021. We anticipate an additional $15.0 million and $165.0 million in milestone payments upon achievement of certain JEMPERLI regulatory and commercial milestones, respectively. JEMPERLI is currently in clinical development for various solid tumor indications, including dMMREC, PdMMRT, colorectal cancer, ovarian cancer, non-small cell lung cancer, cervical cancer, rectal cancer, clear cell sarcoma and head-and-neck squamous cell carcinoma. In June 2021, GSK disclosed peak year annual sales estimates of £1-£2 billion for JEMPERLI. In October 2020, we amended our GSK collaboration to increase royalties on global net sales of JEMPERLI to 8% on annual global net sales below $1 billion and 12-25% of annual global net sales above $1 billion, add a 1% royalty rate on GSK’s global net sales of Zejula and received a one-time cash payment of $60.0 million. For more information about these collaborations, see Note 4 — Collaborative Research and Development Agreements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4697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359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We are continuing to proactively monitor and assess the coronavirus (“COVID-19”) global pandemic. The full impact of the COVID-19 pandemic is inherently uncertain at the time of this Quarterly Report. Our ongoing clinical trials have been, and may continue to be, affected by the closure of offices, or country borders, among other measures being put in place around the world.</w:t>
      </w:r>
    </w:p>
    <w:p>
      <w:pPr>
        <w:spacing w:after="0" w:line="184"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The COVID-19 pandemic has caused us to modify our business practices (including but not limited to curtailing or modifying employee travel, moving to full remote work, and cancelling physical participation in meetings, events, and conferences). While we have begun to re-open our offices, we continue to allow remote work, and we may take further actions as may be required by government authorities or that we determine are in the best interests of our employees, patients, and business partners.</w:t>
      </w:r>
    </w:p>
    <w:p>
      <w:pPr>
        <w:spacing w:after="0" w:line="187" w:lineRule="exact"/>
        <w:rPr>
          <w:sz w:val="20"/>
          <w:szCs w:val="20"/>
          <w:color w:val="auto"/>
        </w:rPr>
      </w:pPr>
    </w:p>
    <w:p>
      <w:pPr>
        <w:jc w:val="both"/>
        <w:ind w:right="320" w:firstLine="567"/>
        <w:spacing w:after="0" w:line="263" w:lineRule="auto"/>
        <w:rPr>
          <w:sz w:val="20"/>
          <w:szCs w:val="20"/>
          <w:color w:val="auto"/>
        </w:rPr>
      </w:pPr>
      <w:r>
        <w:rPr>
          <w:rFonts w:ascii="Arial" w:cs="Arial" w:eastAsia="Arial" w:hAnsi="Arial"/>
          <w:sz w:val="18"/>
          <w:szCs w:val="18"/>
          <w:color w:val="auto"/>
        </w:rPr>
        <w:t>The extent of the impact of the COVID-19 pandemic on our future liquidity and operational performance will depend on certain developments, including the duration and spread of the outbreak, including its variants, the availability and effectiveness of vaccines, the impact on our clinical trials, patients, and collaboration partners, and the effect on our suppliers.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7" w:name="page28"/>
    <w:bookmarkEnd w:id="27"/>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June 30, 2021, we have received $205.3 million in cash in non-dilutive funding from our collaborators.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520" w:firstLine="445"/>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900" w:right="20" w:hanging="406"/>
        <w:spacing w:after="0" w:line="308" w:lineRule="auto"/>
        <w:tabs>
          <w:tab w:leader="none" w:pos="8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900" w:right="600" w:hanging="406"/>
        <w:spacing w:after="0" w:line="277"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40" w:firstLine="445"/>
        <w:spacing w:after="0" w:line="308" w:lineRule="auto"/>
        <w:rPr>
          <w:sz w:val="20"/>
          <w:szCs w:val="20"/>
          <w:color w:val="auto"/>
        </w:rPr>
      </w:pPr>
      <w:r>
        <w:rPr>
          <w:rFonts w:ascii="Arial" w:cs="Arial" w:eastAsia="Arial" w:hAnsi="Arial"/>
          <w:sz w:val="17"/>
          <w:szCs w:val="17"/>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38" w:lineRule="exact"/>
        <w:rPr>
          <w:sz w:val="20"/>
          <w:szCs w:val="20"/>
          <w:color w:val="auto"/>
        </w:rPr>
      </w:pPr>
    </w:p>
    <w:p>
      <w:pPr>
        <w:ind w:right="240" w:firstLine="445"/>
        <w:spacing w:after="0" w:line="282" w:lineRule="auto"/>
        <w:rPr>
          <w:sz w:val="20"/>
          <w:szCs w:val="20"/>
          <w:color w:val="auto"/>
        </w:rPr>
      </w:pPr>
      <w:r>
        <w:rPr>
          <w:rFonts w:ascii="Arial" w:cs="Arial" w:eastAsia="Arial" w:hAnsi="Arial"/>
          <w:sz w:val="16"/>
          <w:szCs w:val="16"/>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2" w:lineRule="exact"/>
        <w:rPr>
          <w:sz w:val="20"/>
          <w:szCs w:val="20"/>
          <w:color w:val="auto"/>
        </w:rPr>
      </w:pPr>
    </w:p>
    <w:p>
      <w:pPr>
        <w:ind w:right="140" w:firstLine="567"/>
        <w:spacing w:after="0" w:line="228" w:lineRule="auto"/>
        <w:rPr>
          <w:sz w:val="20"/>
          <w:szCs w:val="20"/>
          <w:color w:val="auto"/>
        </w:rPr>
      </w:pPr>
      <w:r>
        <w:rPr>
          <w:rFonts w:ascii="Arial" w:cs="Arial" w:eastAsia="Arial" w:hAnsi="Arial"/>
          <w:sz w:val="18"/>
          <w:szCs w:val="18"/>
          <w:color w:val="auto"/>
        </w:rPr>
        <w:t>We have completed Phase 1 clinical trials and have ongoing Phase 2 clinical trials for imsidolimab and ongoing Phase 1 clinical trials for rosnilimab and ANB032. We expect our research and development expenses to be higher for the foreseeable future as we continue to advance our product candidates into larger clinical trials.</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February 25,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and Six Months Ended June 30, 2021 and 2020</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Collaboration revenue consists of both milestone payments under the collaborations, and royalty payments. We recognized $30.0 million and $0 million in milestone revenue for the three months ended June 30, 2021 and 2020, respectively, related to milestone payments associated with JEMPERLI, the anti-PD-1 antagonist antibody partnered with GSK. For the second quarter of 2021, milestone revenue reflects $20.0 million for first BLA approval in a first indication, and $10.0 million for first MAA approval in a first indication.</w:t>
      </w:r>
    </w:p>
    <w:p>
      <w:pPr>
        <w:spacing w:after="0" w:line="65" w:lineRule="exact"/>
        <w:rPr>
          <w:sz w:val="20"/>
          <w:szCs w:val="20"/>
          <w:color w:val="auto"/>
        </w:rPr>
      </w:pPr>
    </w:p>
    <w:p>
      <w:pPr>
        <w:ind w:right="160" w:firstLine="486"/>
        <w:spacing w:after="0" w:line="261" w:lineRule="auto"/>
        <w:rPr>
          <w:sz w:val="20"/>
          <w:szCs w:val="20"/>
          <w:color w:val="auto"/>
        </w:rPr>
      </w:pPr>
      <w:r>
        <w:rPr>
          <w:rFonts w:ascii="Arial" w:cs="Arial" w:eastAsia="Arial" w:hAnsi="Arial"/>
          <w:sz w:val="16"/>
          <w:szCs w:val="16"/>
          <w:color w:val="auto"/>
        </w:rPr>
        <w:t>We recognized $40.0 million and $15.0 million in milestone revenue for the six months ended June 30, 2021 and 2020, respectively, related to milestone payments associated with JEMPERLI, the anti-PD-1 antagonist antibody partnered with GSK. For the six months ended June 30, 2021, milestone revenue reflects $10.0 million for successful filing of the first BLA in a second indication for JEMPERLI, $20.0 million for first BLA approval in a first indication, and $10.0 million for first MAA approval in a first indication. For the six months ended June 30, 2020, milestone revenue reflects $10.0 million for successful filing of the first BLA in a first indication and $5.0 million for successful filing of the first MAA in a first indication.</w:t>
      </w:r>
    </w:p>
    <w:p>
      <w:pPr>
        <w:spacing w:after="0" w:line="53" w:lineRule="exact"/>
        <w:rPr>
          <w:sz w:val="20"/>
          <w:szCs w:val="20"/>
          <w:color w:val="auto"/>
        </w:rPr>
      </w:pPr>
    </w:p>
    <w:p>
      <w:pPr>
        <w:ind w:right="600" w:firstLine="486"/>
        <w:spacing w:after="0" w:line="246"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from our existing collaborations.</w:t>
      </w:r>
    </w:p>
    <w:p>
      <w:pPr>
        <w:spacing w:after="0" w:line="75" w:lineRule="exact"/>
        <w:rPr>
          <w:sz w:val="20"/>
          <w:szCs w:val="20"/>
          <w:color w:val="auto"/>
        </w:rPr>
      </w:pPr>
    </w:p>
    <w:p>
      <w:pPr>
        <w:ind w:right="760" w:firstLine="486"/>
        <w:spacing w:after="0" w:line="342" w:lineRule="auto"/>
        <w:rPr>
          <w:sz w:val="20"/>
          <w:szCs w:val="20"/>
          <w:color w:val="auto"/>
        </w:rPr>
      </w:pPr>
      <w:r>
        <w:rPr>
          <w:rFonts w:ascii="Arial" w:cs="Arial" w:eastAsia="Arial" w:hAnsi="Arial"/>
          <w:sz w:val="16"/>
          <w:szCs w:val="16"/>
          <w:color w:val="auto"/>
        </w:rPr>
        <w:t>Royalty revenue is a function of our partners' product sales and the applicable royalty rate. During the six months ended June 30, 2021, we recognized $1.3 million related to the net sales of GSK’s Zejula and JEMPERLI, which we estimated based on GSK’s historical sales.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Research and development expenses were $25.3 million during the three months ended June 30, 2021 compared to $17.9 million during the three months ended June 30, 2020 for an increase of $7.4 million, primarily due to a $4.5 million increase in clinical expenses, $1.9 million increase in salaries and related expenses, including stock compensation expense, and a $1.4 million increase in other research and development expenses, offset by a $0.4 million decrease in outside services for manufacturing expenses.</w:t>
      </w:r>
    </w:p>
    <w:p>
      <w:pPr>
        <w:spacing w:after="0" w:line="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Research and development expenses were $49.5 million during the six months ended June 30, 2021 compared to $38.9 million during the six months ended June 30, 2020 for an increase of $10.6 million, primarily due to a $7.0 million increase in clinical expenses, $3.1 million increase in salaries and related expenses, including stock compensation expense, and a $1.5 million increase in other research and development expenses, offset by a $1.0 million decrease in outside services for manufacturing expenses.</w:t>
      </w:r>
    </w:p>
    <w:p>
      <w:pPr>
        <w:spacing w:after="0" w:line="79"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6"/>
        </w:trPr>
        <w:tc>
          <w:tcPr>
            <w:tcW w:w="3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4"/>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Increase/(Decrease)</w:t>
            </w:r>
          </w:p>
        </w:tc>
        <w:tc>
          <w:tcPr>
            <w:tcW w:w="26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Increase/(Decrease)</w:t>
            </w: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Costs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Imsidolimab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11,822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90"/>
              <w:spacing w:after="0"/>
              <w:rPr>
                <w:sz w:val="20"/>
                <w:szCs w:val="20"/>
                <w:color w:val="auto"/>
              </w:rPr>
            </w:pPr>
            <w:r>
              <w:rPr>
                <w:rFonts w:ascii="Arial" w:cs="Arial" w:eastAsia="Arial" w:hAnsi="Arial"/>
                <w:sz w:val="18"/>
                <w:szCs w:val="18"/>
                <w:color w:val="auto"/>
                <w:w w:val="88"/>
              </w:rPr>
              <w:t>8,197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24,470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8,816</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15,654</w:t>
            </w: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Rosnilimab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1,439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ANB032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center"/>
              <w:ind w:left="150"/>
              <w:spacing w:after="0"/>
              <w:rPr>
                <w:sz w:val="20"/>
                <w:szCs w:val="20"/>
                <w:color w:val="auto"/>
              </w:rPr>
            </w:pPr>
            <w:r>
              <w:rPr>
                <w:rFonts w:ascii="Arial" w:cs="Arial" w:eastAsia="Arial" w:hAnsi="Arial"/>
                <w:sz w:val="18"/>
                <w:szCs w:val="18"/>
                <w:color w:val="auto"/>
                <w:w w:val="91"/>
              </w:rPr>
              <w:t>(1,677)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Etokimab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1"/>
              </w:rPr>
              <w:t>(4,444)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r>
      <w:tr>
        <w:trPr>
          <w:trHeight w:val="229"/>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Preclinical and other unallocated costs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1,975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5,490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Costs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1,876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7,366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80" w:firstLine="567"/>
        <w:spacing w:after="0" w:line="263" w:lineRule="auto"/>
        <w:rPr>
          <w:sz w:val="20"/>
          <w:szCs w:val="20"/>
          <w:color w:val="auto"/>
        </w:rPr>
      </w:pPr>
      <w:r>
        <w:rPr>
          <w:rFonts w:ascii="Arial" w:cs="Arial" w:eastAsia="Arial" w:hAnsi="Arial"/>
          <w:sz w:val="18"/>
          <w:szCs w:val="18"/>
          <w:color w:val="auto"/>
        </w:rPr>
        <w:t>General and administrative expenses were $5.2 million during the three months ended June 30, 2021 compared to $4.7 million during the three months ended June 30, 2020 for an increase of $0.5 million, primarily due to a $0.8 million increase in personnel costs including stock compensation expense, $0.1 million increase in insurance expense, offset by a $0.4 million decrease in legal expense.</w:t>
      </w:r>
    </w:p>
    <w:p>
      <w:pPr>
        <w:spacing w:after="0" w:line="76"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General and administrative expenses were $10.7 million during the six months ended June 30, 2021 compared to $9.0 million during the six months ended June 30, 2020 for an increase of $1.7 million, primarily due to a $1.7 million increase in personnel costs including stock compensation expense, $0.3 million increase in insurance expense, offset by a $0.3 million decrease in legal expense.</w:t>
      </w:r>
    </w:p>
    <w:p>
      <w:pPr>
        <w:spacing w:after="0" w:line="76"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40" w:firstLine="445"/>
        <w:spacing w:after="0" w:line="279" w:lineRule="auto"/>
        <w:rPr>
          <w:sz w:val="20"/>
          <w:szCs w:val="20"/>
          <w:color w:val="auto"/>
        </w:rPr>
      </w:pPr>
      <w:r>
        <w:rPr>
          <w:rFonts w:ascii="Arial" w:cs="Arial" w:eastAsia="Arial" w:hAnsi="Arial"/>
          <w:sz w:val="17"/>
          <w:szCs w:val="17"/>
          <w:color w:val="auto"/>
        </w:rPr>
        <w:t>Interest income was $0.1 million and $0.3 million during the three and six months ended June 30, 2021, respectively, and was $1.1 million and $3.0 million during the three and six months ended June 30, 2020 which primarily related to our short-term and long-term investments, the balance of which decreased during the periods as a result of funding our clinical trial programs. The decrease in interest income is also attributable to lower interest rates during the three and six months ended June 30, 2021 and a decrease in investment balances as of June 30, 2021.</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Other income, net was $0 million and less than $0.1 million for the three and six months ended June 30, 2021, respectively, and was less than $0.1 million and $0.1 million during the three and six months ended June 30, 2020, respectively, which primarily related to foreign exchange transactions through our Australian subsidiary and with our foreign CROs and CMOs.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From our inception through June 30, 2021, we have received an aggregate of $845.4 million to fund our operations, which included $621.0 million from the sale of equity securities, $205.3 million from our collaboration agreements and $19.1 million from venture debt. As of June 30, 2021, we had $396.3 million in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06"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18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Specific to our collaboration agreement with GSK, JEMPERLI is currently in clinical development for various solid tumor indications. In April 2021, we became eligible to receive additional milestones from GSK, as outlined above, following the acceptance and approval of BLA and EMA filings of JEMPERLI for the PdMMRT indication. We anticipate an additional $35.0 million and $165.0 million in milestone payments upon achievement of certain JEMPERLI regulatory and commercial milestones, respectively. Our amended GSK Agreement also includes a 1% royalty less third-party royalty deductions on GSK’s global net sales of Zejula that began in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76"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8" w:lineRule="exact"/>
        <w:rPr>
          <w:sz w:val="20"/>
          <w:szCs w:val="20"/>
          <w:color w:val="auto"/>
        </w:rPr>
      </w:pPr>
    </w:p>
    <w:p>
      <w:pPr>
        <w:ind w:right="40" w:firstLine="445"/>
        <w:spacing w:after="0" w:line="262" w:lineRule="auto"/>
        <w:rPr>
          <w:sz w:val="20"/>
          <w:szCs w:val="20"/>
          <w:color w:val="auto"/>
        </w:rPr>
      </w:pPr>
      <w:r>
        <w:rPr>
          <w:rFonts w:ascii="Arial" w:cs="Arial" w:eastAsia="Arial" w:hAnsi="Arial"/>
          <w:sz w:val="17"/>
          <w:szCs w:val="17"/>
          <w:color w:val="auto"/>
        </w:rPr>
        <w:t>Cash, cash equivalents and investments totaled $396.3 million as of June 30, 2021, compared to $411.2 million as of December 31, 2020. We believe that our existing cash, cash equivalents and investments will fund our current operating plan at least into 2024.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six months ended June 30, 2021 and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186"/>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84"/>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11"/>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(13,613)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(34,722)</w:t>
            </w:r>
          </w:p>
        </w:tc>
      </w:tr>
      <w:tr>
        <w:trPr>
          <w:trHeight w:val="23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94,690</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86,145</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81,798</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140" w:firstLine="445"/>
        <w:spacing w:after="0" w:line="275" w:lineRule="auto"/>
        <w:rPr>
          <w:sz w:val="20"/>
          <w:szCs w:val="20"/>
          <w:color w:val="auto"/>
        </w:rPr>
      </w:pPr>
      <w:r>
        <w:rPr>
          <w:rFonts w:ascii="Arial" w:cs="Arial" w:eastAsia="Arial" w:hAnsi="Arial"/>
          <w:sz w:val="17"/>
          <w:szCs w:val="17"/>
          <w:color w:val="auto"/>
        </w:rPr>
        <w:t>Net cash used in operating activities during the six months ended June 30, 2021 of $13.6 million was primarily due to our net loss of $18.6 million, adjusted for addbacks for non-cash expenses of $8.3 million, which includes stock-based compensation and amortization of operating right-of-use assets, and net decreases in working capital of $3.3 million. Net cash used in operating activities during the six months ended June 30, 2020 of $34.7 million was primarily due to our net loss of $29.8 million, adjusted for non-cash expenses of $6.4 million, which includes stock-based compensation and amortization of operating right-of-use assets, and net decreases in working capital of $11.3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Net cash provided by investing activities during the six months ended June 30, 2021 and 2020 of $94.7 million and $86.1 million, respectively, primarily relates to the timing of our investment maturity, which was used to fund our operating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net cash provided by financing activities during the six months ended June 30, 2021 of $0.7 million related to the issuance of common stock upon the exercise of stock options. The net cash used in financing activities during the six months ended June 30, 2020 of $1.3 million primarily related to principal and final payments of $1.4 million made on our Term Loans, offset by $0.1 million in proceeds from the issuance of common stock upon the exercise of stock options.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8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For further information related to our operating leases and future minimum annual obligations, see Note 8 — Commitments and Contingencies in the accompanying notes to the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486"/>
        <w:spacing w:after="0" w:line="248" w:lineRule="auto"/>
        <w:rPr>
          <w:sz w:val="20"/>
          <w:szCs w:val="20"/>
          <w:color w:val="auto"/>
        </w:rPr>
      </w:pPr>
      <w:r>
        <w:rPr>
          <w:rFonts w:ascii="Arial" w:cs="Arial" w:eastAsia="Arial" w:hAnsi="Arial"/>
          <w:sz w:val="18"/>
          <w:szCs w:val="18"/>
          <w:color w:val="auto"/>
        </w:rPr>
        <w:t>As of June 30, 2021,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February 25,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in the reports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2021,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92" w:lineRule="exact"/>
        <w:rPr>
          <w:sz w:val="20"/>
          <w:szCs w:val="20"/>
          <w:color w:val="auto"/>
        </w:rPr>
      </w:pPr>
    </w:p>
    <w:p>
      <w:pPr>
        <w:ind w:right="320" w:firstLine="445"/>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13a-15(f) and 15d-15(f) of the Exchange Act that occurred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 w:name="page34"/>
    <w:bookmarkEnd w:id="33"/>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41" w:lineRule="exact"/>
        <w:rPr>
          <w:sz w:val="20"/>
          <w:szCs w:val="20"/>
          <w:color w:val="auto"/>
        </w:rPr>
      </w:pPr>
    </w:p>
    <w:p>
      <w:pPr>
        <w:ind w:right="800" w:firstLine="445"/>
        <w:spacing w:after="0" w:line="277" w:lineRule="auto"/>
        <w:rPr>
          <w:sz w:val="20"/>
          <w:szCs w:val="20"/>
          <w:color w:val="auto"/>
        </w:rPr>
      </w:pPr>
      <w:r>
        <w:rPr>
          <w:rFonts w:ascii="Arial" w:cs="Arial" w:eastAsia="Arial" w:hAnsi="Arial"/>
          <w:sz w:val="18"/>
          <w:szCs w:val="18"/>
          <w:color w:val="auto"/>
        </w:rPr>
        <w:t>For further information related to our legal proceedings, see Note 8 — Commitments and Contingencies in the accompanying notes to the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21" w:lineRule="exact"/>
        <w:rPr>
          <w:sz w:val="20"/>
          <w:szCs w:val="20"/>
          <w:color w:val="auto"/>
        </w:rPr>
      </w:pPr>
    </w:p>
    <w:p>
      <w:pPr>
        <w:ind w:right="180" w:firstLine="567"/>
        <w:spacing w:after="0" w:line="308" w:lineRule="auto"/>
        <w:rPr>
          <w:sz w:val="20"/>
          <w:szCs w:val="20"/>
          <w:color w:val="auto"/>
        </w:rPr>
      </w:pPr>
      <w:r>
        <w:rPr>
          <w:rFonts w:ascii="Arial" w:cs="Arial" w:eastAsia="Arial" w:hAnsi="Arial"/>
          <w:sz w:val="17"/>
          <w:szCs w:val="17"/>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281" w:lineRule="exact"/>
        <w:rPr>
          <w:sz w:val="20"/>
          <w:szCs w:val="20"/>
          <w:color w:val="auto"/>
        </w:rPr>
      </w:pPr>
    </w:p>
    <w:p>
      <w:pPr>
        <w:ind w:left="900" w:hanging="406"/>
        <w:spacing w:after="0" w:line="259"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8" w:lineRule="exact"/>
        <w:rPr>
          <w:rFonts w:ascii="Arial" w:cs="Arial" w:eastAsia="Arial" w:hAnsi="Arial"/>
          <w:sz w:val="18"/>
          <w:szCs w:val="18"/>
          <w:color w:val="auto"/>
        </w:rPr>
      </w:pPr>
    </w:p>
    <w:p>
      <w:pPr>
        <w:ind w:left="900" w:right="60" w:hanging="406"/>
        <w:spacing w:after="0" w:line="342" w:lineRule="auto"/>
        <w:tabs>
          <w:tab w:leader="none" w:pos="8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5" w:lineRule="exact"/>
        <w:rPr>
          <w:rFonts w:ascii="Arial" w:cs="Arial" w:eastAsia="Arial" w:hAnsi="Arial"/>
          <w:sz w:val="16"/>
          <w:szCs w:val="16"/>
          <w:color w:val="auto"/>
        </w:rPr>
      </w:pPr>
    </w:p>
    <w:p>
      <w:pPr>
        <w:ind w:left="900" w:right="280" w:hanging="406"/>
        <w:spacing w:after="0" w:line="286" w:lineRule="auto"/>
        <w:tabs>
          <w:tab w:leader="none" w:pos="8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7" w:lineRule="exact"/>
        <w:rPr>
          <w:rFonts w:ascii="Arial" w:cs="Arial" w:eastAsia="Arial" w:hAnsi="Arial"/>
          <w:sz w:val="17"/>
          <w:szCs w:val="17"/>
          <w:color w:val="auto"/>
        </w:rPr>
      </w:pPr>
    </w:p>
    <w:p>
      <w:pPr>
        <w:ind w:left="900" w:right="120" w:hanging="406"/>
        <w:spacing w:after="0" w:line="342" w:lineRule="auto"/>
        <w:tabs>
          <w:tab w:leader="none" w:pos="8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5" w:lineRule="exact"/>
        <w:rPr>
          <w:rFonts w:ascii="Arial" w:cs="Arial" w:eastAsia="Arial" w:hAnsi="Arial"/>
          <w:sz w:val="16"/>
          <w:szCs w:val="16"/>
          <w:color w:val="auto"/>
        </w:rPr>
      </w:pPr>
    </w:p>
    <w:p>
      <w:pPr>
        <w:ind w:left="900" w:right="160" w:hanging="406"/>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technology platform to expand our pipeline of product candidates and develop marketable products.</w:t>
      </w:r>
    </w:p>
    <w:p>
      <w:pPr>
        <w:spacing w:after="0" w:line="48" w:lineRule="exact"/>
        <w:rPr>
          <w:rFonts w:ascii="Arial" w:cs="Arial" w:eastAsia="Arial" w:hAnsi="Arial"/>
          <w:sz w:val="18"/>
          <w:szCs w:val="18"/>
          <w:color w:val="auto"/>
        </w:rPr>
      </w:pPr>
    </w:p>
    <w:p>
      <w:pPr>
        <w:jc w:val="both"/>
        <w:ind w:left="900" w:right="60" w:hanging="406"/>
        <w:spacing w:after="0" w:line="307" w:lineRule="auto"/>
        <w:tabs>
          <w:tab w:leader="none" w:pos="8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recently commenced clinical development of imsidolimab, rosnilimab and ANB032 and have a limited history of conducting clinical trials and no history of commercializing biotechnology products, which may make it difficult to evaluate the prospects for our future viability.</w:t>
      </w:r>
    </w:p>
    <w:p>
      <w:pPr>
        <w:spacing w:after="0" w:line="28" w:lineRule="exact"/>
        <w:rPr>
          <w:rFonts w:ascii="Arial" w:cs="Arial" w:eastAsia="Arial" w:hAnsi="Arial"/>
          <w:sz w:val="16"/>
          <w:szCs w:val="16"/>
          <w:color w:val="auto"/>
        </w:rPr>
      </w:pPr>
    </w:p>
    <w:p>
      <w:pPr>
        <w:ind w:left="900" w:right="160" w:hanging="406"/>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4" w:name="page35"/>
    <w:bookmarkEnd w:id="34"/>
    <w:p>
      <w:pPr>
        <w:spacing w:after="0" w:line="198" w:lineRule="exact"/>
        <w:rPr>
          <w:sz w:val="20"/>
          <w:szCs w:val="20"/>
          <w:color w:val="auto"/>
        </w:rPr>
      </w:pPr>
    </w:p>
    <w:p>
      <w:pPr>
        <w:ind w:left="900" w:right="120" w:hanging="406"/>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 care payors and others in the medical community necessary for commercial success.</w:t>
      </w:r>
    </w:p>
    <w:p>
      <w:pPr>
        <w:spacing w:after="0" w:line="62" w:lineRule="exact"/>
        <w:rPr>
          <w:rFonts w:ascii="Arial" w:cs="Arial" w:eastAsia="Arial" w:hAnsi="Arial"/>
          <w:sz w:val="18"/>
          <w:szCs w:val="18"/>
          <w:color w:val="auto"/>
        </w:rPr>
      </w:pPr>
    </w:p>
    <w:p>
      <w:pPr>
        <w:ind w:left="900" w:right="180" w:hanging="406"/>
        <w:spacing w:after="0" w:line="342" w:lineRule="auto"/>
        <w:tabs>
          <w:tab w:leader="none" w:pos="8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5" w:lineRule="exact"/>
        <w:rPr>
          <w:rFonts w:ascii="Arial" w:cs="Arial" w:eastAsia="Arial" w:hAnsi="Arial"/>
          <w:sz w:val="16"/>
          <w:szCs w:val="16"/>
          <w:color w:val="auto"/>
        </w:rPr>
      </w:pPr>
    </w:p>
    <w:p>
      <w:pPr>
        <w:ind w:left="900" w:right="100" w:hanging="406"/>
        <w:spacing w:after="0" w:line="286" w:lineRule="auto"/>
        <w:tabs>
          <w:tab w:leader="none" w:pos="8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7" w:lineRule="exact"/>
        <w:rPr>
          <w:rFonts w:ascii="Arial" w:cs="Arial" w:eastAsia="Arial" w:hAnsi="Arial"/>
          <w:sz w:val="17"/>
          <w:szCs w:val="17"/>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limited operating revenue and a history of operational losses and may not achieve or sustain profitability.</w:t>
      </w:r>
    </w:p>
    <w:p>
      <w:pPr>
        <w:spacing w:after="0" w:line="117" w:lineRule="exact"/>
        <w:rPr>
          <w:rFonts w:ascii="Arial" w:cs="Arial" w:eastAsia="Arial" w:hAnsi="Arial"/>
          <w:sz w:val="18"/>
          <w:szCs w:val="18"/>
          <w:color w:val="auto"/>
        </w:rPr>
      </w:pPr>
    </w:p>
    <w:p>
      <w:pPr>
        <w:ind w:left="900" w:right="660" w:hanging="406"/>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to date we have not generated any revenue or profit from sales of our product candidates.</w:t>
      </w:r>
    </w:p>
    <w:p>
      <w:pPr>
        <w:spacing w:after="0" w:line="62" w:lineRule="exact"/>
        <w:rPr>
          <w:rFonts w:ascii="Arial" w:cs="Arial" w:eastAsia="Arial" w:hAnsi="Arial"/>
          <w:sz w:val="18"/>
          <w:szCs w:val="18"/>
          <w:color w:val="auto"/>
        </w:rPr>
      </w:pPr>
    </w:p>
    <w:p>
      <w:pPr>
        <w:ind w:left="900" w:hanging="406"/>
        <w:spacing w:after="0" w:line="308" w:lineRule="auto"/>
        <w:tabs>
          <w:tab w:leader="none" w:pos="8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must attract and retain highly skilled employees in order to succeed.</w:t>
      </w:r>
    </w:p>
    <w:p>
      <w:pPr>
        <w:spacing w:after="0" w:line="117" w:lineRule="exact"/>
        <w:rPr>
          <w:rFonts w:ascii="Arial" w:cs="Arial" w:eastAsia="Arial" w:hAnsi="Arial"/>
          <w:sz w:val="18"/>
          <w:szCs w:val="18"/>
          <w:color w:val="auto"/>
        </w:rPr>
      </w:pPr>
    </w:p>
    <w:p>
      <w:pPr>
        <w:ind w:left="900" w:right="20" w:hanging="406"/>
        <w:spacing w:after="0" w:line="259"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8" w:lineRule="exact"/>
        <w:rPr>
          <w:rFonts w:ascii="Arial" w:cs="Arial" w:eastAsia="Arial" w:hAnsi="Arial"/>
          <w:sz w:val="18"/>
          <w:szCs w:val="18"/>
          <w:color w:val="auto"/>
        </w:rPr>
      </w:pPr>
    </w:p>
    <w:p>
      <w:pPr>
        <w:ind w:left="900" w:right="20" w:hanging="406"/>
        <w:spacing w:after="0" w:line="263"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5" w:lineRule="exact"/>
        <w:rPr>
          <w:rFonts w:ascii="Arial" w:cs="Arial" w:eastAsia="Arial" w:hAnsi="Arial"/>
          <w:sz w:val="18"/>
          <w:szCs w:val="18"/>
          <w:color w:val="auto"/>
        </w:rPr>
      </w:pPr>
    </w:p>
    <w:p>
      <w:pPr>
        <w:ind w:left="900" w:right="300" w:hanging="406"/>
        <w:spacing w:after="0" w:line="263"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5" w:lineRule="exact"/>
        <w:rPr>
          <w:rFonts w:ascii="Arial" w:cs="Arial" w:eastAsia="Arial" w:hAnsi="Arial"/>
          <w:sz w:val="18"/>
          <w:szCs w:val="18"/>
          <w:color w:val="auto"/>
        </w:rPr>
      </w:pPr>
    </w:p>
    <w:p>
      <w:pPr>
        <w:ind w:left="900" w:right="340" w:hanging="406"/>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succeed in establishing and maintaining additional development and commercialization collaborations, which could adversely affect our ability to develop and commercialize product candidates.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Even if our product candidates receive regulatory approval, they will be subject to significant post-marketing regulatory requirements.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price of our stock has been and may continue to be volatile, and you could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6"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We are using our proprietary technology platform to develop therapeutic antibodies, including our wholly-owned product candidates, as well as other programs that are being developed by our collaborators. However, all of our wholly-owned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9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and most of partnered product candidates are in the early stages of development, and, for a wide variety of reasons discussed below, may fail in development or suffer delays that adversely affect their commercial viability.</w:t>
      </w:r>
    </w:p>
    <w:p>
      <w:pPr>
        <w:spacing w:after="0" w:line="170" w:lineRule="exact"/>
        <w:rPr>
          <w:sz w:val="20"/>
          <w:szCs w:val="20"/>
          <w:color w:val="auto"/>
        </w:rPr>
      </w:pPr>
    </w:p>
    <w:p>
      <w:pPr>
        <w:ind w:firstLine="567"/>
        <w:spacing w:after="0"/>
        <w:rPr>
          <w:sz w:val="20"/>
          <w:szCs w:val="20"/>
          <w:color w:val="auto"/>
        </w:rPr>
      </w:pPr>
      <w:r>
        <w:rPr>
          <w:rFonts w:ascii="Arial" w:cs="Arial" w:eastAsia="Arial" w:hAnsi="Arial"/>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189"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Furthermore, our rationale for conducting clinical trials of imsidolimab in multiple indications is that we believe imsidolimab’s mechanism of action, the inhibition of IL-36R, has the potential be effective for treatment of a range of dermatological inflammatory diseases. However, it is possible that our assumptions regarding the effectiveness of imsidolimab’s mechanism of action may be incorrect and that imsidolimab may be ineffective in certain dermatological inflammatory diseases or in treating inflammatory disorders generally. If this were the case, then the results from any clinical trials of imsidolimab that we conduct are less likely to be positive. For example, top-line data from our POPLAR clinical trial of imsidolimab in PPP failed to meet the primary endpoint of the clinical trial of least-squares mean difference PPPASI improvement at week 16 (Day 113) and we do not currently plan to conduct further development of imsidolimab in PPP.</w:t>
      </w:r>
    </w:p>
    <w:p>
      <w:pPr>
        <w:spacing w:after="0" w:line="195" w:lineRule="exact"/>
        <w:rPr>
          <w:sz w:val="20"/>
          <w:szCs w:val="20"/>
          <w:color w:val="auto"/>
        </w:rPr>
      </w:pPr>
    </w:p>
    <w:p>
      <w:pPr>
        <w:ind w:right="640" w:firstLine="567"/>
        <w:spacing w:after="0" w:line="308" w:lineRule="auto"/>
        <w:rPr>
          <w:sz w:val="20"/>
          <w:szCs w:val="20"/>
          <w:color w:val="auto"/>
        </w:rPr>
      </w:pPr>
      <w:r>
        <w:rPr>
          <w:rFonts w:ascii="Arial" w:cs="Arial" w:eastAsia="Arial" w:hAnsi="Arial"/>
          <w:sz w:val="17"/>
          <w:szCs w:val="17"/>
          <w:color w:val="auto"/>
        </w:rPr>
        <w:t>If our other ongoing or future clinical trials of imsidolimab are unsuccessful, whether for one of the reasons mentioned above or otherwise, imsidolimab may be delayed in development or fail entirely, which would have a material adverse impact on our business.</w:t>
      </w:r>
    </w:p>
    <w:p>
      <w:pPr>
        <w:spacing w:after="0" w:line="146" w:lineRule="exact"/>
        <w:rPr>
          <w:sz w:val="20"/>
          <w:szCs w:val="20"/>
          <w:color w:val="auto"/>
        </w:rPr>
      </w:pPr>
    </w:p>
    <w:p>
      <w:pPr>
        <w:ind w:right="540"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320" w:firstLine="567"/>
        <w:spacing w:after="0" w:line="24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30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w:t>
      </w:r>
    </w:p>
    <w:p>
      <w:pPr>
        <w:spacing w:after="0" w:line="263" w:lineRule="exact"/>
        <w:rPr>
          <w:sz w:val="20"/>
          <w:szCs w:val="20"/>
          <w:color w:val="auto"/>
        </w:rPr>
      </w:pPr>
    </w:p>
    <w:p>
      <w:pPr>
        <w:ind w:right="280" w:firstLine="567"/>
        <w:spacing w:after="0" w:line="329" w:lineRule="auto"/>
        <w:rPr>
          <w:sz w:val="20"/>
          <w:szCs w:val="20"/>
          <w:color w:val="auto"/>
        </w:rPr>
      </w:pPr>
      <w:r>
        <w:rPr>
          <w:rFonts w:ascii="Arial" w:cs="Arial" w:eastAsia="Arial" w:hAnsi="Arial"/>
          <w:sz w:val="16"/>
          <w:szCs w:val="16"/>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3" w:lineRule="exact"/>
        <w:rPr>
          <w:sz w:val="20"/>
          <w:szCs w:val="20"/>
          <w:color w:val="auto"/>
        </w:rPr>
      </w:pPr>
    </w:p>
    <w:p>
      <w:pPr>
        <w:jc w:val="both"/>
        <w:ind w:right="80" w:firstLine="567"/>
        <w:spacing w:after="0" w:line="262" w:lineRule="auto"/>
        <w:rPr>
          <w:sz w:val="20"/>
          <w:szCs w:val="20"/>
          <w:color w:val="auto"/>
        </w:rPr>
      </w:pPr>
      <w:r>
        <w:rPr>
          <w:rFonts w:ascii="Arial" w:cs="Arial" w:eastAsia="Arial" w:hAnsi="Arial"/>
          <w:sz w:val="17"/>
          <w:szCs w:val="17"/>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172" w:lineRule="exact"/>
        <w:rPr>
          <w:sz w:val="20"/>
          <w:szCs w:val="20"/>
          <w:color w:val="auto"/>
        </w:rPr>
      </w:pPr>
    </w:p>
    <w:p>
      <w:pPr>
        <w:ind w:right="60" w:firstLine="567"/>
        <w:spacing w:after="0" w:line="251" w:lineRule="auto"/>
        <w:rPr>
          <w:sz w:val="20"/>
          <w:szCs w:val="20"/>
          <w:color w:val="auto"/>
        </w:rPr>
      </w:pPr>
      <w:r>
        <w:rPr>
          <w:rFonts w:ascii="Arial" w:cs="Arial" w:eastAsia="Arial" w:hAnsi="Arial"/>
          <w:sz w:val="17"/>
          <w:szCs w:val="17"/>
          <w:color w:val="auto"/>
        </w:rPr>
        <w:t>The COVID-19 pandemic has caused us to modify our business practices (including but not limited to curtailing or modifying employee travel, moving to full remote work, and cancelling physical participation in meetings, events and conferences). While we have begun to re-open our offices, we continue to allow some remote work, and we may take further actions as may be required by government authorities or that we determine are in the best interests of our employees and patients. In response to the COVID-19 pandemic, we initially limited our office to only those employees completing laboratory-based tasks essential to our development efforts, or “essential” employees, and are starting to allow other employees to work in our office with certain precautions in place that we believe will ensure our employees’ safety and wellbeing. Certain jurisdictions have begun re-opening only to return to restrictions due to increases in new COVID-19 cases and the emergence of new variant strains of COVID-19. Even in areas where “stay-at-home” restrictions have been lifted and the number of cases of COVID-19 has declined, many individuals remain cautious about resuming activities such as preventive-care medical visits. Additionally, the emergence of new variant strains of COVID-19 in regions that have reopened has necessitated, and may in the future necessitate, renewed government restrictions. We have implemented appropriate safety measures, following guidance from the Center for Disease Control and the Occupational Safety and Health Administration.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While we believe that we have taken appropriate measures to ensure the health and well-being of our employees, there can be no assurances that our measures will be sufficient to protect our employees in our workplace, and they may be exposed to COVID-19 outside of our workplace. If a number of our essential employees become ill, incapacitated or are otherwise unable to continue working during the current or any future epidemic, our operations may be adversely impacted.</w:t>
      </w:r>
    </w:p>
    <w:p>
      <w:pPr>
        <w:spacing w:after="0" w:line="183" w:lineRule="exact"/>
        <w:rPr>
          <w:sz w:val="20"/>
          <w:szCs w:val="20"/>
          <w:color w:val="auto"/>
        </w:rPr>
      </w:pPr>
    </w:p>
    <w:p>
      <w:pPr>
        <w:ind w:firstLine="567"/>
        <w:spacing w:after="0" w:line="253" w:lineRule="auto"/>
        <w:rPr>
          <w:sz w:val="20"/>
          <w:szCs w:val="20"/>
          <w:color w:val="auto"/>
        </w:rPr>
      </w:pPr>
      <w:r>
        <w:rPr>
          <w:rFonts w:ascii="Arial" w:cs="Arial" w:eastAsia="Arial" w:hAnsi="Arial"/>
          <w:sz w:val="17"/>
          <w:szCs w:val="17"/>
          <w:color w:val="auto"/>
        </w:rPr>
        <w:t>A prolonged disruption or any further unforeseen delay in our operations or within any of our business activities could continue to result in reduced participation in ongoing clinical trials or delays in enrolling our planned clinical trials because we rely on contract research organizations (for non-clinical and clinical activities) (“CROs”) and contract manufacturing organizations (“CMOs”) to conduct our clinical trials and to manufacture our product candidates. If our CROs are unable to continue ongoing clinical trials or to enroll new patients for new clinical trials, or if our CMOs are unable to obtain sufficient quantities of reagents or manufacture adequate drug quantities, our clinical trials could be materially delayed or disrupted. We may also encounter delays from the FDA, EMA or other health authorities in our clinical development efforts. Any elongation or de-prioritization of our preclinical or clinical studies or delay in regulatory review resulting from such disruptions could materially affect the development and study of our product candidates. Further, in reaction to the spread of COVID-19 in the United States and internationally, many patients and medical facilities are delaying or canceling elective procedures, adding further strain to health care budgets globally.</w:t>
      </w:r>
    </w:p>
    <w:p>
      <w:pPr>
        <w:spacing w:after="0" w:line="184" w:lineRule="exact"/>
        <w:rPr>
          <w:sz w:val="20"/>
          <w:szCs w:val="20"/>
          <w:color w:val="auto"/>
        </w:rPr>
      </w:pPr>
    </w:p>
    <w:p>
      <w:pPr>
        <w:ind w:right="60" w:firstLine="567"/>
        <w:spacing w:after="0" w:line="241" w:lineRule="auto"/>
        <w:rPr>
          <w:sz w:val="20"/>
          <w:szCs w:val="20"/>
          <w:color w:val="auto"/>
        </w:rPr>
      </w:pPr>
      <w:r>
        <w:rPr>
          <w:rFonts w:ascii="Arial" w:cs="Arial" w:eastAsia="Arial" w:hAnsi="Arial"/>
          <w:sz w:val="18"/>
          <w:szCs w:val="18"/>
          <w:color w:val="auto"/>
        </w:rPr>
        <w:t>The COVID-19 pandemic may result in the inability of our suppliers to deliver supplies to us on a timely basis. We currently utilize third parties to, among other things, manufacture components of our product candidates and, in the future, intend to utilize third parties to conduct our preclinical and clinical studies. If either we or any third-party parties in the supply chain for materials used in the production of our product candidates are adversely impacted by restrictions resulting from the COVID-19 pandemic, our supply chain may be disrupted, limiting our ability to manufacture our product candidates for our preclinical or clinical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06" w:lineRule="exact"/>
        <w:rPr>
          <w:sz w:val="20"/>
          <w:szCs w:val="20"/>
          <w:color w:val="auto"/>
        </w:rPr>
      </w:pPr>
    </w:p>
    <w:p>
      <w:pPr>
        <w:ind w:right="40" w:firstLine="567"/>
        <w:spacing w:after="0" w:line="241" w:lineRule="auto"/>
        <w:rPr>
          <w:sz w:val="20"/>
          <w:szCs w:val="20"/>
          <w:color w:val="auto"/>
        </w:rPr>
      </w:pPr>
      <w:r>
        <w:rPr>
          <w:rFonts w:ascii="Arial" w:cs="Arial" w:eastAsia="Arial" w:hAnsi="Arial"/>
          <w:sz w:val="18"/>
          <w:szCs w:val="18"/>
          <w:color w:val="auto"/>
        </w:rPr>
        <w:t>Both the health and economic aspects of the COVID-19 virus are highly fluid, and depend in part on the emergence and spread of variant strains of the COVID-19 virus which cannot be predicted, and the future course of each is uncertain. For these reasons and other reasons that may come to light if the COVID-19 pandemic and associated protective or preventative measures expand, we may experience a material adverse effect, either directly or indirectly through our CROs, CMOs, collaboration partners or patients, on our business operations, revenues and financial condition; however, its ultimate impact is highly uncertain and subject to change.</w:t>
      </w:r>
    </w:p>
    <w:p>
      <w:pPr>
        <w:spacing w:after="0" w:line="2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5" w:lineRule="exact"/>
        <w:rPr>
          <w:sz w:val="20"/>
          <w:szCs w:val="20"/>
          <w:color w:val="auto"/>
        </w:rPr>
      </w:pPr>
    </w:p>
    <w:p>
      <w:pPr>
        <w:ind w:right="200" w:firstLine="567"/>
        <w:spacing w:after="0" w:line="259" w:lineRule="auto"/>
        <w:rPr>
          <w:sz w:val="20"/>
          <w:szCs w:val="20"/>
          <w:color w:val="auto"/>
        </w:rPr>
      </w:pPr>
      <w:r>
        <w:rPr>
          <w:rFonts w:ascii="Arial" w:cs="Arial" w:eastAsia="Arial" w:hAnsi="Arial"/>
          <w:sz w:val="17"/>
          <w:szCs w:val="17"/>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74" w:lineRule="exact"/>
        <w:rPr>
          <w:sz w:val="20"/>
          <w:szCs w:val="20"/>
          <w:color w:val="auto"/>
        </w:rPr>
      </w:pPr>
    </w:p>
    <w:p>
      <w:pPr>
        <w:ind w:firstLine="567"/>
        <w:spacing w:after="0" w:line="253" w:lineRule="auto"/>
        <w:rPr>
          <w:sz w:val="20"/>
          <w:szCs w:val="20"/>
          <w:color w:val="auto"/>
        </w:rPr>
      </w:pPr>
      <w:r>
        <w:rPr>
          <w:rFonts w:ascii="Arial" w:cs="Arial" w:eastAsia="Arial" w:hAnsi="Arial"/>
          <w:sz w:val="17"/>
          <w:szCs w:val="17"/>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Phase 1 and Phase 2 clinical trials with imsidolimab, and subsequent clinical trials with imsidolimab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4" w:lineRule="exact"/>
        <w:rPr>
          <w:sz w:val="20"/>
          <w:szCs w:val="20"/>
          <w:color w:val="auto"/>
        </w:rPr>
      </w:pPr>
    </w:p>
    <w:p>
      <w:pPr>
        <w:ind w:right="40" w:firstLine="567"/>
        <w:spacing w:after="0" w:line="252" w:lineRule="auto"/>
        <w:rPr>
          <w:sz w:val="20"/>
          <w:szCs w:val="20"/>
          <w:color w:val="auto"/>
        </w:rPr>
      </w:pPr>
      <w:r>
        <w:rPr>
          <w:rFonts w:ascii="Arial" w:cs="Arial" w:eastAsia="Arial" w:hAnsi="Arial"/>
          <w:sz w:val="17"/>
          <w:szCs w:val="17"/>
          <w:color w:val="auto"/>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3" w:lineRule="exact"/>
        <w:rPr>
          <w:sz w:val="20"/>
          <w:szCs w:val="20"/>
          <w:color w:val="auto"/>
        </w:rPr>
      </w:pPr>
    </w:p>
    <w:p>
      <w:pPr>
        <w:ind w:right="20" w:firstLine="567"/>
        <w:spacing w:after="0" w:line="255"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0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inhibit market acceptance of the approved product due to its tolerability versus other therapies. Any of these developments could materially harm our business, financial condition and prospects.</w:t>
      </w:r>
    </w:p>
    <w:p>
      <w:pPr>
        <w:spacing w:after="0" w:line="171" w:lineRule="exact"/>
        <w:rPr>
          <w:sz w:val="20"/>
          <w:szCs w:val="20"/>
          <w:color w:val="auto"/>
        </w:rPr>
      </w:pPr>
    </w:p>
    <w:p>
      <w:pPr>
        <w:ind w:right="20" w:firstLine="567"/>
        <w:spacing w:after="0" w:line="262"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320"/>
        <w:spacing w:after="0" w:line="346"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ind w:firstLine="567"/>
        <w:spacing w:after="0" w:line="236"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clinical trial application (“CTA”) to conduct clinical trials for imsidolimab in the United States and certain foreign jurisdictions and we have cleared an IND to conduct a clinical trial for rosnilimab in the United States,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77" w:lineRule="exact"/>
        <w:rPr>
          <w:sz w:val="20"/>
          <w:szCs w:val="20"/>
          <w:color w:val="auto"/>
        </w:rPr>
      </w:pPr>
    </w:p>
    <w:p>
      <w:pPr>
        <w:ind w:right="100" w:firstLine="567"/>
        <w:spacing w:after="0" w:line="236" w:lineRule="auto"/>
        <w:rPr>
          <w:sz w:val="20"/>
          <w:szCs w:val="20"/>
          <w:color w:val="auto"/>
        </w:rPr>
      </w:pPr>
      <w:r>
        <w:rPr>
          <w:rFonts w:ascii="Arial" w:cs="Arial" w:eastAsia="Arial" w:hAnsi="Arial"/>
          <w:sz w:val="17"/>
          <w:szCs w:val="17"/>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our planned Phase 3 trials for imsidolimab for GPP, GEMINI-1 and GEMINI-2, with GEMINI-1 enrolling approximately 45 moderate-to-severe GPP patients, will be sufficient to demonstrate substantial evidence of efficacy and safety of imsidolimab in GPP patients and obtain BLA approval, and we discussed these plans with the FDA in an end-of-Phase 2 meeting during the second quarter of 2021. However, the FDA may determine, based on future clinical efficacy and safety data from our GPP studies, that we will need to conduct additional clinical trials in order to obtain approval of a BLA.</w:t>
      </w:r>
    </w:p>
    <w:p>
      <w:pPr>
        <w:spacing w:after="0" w:line="191"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76" w:lineRule="exact"/>
        <w:rPr>
          <w:sz w:val="20"/>
          <w:szCs w:val="20"/>
          <w:color w:val="auto"/>
        </w:rPr>
      </w:pPr>
    </w:p>
    <w:p>
      <w:pPr>
        <w:ind w:left="900" w:right="38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ind w:left="900" w:right="200" w:hanging="406"/>
        <w:spacing w:after="0" w:line="308" w:lineRule="auto"/>
        <w:tabs>
          <w:tab w:leader="none" w:pos="8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non-clinical or clinical sites becoming unavailable due to political, economic, or public health events, such as the COVID-19 pandemic;</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200" w:lineRule="exact"/>
        <w:rPr>
          <w:sz w:val="20"/>
          <w:szCs w:val="20"/>
          <w:color w:val="auto"/>
        </w:rPr>
      </w:pPr>
    </w:p>
    <w:p>
      <w:pPr>
        <w:spacing w:after="0" w:line="210"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40" w:firstLine="567"/>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0"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8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color w:val="auto"/>
        </w:rPr>
        <w:t>We have recently commenced clinical development of imsidolimab, rosnilimab and ANB032 and have a limited history of conducting clinical trials and no history of commercializing biotechnology products, which may make it difficult to evaluate the prospects for our future viability.</w:t>
      </w:r>
    </w:p>
    <w:p>
      <w:pPr>
        <w:spacing w:after="0" w:line="25" w:lineRule="exact"/>
        <w:rPr>
          <w:sz w:val="20"/>
          <w:szCs w:val="20"/>
          <w:color w:val="auto"/>
        </w:rPr>
      </w:pPr>
    </w:p>
    <w:p>
      <w:pPr>
        <w:ind w:right="140" w:firstLine="567"/>
        <w:spacing w:after="0" w:line="254" w:lineRule="auto"/>
        <w:rPr>
          <w:sz w:val="20"/>
          <w:szCs w:val="20"/>
          <w:color w:val="auto"/>
        </w:rPr>
      </w:pPr>
      <w:r>
        <w:rPr>
          <w:rFonts w:ascii="Arial" w:cs="Arial" w:eastAsia="Arial" w:hAnsi="Arial"/>
          <w:sz w:val="17"/>
          <w:szCs w:val="17"/>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1" w:lineRule="exact"/>
        <w:rPr>
          <w:sz w:val="20"/>
          <w:szCs w:val="20"/>
          <w:color w:val="auto"/>
        </w:rPr>
      </w:pPr>
    </w:p>
    <w:p>
      <w:pPr>
        <w:ind w:right="380" w:firstLine="567"/>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900" w:right="600" w:hanging="406"/>
        <w:spacing w:after="0" w:line="261"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900" w:right="460" w:hanging="406"/>
        <w:spacing w:after="0" w:line="261"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98" w:lineRule="exact"/>
        <w:rPr>
          <w:sz w:val="20"/>
          <w:szCs w:val="20"/>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900" w:right="500" w:hanging="406"/>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22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6" w:lineRule="exact"/>
        <w:rPr>
          <w:sz w:val="20"/>
          <w:szCs w:val="20"/>
          <w:color w:val="auto"/>
        </w:rPr>
      </w:pPr>
    </w:p>
    <w:p>
      <w:pPr>
        <w:ind w:right="340" w:firstLine="567"/>
        <w:spacing w:after="0" w:line="263" w:lineRule="auto"/>
        <w:rPr>
          <w:sz w:val="20"/>
          <w:szCs w:val="20"/>
          <w:color w:val="auto"/>
        </w:rPr>
      </w:pPr>
      <w:r>
        <w:rPr>
          <w:rFonts w:ascii="Arial" w:cs="Arial" w:eastAsia="Arial" w:hAnsi="Arial"/>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79"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For GPP our competitors include marketed therapies such as secukinumab (Cosentyx; Novartis), which binds IL-17A; ustekinumab (Stelara; Janssen), which blocks IL-12 and 23 cytokine function; and acitretin (Soriatane; GSK), as well as therapies in development such as guselkumab (Janssen), which blocks IL-23 cytokine function, gevokizumab (Xoma 052) and canakinumab (Ilaris, Novartis), which binds IL-1 beta, anakinra (Kineret; Swedish Orphan Biovitrum AB), a recombinant form of the IL-1 receptor antagonist and an anti-IL-36 receptor antibody called spesolimab or BI-655130 (Boehringer Ingelheim).</w:t>
      </w:r>
    </w:p>
    <w:p>
      <w:pPr>
        <w:spacing w:after="0" w:line="174"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For ichthyosis, systemically administered competitors include secukinumab (Cosentyx; Novartis), liarozole (GSK), dupilumab (Dupixent; Regeneron/Sanofi), and adalimumab (Humira; Abbvie). Various topical treatments may also be used off-label for treatment of ichthyosis related symptoms.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292" w:lineRule="exact"/>
        <w:rPr>
          <w:sz w:val="20"/>
          <w:szCs w:val="20"/>
          <w:color w:val="auto"/>
        </w:rPr>
      </w:pPr>
    </w:p>
    <w:p>
      <w:pPr>
        <w:ind w:right="320" w:firstLine="567"/>
        <w:spacing w:after="0" w:line="235" w:lineRule="auto"/>
        <w:rPr>
          <w:sz w:val="20"/>
          <w:szCs w:val="20"/>
          <w:color w:val="auto"/>
        </w:rPr>
      </w:pPr>
      <w:r>
        <w:rPr>
          <w:rFonts w:ascii="Arial" w:cs="Arial" w:eastAsia="Arial" w:hAnsi="Arial"/>
          <w:sz w:val="18"/>
          <w:szCs w:val="18"/>
          <w:color w:val="auto"/>
        </w:rPr>
        <w:t>For hidradenitis suppurativa, our competitors include adalimumab (Humira; Abbvie) which is approved for the treatment of moderate to severe hidradenitis suppurativa for patients 12 years of age or older.</w:t>
      </w:r>
    </w:p>
    <w:p>
      <w:pPr>
        <w:spacing w:after="0" w:line="162" w:lineRule="exact"/>
        <w:rPr>
          <w:sz w:val="20"/>
          <w:szCs w:val="20"/>
          <w:color w:val="auto"/>
        </w:rPr>
      </w:pPr>
    </w:p>
    <w:p>
      <w:pPr>
        <w:ind w:right="80" w:firstLine="567"/>
        <w:spacing w:after="0" w:line="224" w:lineRule="auto"/>
        <w:rPr>
          <w:sz w:val="20"/>
          <w:szCs w:val="20"/>
          <w:color w:val="auto"/>
        </w:rPr>
      </w:pPr>
      <w:r>
        <w:rPr>
          <w:rFonts w:ascii="Arial" w:cs="Arial" w:eastAsia="Arial" w:hAnsi="Arial"/>
          <w:sz w:val="18"/>
          <w:szCs w:val="18"/>
          <w:color w:val="auto"/>
        </w:rPr>
        <w:t>For acne, our competitors include retinoids and retinoid-like drugs, including tretinoin (Avita, Retin-A, adapalene (Differin) and tazarotene (Tazorac, Avage), antibiotics including clindamycin (Benzaclin, Duac) and erythromycin (Benzamycin) and isotretinoin (Amnesteem, Claravis, Accutane) and oral antibiotics including sarecycline (Seysara).</w:t>
      </w:r>
    </w:p>
    <w:p>
      <w:pPr>
        <w:spacing w:after="0" w:line="163" w:lineRule="exact"/>
        <w:rPr>
          <w:sz w:val="20"/>
          <w:szCs w:val="20"/>
          <w:color w:val="auto"/>
        </w:rPr>
      </w:pPr>
    </w:p>
    <w:p>
      <w:pPr>
        <w:ind w:right="100" w:firstLine="567"/>
        <w:spacing w:after="0" w:line="226" w:lineRule="auto"/>
        <w:rPr>
          <w:sz w:val="20"/>
          <w:szCs w:val="20"/>
          <w:color w:val="auto"/>
        </w:rPr>
      </w:pPr>
      <w:r>
        <w:rPr>
          <w:rFonts w:ascii="Arial" w:cs="Arial" w:eastAsia="Arial" w:hAnsi="Arial"/>
          <w:sz w:val="17"/>
          <w:szCs w:val="17"/>
          <w:color w:val="auto"/>
        </w:rPr>
        <w:t>For our anti-inflammatory checkpoint modulator antibody programs, our competitors include CC-90006 (BMS), which is an anti-PD-1 agonist antibody developed under our partnership with BMS, a BTLA modulator antibody called LY3361237 being developed by Eli Lilly, a PD-1 agonist antibody called LY3462817 also being developed by Eli Lilly and two PD-1 agonist antibodies called PT627 and PT001 being developed by Pandion Therapeutics who is being acquired by Merck. Our competitors in moderate-to-severe alopecia areata and vitiligo include topical and oral corticosteroids, topical immunotherapy (diphencyprone, dinitrochlorobenzene, squaric acid dibutyl ester), calcineurin inhibitors (tacrolimus, pimecrolimus), light therapy, prostaglandins and janus kinase inhibitors (tofacitinib, rixolitinib) currently in development.</w:t>
      </w:r>
    </w:p>
    <w:p>
      <w:pPr>
        <w:spacing w:after="0" w:line="178"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right="40" w:firstLine="567"/>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4" w:lineRule="exact"/>
        <w:rPr>
          <w:sz w:val="20"/>
          <w:szCs w:val="20"/>
          <w:color w:val="auto"/>
        </w:rPr>
      </w:pPr>
    </w:p>
    <w:p>
      <w:pPr>
        <w:ind w:right="160" w:firstLine="567"/>
        <w:spacing w:after="0" w:line="255"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200" w:lineRule="exact"/>
        <w:rPr>
          <w:sz w:val="20"/>
          <w:szCs w:val="20"/>
          <w:color w:val="auto"/>
        </w:rPr>
      </w:pPr>
    </w:p>
    <w:p>
      <w:pPr>
        <w:spacing w:after="0" w:line="21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60" w:firstLine="567"/>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50"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2"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by designing our pivotal clinical trial or clinical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85"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900" w:right="34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98" w:lineRule="exact"/>
        <w:rPr>
          <w:sz w:val="20"/>
          <w:szCs w:val="20"/>
          <w:color w:val="auto"/>
        </w:rPr>
      </w:pPr>
    </w:p>
    <w:p>
      <w:pPr>
        <w:ind w:left="900" w:hanging="40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28" w:lineRule="exact"/>
        <w:rPr>
          <w:rFonts w:ascii="Arial" w:cs="Arial" w:eastAsia="Arial" w:hAnsi="Arial"/>
          <w:sz w:val="17"/>
          <w:szCs w:val="17"/>
          <w:color w:val="auto"/>
        </w:rPr>
      </w:pPr>
    </w:p>
    <w:p>
      <w:pPr>
        <w:ind w:left="900" w:right="320" w:hanging="406"/>
        <w:spacing w:after="0" w:line="308" w:lineRule="auto"/>
        <w:tabs>
          <w:tab w:leader="none" w:pos="8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6"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60" w:firstLine="567"/>
        <w:spacing w:after="0" w:line="290" w:lineRule="auto"/>
        <w:rPr>
          <w:sz w:val="20"/>
          <w:szCs w:val="20"/>
          <w:color w:val="auto"/>
        </w:rPr>
      </w:pPr>
      <w:r>
        <w:rPr>
          <w:rFonts w:ascii="Arial" w:cs="Arial" w:eastAsia="Arial" w:hAnsi="Arial"/>
          <w:sz w:val="16"/>
          <w:szCs w:val="16"/>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(“cGMPs”), the FDA may deny BLA approval until the deficiencies are corrected or we replace the manufacturer in our BLA with a manufacturer that is in compliance.</w:t>
      </w:r>
    </w:p>
    <w:p>
      <w:pPr>
        <w:spacing w:after="0" w:line="165" w:lineRule="exact"/>
        <w:rPr>
          <w:sz w:val="20"/>
          <w:szCs w:val="20"/>
          <w:color w:val="auto"/>
        </w:rPr>
      </w:pPr>
    </w:p>
    <w:p>
      <w:pPr>
        <w:ind w:right="80" w:firstLine="567"/>
        <w:spacing w:after="0" w:line="270"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36"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GSK and BMS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80" w:firstLine="445"/>
        <w:spacing w:after="0" w:line="286" w:lineRule="auto"/>
        <w:rPr>
          <w:sz w:val="20"/>
          <w:szCs w:val="20"/>
          <w:color w:val="auto"/>
        </w:rPr>
      </w:pPr>
      <w:r>
        <w:rPr>
          <w:rFonts w:ascii="Arial" w:cs="Arial" w:eastAsia="Arial" w:hAnsi="Arial"/>
          <w:sz w:val="17"/>
          <w:szCs w:val="17"/>
          <w:color w:val="auto"/>
        </w:rPr>
        <w:t>Since our inception, we have incurred significant operating losses in every year except fiscal year 2014. We had $41.3 million in collaboration revenue and our net loss was $18.6 million for the six months ended June 30, 2021 and a net loss of $29.8 million for the six months ended June 30, 2020, with $15.0 million in collaboration revenue. As of June 30, 2021, we had an accumulated deficit of $282.5 million.</w:t>
      </w:r>
    </w:p>
    <w:p>
      <w:pPr>
        <w:spacing w:after="0" w:line="165"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three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imsidolimab, or any of our other</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46" w:name="page47"/>
    <w:bookmarkEnd w:id="46"/>
    <w:p>
      <w:pPr>
        <w:spacing w:after="0" w:line="30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product candidates, is approved for commercial sale, we anticipate incurring significant costs associated with the commercial launch of any product candidate.</w:t>
      </w:r>
    </w:p>
    <w:p>
      <w:pPr>
        <w:spacing w:after="0" w:line="170"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0"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6" w:lineRule="exact"/>
        <w:rPr>
          <w:sz w:val="20"/>
          <w:szCs w:val="20"/>
          <w:color w:val="auto"/>
        </w:rPr>
      </w:pPr>
    </w:p>
    <w:p>
      <w:pPr>
        <w:ind w:right="100" w:firstLine="567"/>
        <w:spacing w:after="0" w:line="288"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into 2024.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168"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4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98" w:lineRule="exact"/>
        <w:rPr>
          <w:sz w:val="20"/>
          <w:szCs w:val="20"/>
          <w:color w:val="auto"/>
        </w:rPr>
      </w:pPr>
    </w:p>
    <w:p>
      <w:pPr>
        <w:ind w:left="660" w:right="1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58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commercial success or failure of products sold by our collaborators, such as JEMPERLI and Zejula by GSK, and the timing thereof;</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660" w:right="64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2" w:lineRule="exact"/>
        <w:rPr>
          <w:sz w:val="20"/>
          <w:szCs w:val="20"/>
          <w:color w:val="auto"/>
        </w:rPr>
      </w:pPr>
    </w:p>
    <w:p>
      <w:pPr>
        <w:ind w:right="5060"/>
        <w:spacing w:after="0" w:line="488"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2" w:lineRule="exact"/>
        <w:rPr>
          <w:sz w:val="20"/>
          <w:szCs w:val="20"/>
          <w:color w:val="auto"/>
        </w:rPr>
      </w:pPr>
    </w:p>
    <w:p>
      <w:pPr>
        <w:ind w:firstLine="567"/>
        <w:spacing w:after="0" w:line="261"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30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69" w:lineRule="exact"/>
        <w:rPr>
          <w:sz w:val="20"/>
          <w:szCs w:val="20"/>
          <w:color w:val="auto"/>
        </w:rPr>
      </w:pPr>
    </w:p>
    <w:p>
      <w:pPr>
        <w:ind w:right="80" w:firstLine="567"/>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184"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5" w:lineRule="exact"/>
        <w:rPr>
          <w:sz w:val="20"/>
          <w:szCs w:val="20"/>
          <w:color w:val="auto"/>
        </w:rPr>
      </w:pPr>
    </w:p>
    <w:p>
      <w:pPr>
        <w:jc w:val="both"/>
        <w:ind w:right="260" w:firstLine="567"/>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30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right="40" w:firstLine="567"/>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140" w:firstLine="567"/>
        <w:spacing w:after="0" w:line="254"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100" w:firstLine="567"/>
        <w:spacing w:after="0" w:line="270"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85"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firstLine="445"/>
        <w:spacing w:after="0" w:line="248" w:lineRule="auto"/>
        <w:rPr>
          <w:sz w:val="20"/>
          <w:szCs w:val="20"/>
          <w:color w:val="auto"/>
        </w:rPr>
      </w:pPr>
      <w:r>
        <w:rPr>
          <w:rFonts w:ascii="Arial" w:cs="Arial" w:eastAsia="Arial" w:hAnsi="Arial"/>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loss, terrorist activity, health epidemics or pandemics such as the COVID-19 pandemic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74"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180" w:firstLine="567"/>
        <w:spacing w:after="0" w:line="255" w:lineRule="auto"/>
        <w:rPr>
          <w:sz w:val="20"/>
          <w:szCs w:val="20"/>
          <w:color w:val="auto"/>
        </w:rPr>
      </w:pPr>
      <w:r>
        <w:rPr>
          <w:rFonts w:ascii="Arial" w:cs="Arial" w:eastAsia="Arial" w:hAnsi="Arial"/>
          <w:sz w:val="18"/>
          <w:szCs w:val="18"/>
          <w:color w:val="auto"/>
        </w:rPr>
        <w:t>We have entered into collaborations with GSK and BMS to develop several of our product candidates. We have also entered into antibody generation and/or development collaborations with various collaborators, including GSK and BMS, under which we have generated therapeutic quality antibodies using our technology platform and conducted certain preclinical studies in collaboration. We are currently aware that GSK and BMS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2" w:lineRule="exact"/>
        <w:rPr>
          <w:sz w:val="20"/>
          <w:szCs w:val="20"/>
          <w:color w:val="auto"/>
        </w:rPr>
      </w:pPr>
    </w:p>
    <w:p>
      <w:pPr>
        <w:ind w:firstLine="567"/>
        <w:spacing w:after="0" w:line="265" w:lineRule="auto"/>
        <w:rPr>
          <w:sz w:val="20"/>
          <w:szCs w:val="20"/>
          <w:color w:val="auto"/>
        </w:rPr>
      </w:pPr>
      <w:r>
        <w:rPr>
          <w:rFonts w:ascii="Arial" w:cs="Arial" w:eastAsia="Arial" w:hAnsi="Arial"/>
          <w:sz w:val="16"/>
          <w:szCs w:val="16"/>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w:t>
      </w:r>
    </w:p>
    <w:p>
      <w:pPr>
        <w:spacing w:after="0" w:line="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covered by the agreement. We subsequently settled this matter in October 2020, but </w:t>
      </w:r>
      <w:r>
        <w:rPr>
          <w:rFonts w:ascii="Arial" w:cs="Arial" w:eastAsia="Arial" w:hAnsi="Arial"/>
          <w:sz w:val="21"/>
          <w:szCs w:val="21"/>
          <w:color w:val="auto"/>
        </w:rPr>
        <w:t>t</w:t>
      </w:r>
      <w:r>
        <w:rPr>
          <w:rFonts w:ascii="Arial" w:cs="Arial" w:eastAsia="Arial" w:hAnsi="Arial"/>
          <w:sz w:val="18"/>
          <w:szCs w:val="18"/>
          <w:color w:val="auto"/>
        </w:rPr>
        <w:t>here can be no assurance that we will not encounter such issues under our collaborations with GSK or other parties in the future.</w:t>
      </w:r>
    </w:p>
    <w:p>
      <w:pPr>
        <w:spacing w:after="0" w:line="27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8"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In addition to our current licensing arrangements with GSK and BMS,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into new collaboration agreements related to our product candidates could delay the development and commercialization of our product candidates and reduce their competitiveness if they reach the market.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32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completely on third parties to manufacture our nonclinical, clinical and future commercial drug supplies of any approved products.</w:t>
      </w:r>
    </w:p>
    <w:p>
      <w:pPr>
        <w:spacing w:after="0" w:line="144"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306" w:lineRule="exact"/>
        <w:rPr>
          <w:sz w:val="20"/>
          <w:szCs w:val="20"/>
          <w:color w:val="auto"/>
        </w:rPr>
      </w:pPr>
    </w:p>
    <w:p>
      <w:pPr>
        <w:ind w:right="200" w:firstLine="567"/>
        <w:spacing w:after="0" w:line="311"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49"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9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80" w:firstLine="567"/>
        <w:spacing w:after="0" w:line="268" w:lineRule="auto"/>
        <w:rPr>
          <w:sz w:val="20"/>
          <w:szCs w:val="20"/>
          <w:color w:val="auto"/>
        </w:rPr>
      </w:pPr>
      <w:r>
        <w:rPr>
          <w:rFonts w:ascii="Arial" w:cs="Arial" w:eastAsia="Arial" w:hAnsi="Arial"/>
          <w:sz w:val="17"/>
          <w:szCs w:val="17"/>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w:t>
      </w:r>
    </w:p>
    <w:p>
      <w:pPr>
        <w:spacing w:after="0" w:line="248" w:lineRule="exact"/>
        <w:rPr>
          <w:sz w:val="20"/>
          <w:szCs w:val="20"/>
          <w:color w:val="auto"/>
        </w:rPr>
      </w:pPr>
    </w:p>
    <w:p>
      <w:pPr>
        <w:ind w:right="180" w:firstLine="567"/>
        <w:spacing w:after="0" w:line="275"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76"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4"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0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88"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b w:val="1"/>
          <w:bCs w:val="1"/>
          <w:color w:val="auto"/>
        </w:rPr>
        <w:t>We plan to seek Orphan Drug Designation for imsidolimab and certain of our other product candidates, and we may not be able to obtain or maintain Orphan Drug Designation or obtain the benefits associated with Orphan Drug status, including market exclusivity.</w:t>
      </w:r>
    </w:p>
    <w:p>
      <w:pPr>
        <w:spacing w:after="0" w:line="143" w:lineRule="exact"/>
        <w:rPr>
          <w:sz w:val="20"/>
          <w:szCs w:val="20"/>
          <w:color w:val="auto"/>
        </w:rPr>
      </w:pPr>
    </w:p>
    <w:p>
      <w:pPr>
        <w:ind w:right="40" w:firstLine="567"/>
        <w:spacing w:after="0" w:line="269" w:lineRule="auto"/>
        <w:rPr>
          <w:sz w:val="20"/>
          <w:szCs w:val="20"/>
          <w:color w:val="auto"/>
        </w:rPr>
      </w:pPr>
      <w:r>
        <w:rPr>
          <w:rFonts w:ascii="Arial" w:cs="Arial" w:eastAsia="Arial" w:hAnsi="Arial"/>
          <w:sz w:val="16"/>
          <w:szCs w:val="16"/>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We received Orphan Drug Designation from the FDA for imsidolimab for our GPP indication in 2020 and plan to seek Orphan Drug Designation for imsidolimab in other indications and for certain of our other product candidates.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EMA with respect to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8" w:lineRule="exact"/>
        <w:rPr>
          <w:sz w:val="20"/>
          <w:szCs w:val="20"/>
          <w:color w:val="auto"/>
        </w:rPr>
      </w:pPr>
    </w:p>
    <w:p>
      <w:pPr>
        <w:ind w:right="120" w:firstLine="567"/>
        <w:spacing w:after="0" w:line="241" w:lineRule="auto"/>
        <w:rPr>
          <w:sz w:val="20"/>
          <w:szCs w:val="20"/>
          <w:color w:val="auto"/>
        </w:rPr>
      </w:pPr>
      <w:r>
        <w:rPr>
          <w:rFonts w:ascii="Arial" w:cs="Arial" w:eastAsia="Arial" w:hAnsi="Arial"/>
          <w:sz w:val="18"/>
          <w:szCs w:val="18"/>
          <w:color w:val="auto"/>
        </w:rPr>
        <w:t>We have not been granted Orphan Drug Designation for imsidolimab for any indication other than GPP, and there can be no assurance that any of our other product candidates will be designated as an orphan drug. For example, we may seek FDA Orphan Drug Designation for imsidolimab for the treatment of other indications, which will likely require that we demonstrate to FDA that each such indication is a distinct disease from psoriasis generally (a non-rare disease) or that use of imsidolimab may be appropriate for the treatment of such other indication but not appropriate for use in the general psoriasis population.</w:t>
      </w:r>
    </w:p>
    <w:p>
      <w:pPr>
        <w:spacing w:after="0" w:line="189" w:lineRule="exact"/>
        <w:rPr>
          <w:sz w:val="20"/>
          <w:szCs w:val="20"/>
          <w:color w:val="auto"/>
        </w:rPr>
      </w:pPr>
    </w:p>
    <w:p>
      <w:pPr>
        <w:ind w:firstLine="567"/>
        <w:spacing w:after="0" w:line="239" w:lineRule="auto"/>
        <w:rPr>
          <w:sz w:val="20"/>
          <w:szCs w:val="20"/>
          <w:color w:val="auto"/>
        </w:rPr>
      </w:pPr>
      <w:r>
        <w:rPr>
          <w:rFonts w:ascii="Arial" w:cs="Arial" w:eastAsia="Arial" w:hAnsi="Arial"/>
          <w:sz w:val="18"/>
          <w:szCs w:val="18"/>
          <w:color w:val="auto"/>
        </w:rPr>
        <w:t>Even if we obtain Orphan Drug Designation for imsidolimab in indications other than GPP, or for any of our other product candidates,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06"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6"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78"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64"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306" w:lineRule="exact"/>
        <w:rPr>
          <w:sz w:val="20"/>
          <w:szCs w:val="20"/>
          <w:color w:val="auto"/>
        </w:rPr>
      </w:pPr>
    </w:p>
    <w:p>
      <w:pPr>
        <w:ind w:right="320" w:firstLine="567"/>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Healthcare legislative reform measures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right="140" w:firstLine="567"/>
        <w:spacing w:after="0" w:line="241"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9"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(collectively, the “ACA”) was enacted, which was intended to broaden access to health insurance, reduce or constrain the growth of healthcare spending, enhanced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 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 which has since been increased to 70% by the Bipartisan Budget Act of 2018 (“BBA”),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70" w:lineRule="exact"/>
        <w:rPr>
          <w:sz w:val="20"/>
          <w:szCs w:val="20"/>
          <w:color w:val="auto"/>
        </w:rPr>
      </w:pPr>
    </w:p>
    <w:p>
      <w:pPr>
        <w:ind w:right="60" w:firstLine="567"/>
        <w:spacing w:after="0" w:line="289" w:lineRule="auto"/>
        <w:rPr>
          <w:sz w:val="20"/>
          <w:szCs w:val="20"/>
          <w:color w:val="auto"/>
        </w:rPr>
      </w:pPr>
      <w:r>
        <w:rPr>
          <w:rFonts w:ascii="Arial" w:cs="Arial" w:eastAsia="Arial" w:hAnsi="Arial"/>
          <w:sz w:val="16"/>
          <w:szCs w:val="16"/>
          <w:color w:val="auto"/>
        </w:rPr>
        <w:t>There have been judicial and Congressional efforts to repeal, replace or change certain aspects of the ACA, including measures taken during the former presidential administration. The Tax Cuts and Jobs Act of 2017, or the Tax Reform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In November 2020, the United States Supreme Court held oral arguments on the Fifth Circuit U.S. Court of Appeals decision that held that the individual mandate is unconstitutional. In June 2021, the Supreme Court held that the petitioners in the case did not have standing to challenge the individual mandate and remanded the case for dismissal. However, it is uncertain whether there will be additional efforts to challenge, repeal or replace the ACA or how healthcare measures of the Biden administration will impact the ACA and our business. Additionally, the 2020 federal spending package permanently eliminated, effective January 1, 2020, the ACA-mandated “Cadillac” tax on certain high cost employer-sponsored insurance plans and the medical device excise tax, and effective January 1, 2021, also eliminates the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3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insurer tax. The BBA, among other things, also amended the ACA, effective January 1, 2019, by increasing from 50% to 70% the point-of-sale discount that is owed by pharmaceutical manufacturers who participate in Medicare Part D and closing the coverage gap in most Medicare drug plans, commonly referred to as the “donut hole.” In addition, CMS published a final rule that would give states greater flexibility, effective January 1, 2020, in setting benchmarks for insurers in the individual and small group marketplaces, which may have the effect of relaxing the essential health benefits required under the ACA for plans sold through such marketplaces.</w:t>
      </w:r>
    </w:p>
    <w:p>
      <w:pPr>
        <w:spacing w:after="0" w:line="18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in 2013 and will remain in effect through 2030, with the exception of a temporary suspension implemented under various COVID-19 relief legislation from May 1, 2020 through December 31, 2021, unless additional Congressional action is taken. The American Taxpayer Relief Act of 2012, among other things, reduced Medicare payments to several types of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 care funding, which could have a material adverse effect on customers for our drugs, if approved, and accordingly, our financial operations.</w:t>
      </w:r>
    </w:p>
    <w:p>
      <w:pPr>
        <w:spacing w:after="0" w:line="185"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There have been several Congressional inquiries and proposed and enacted federal and state legislation designed to, among other things, bring more transparency to product pricing, review the relationship between pricing and manufacturer patient programs, reduce the costs of drugs under Medicare and reform government program reimbursement methodologies for drug products. At the federal level, the former presidential administration’s budget proposal for fiscal year 2021 included a $135 billion allowance to support legislative proposals seeking to reduce drug prices, increase competition, lower out-of-pocket drug costs for patients, and increased patient access to lower cost generic and biosimilar drugs. In particular, on July 24, 2020 and September 13, 2020, the former presidential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The former presidential administration and the Biden Administration both issued executive orders intended to favor government procurement from domestic manufacturers. In addition, the former presidential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168"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Further, in November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CMS also issued an interim final rule implementing former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It is unclear to what extent these new regulations will be implemented and to what extent these or any future legislation or regulation by the Biden administration will have on our business, including our ability to generate revenue and achieve profitability. We expect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6"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The implementation of cost containment measures or other health care reforms may prevent us from being able to generate revenue, attain profitability, or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306"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8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80" w:lineRule="exact"/>
        <w:rPr>
          <w:sz w:val="20"/>
          <w:szCs w:val="20"/>
          <w:color w:val="auto"/>
        </w:rPr>
      </w:pPr>
    </w:p>
    <w:p>
      <w:pPr>
        <w:ind w:left="660" w:right="14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15" w:lineRule="exact"/>
        <w:rPr>
          <w:rFonts w:ascii="Arial" w:cs="Arial" w:eastAsia="Arial" w:hAnsi="Arial"/>
          <w:sz w:val="16"/>
          <w:szCs w:val="16"/>
          <w:color w:val="auto"/>
        </w:rPr>
      </w:pPr>
    </w:p>
    <w:p>
      <w:pPr>
        <w:jc w:val="both"/>
        <w:ind w:left="660" w:right="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8" w:lineRule="exact"/>
        <w:rPr>
          <w:sz w:val="20"/>
          <w:szCs w:val="20"/>
          <w:color w:val="auto"/>
        </w:rPr>
      </w:pPr>
    </w:p>
    <w:p>
      <w:pPr>
        <w:ind w:left="660" w:right="180"/>
        <w:spacing w:after="0" w:line="311" w:lineRule="auto"/>
        <w:rPr>
          <w:sz w:val="20"/>
          <w:szCs w:val="20"/>
          <w:color w:val="auto"/>
        </w:rPr>
      </w:pPr>
      <w:r>
        <w:rPr>
          <w:rFonts w:ascii="Arial" w:cs="Arial" w:eastAsia="Arial" w:hAnsi="Arial"/>
          <w:sz w:val="16"/>
          <w:szCs w:val="16"/>
          <w:color w:val="auto"/>
        </w:rPr>
        <w:t>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41" w:lineRule="exact"/>
        <w:rPr>
          <w:sz w:val="20"/>
          <w:szCs w:val="20"/>
          <w:color w:val="auto"/>
        </w:rPr>
      </w:pPr>
    </w:p>
    <w:p>
      <w:pPr>
        <w:ind w:left="660" w:right="8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24"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187" w:lineRule="exact"/>
        <w:rPr>
          <w:sz w:val="20"/>
          <w:szCs w:val="20"/>
          <w:color w:val="auto"/>
        </w:rPr>
      </w:pPr>
    </w:p>
    <w:p>
      <w:pPr>
        <w:ind w:right="220" w:firstLine="567"/>
        <w:spacing w:after="0" w:line="270"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181" w:lineRule="exact"/>
        <w:rPr>
          <w:sz w:val="20"/>
          <w:szCs w:val="20"/>
          <w:color w:val="auto"/>
        </w:rPr>
      </w:pPr>
    </w:p>
    <w:p>
      <w:pPr>
        <w:ind w:firstLine="567"/>
        <w:spacing w:after="0" w:line="266"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and the UK is governed by the General Data Protection Regulation (“GDPR”), which became fully applicable in May 2018 and has been incorporated into the UK’s data protection laws following Brexit.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published draft updates to its standard contractual clauses that impose substantial additional obligations on the companies that wish to use the clauses as the basis for their data transfers. Additionally, California enacted the California Consumer Privacy Act (“CCPA”), which became effective on January 1, 2020, and the California Privacy Rights Act (“CPRA”), which modifies the CCPA and creates additional obligations beginning on January 1, 2022. The CCPA and CPRA provide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306" w:lineRule="exact"/>
        <w:rPr>
          <w:sz w:val="20"/>
          <w:szCs w:val="20"/>
          <w:color w:val="auto"/>
        </w:rPr>
      </w:pPr>
    </w:p>
    <w:p>
      <w:pPr>
        <w:ind w:right="180" w:firstLine="567"/>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67"/>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06"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8"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95"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2"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168"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4"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567"/>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6"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3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187" w:lineRule="exact"/>
        <w:rPr>
          <w:sz w:val="20"/>
          <w:szCs w:val="20"/>
          <w:color w:val="auto"/>
        </w:rPr>
      </w:pPr>
    </w:p>
    <w:p>
      <w:pPr>
        <w:ind w:right="20" w:firstLine="567"/>
        <w:spacing w:after="0" w:line="287" w:lineRule="auto"/>
        <w:rPr>
          <w:sz w:val="20"/>
          <w:szCs w:val="20"/>
          <w:color w:val="auto"/>
        </w:rPr>
      </w:pPr>
      <w:r>
        <w:rPr>
          <w:rFonts w:ascii="Arial" w:cs="Arial" w:eastAsia="Arial" w:hAnsi="Arial"/>
          <w:sz w:val="16"/>
          <w:szCs w:val="16"/>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6"/>
          <w:szCs w:val="16"/>
          <w:i w:val="1"/>
          <w:iCs w:val="1"/>
          <w:color w:val="auto"/>
        </w:rPr>
        <w:t>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for Molecular Pathology v. Myriad Genetics, Inc.</w:t>
      </w:r>
      <w:r>
        <w:rPr>
          <w:rFonts w:ascii="Arial" w:cs="Arial" w:eastAsia="Arial" w:hAnsi="Arial"/>
          <w:sz w:val="16"/>
          <w:szCs w:val="16"/>
          <w:color w:val="auto"/>
        </w:rPr>
        <w:t>,</w:t>
      </w:r>
      <w:r>
        <w:rPr>
          <w:rFonts w:ascii="Arial" w:cs="Arial" w:eastAsia="Arial" w:hAnsi="Arial"/>
          <w:sz w:val="16"/>
          <w:szCs w:val="16"/>
          <w:i w:val="1"/>
          <w:iCs w:val="1"/>
          <w:color w:val="auto"/>
        </w:rPr>
        <w:t xml:space="preserve"> BRCA1- &amp; BRCA2-Based Hereditary Cancer Test Patent Litig</w:t>
      </w:r>
      <w:r>
        <w:rPr>
          <w:rFonts w:ascii="Arial" w:cs="Arial" w:eastAsia="Arial" w:hAnsi="Arial"/>
          <w:sz w:val="16"/>
          <w:szCs w:val="16"/>
          <w:color w:val="auto"/>
        </w:rPr>
        <w:t>., Mayo Collaborative Services v.</w:t>
      </w:r>
      <w:r>
        <w:rPr>
          <w:rFonts w:ascii="Arial" w:cs="Arial" w:eastAsia="Arial" w:hAnsi="Arial"/>
          <w:sz w:val="16"/>
          <w:szCs w:val="16"/>
          <w:i w:val="1"/>
          <w:iCs w:val="1"/>
          <w:color w:val="auto"/>
        </w:rPr>
        <w:t xml:space="preserve"> </w:t>
      </w:r>
      <w:r>
        <w:rPr>
          <w:rFonts w:ascii="Arial" w:cs="Arial" w:eastAsia="Arial" w:hAnsi="Arial"/>
          <w:sz w:val="16"/>
          <w:szCs w:val="16"/>
          <w:color w:val="auto"/>
        </w:rPr>
        <w:t>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276"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2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1" w:lineRule="exact"/>
        <w:rPr>
          <w:sz w:val="20"/>
          <w:szCs w:val="20"/>
          <w:color w:val="auto"/>
        </w:rPr>
      </w:pPr>
    </w:p>
    <w:p>
      <w:pPr>
        <w:ind w:firstLine="567"/>
        <w:spacing w:after="0" w:line="301"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3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firstLine="567"/>
        <w:spacing w:after="0" w:line="252" w:lineRule="auto"/>
        <w:rPr>
          <w:sz w:val="20"/>
          <w:szCs w:val="20"/>
          <w:color w:val="auto"/>
        </w:rPr>
      </w:pPr>
      <w:r>
        <w:rPr>
          <w:rFonts w:ascii="Arial" w:cs="Arial" w:eastAsia="Arial" w:hAnsi="Arial"/>
          <w:sz w:val="17"/>
          <w:szCs w:val="17"/>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183"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185" w:lineRule="exact"/>
        <w:rPr>
          <w:sz w:val="20"/>
          <w:szCs w:val="20"/>
          <w:color w:val="auto"/>
        </w:rPr>
      </w:pPr>
    </w:p>
    <w:p>
      <w:pPr>
        <w:jc w:val="both"/>
        <w:ind w:right="140" w:firstLine="567"/>
        <w:spacing w:after="0" w:line="301" w:lineRule="auto"/>
        <w:rPr>
          <w:sz w:val="20"/>
          <w:szCs w:val="20"/>
          <w:color w:val="auto"/>
        </w:rPr>
      </w:pPr>
      <w:r>
        <w:rPr>
          <w:rFonts w:ascii="Arial" w:cs="Arial" w:eastAsia="Arial" w:hAnsi="Arial"/>
          <w:sz w:val="16"/>
          <w:szCs w:val="16"/>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57" w:lineRule="exact"/>
        <w:rPr>
          <w:sz w:val="20"/>
          <w:szCs w:val="20"/>
          <w:color w:val="auto"/>
        </w:rPr>
      </w:pPr>
    </w:p>
    <w:p>
      <w:pPr>
        <w:jc w:val="both"/>
        <w:ind w:right="80" w:firstLine="567"/>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securities analysts or investors perceive these results to be negative, it could have an adverse effect on the price of shares of our common stock.</w:t>
      </w:r>
    </w:p>
    <w:p>
      <w:pPr>
        <w:spacing w:after="0" w:line="341" w:lineRule="exact"/>
        <w:rPr>
          <w:sz w:val="20"/>
          <w:szCs w:val="20"/>
          <w:color w:val="auto"/>
        </w:rPr>
      </w:pPr>
    </w:p>
    <w:p>
      <w:pPr>
        <w:ind w:right="14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licensees or collaborators;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Third parties may initiate legal proceedings against us or our licensors, licensees or collaborators alleging that we or our licensors, licensees or collaborators infringe their intellectual property rights or that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178" w:lineRule="exact"/>
        <w:rPr>
          <w:sz w:val="20"/>
          <w:szCs w:val="20"/>
          <w:color w:val="auto"/>
        </w:rPr>
      </w:pPr>
    </w:p>
    <w:p>
      <w:pPr>
        <w:ind w:right="180" w:firstLine="567"/>
        <w:spacing w:after="0" w:line="263"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30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9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30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firstLine="567"/>
        <w:spacing w:after="0" w:line="279" w:lineRule="auto"/>
        <w:rPr>
          <w:sz w:val="20"/>
          <w:szCs w:val="20"/>
          <w:color w:val="auto"/>
        </w:rPr>
      </w:pPr>
      <w:r>
        <w:rPr>
          <w:rFonts w:ascii="Arial" w:cs="Arial" w:eastAsia="Arial" w:hAnsi="Arial"/>
          <w:sz w:val="16"/>
          <w:szCs w:val="16"/>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are currently subject to securities litigation, which is described in Item 1, “Legal Proceedings.” This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0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567"/>
        <w:spacing w:after="0" w:line="262"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We are currently subject to securities litigation, which is described in Item 1, “Legal Proceedings.” Regardless of the outcome, these matters or future litigation against us could result in substantial costs and divert our management’s attention from other business concerns, which could seriously harm our business.</w:t>
      </w:r>
    </w:p>
    <w:p>
      <w:pPr>
        <w:spacing w:after="0" w:line="2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8" w:lineRule="exact"/>
        <w:rPr>
          <w:sz w:val="20"/>
          <w:szCs w:val="20"/>
          <w:color w:val="auto"/>
        </w:rPr>
      </w:pPr>
    </w:p>
    <w:p>
      <w:pPr>
        <w:ind w:firstLine="567"/>
        <w:spacing w:after="0" w:line="252"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89"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8"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8"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6"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98" w:lineRule="exact"/>
        <w:rPr>
          <w:sz w:val="20"/>
          <w:szCs w:val="20"/>
          <w:color w:val="auto"/>
        </w:rPr>
      </w:pPr>
    </w:p>
    <w:p>
      <w:pPr>
        <w:ind w:left="660" w:right="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28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60" w:firstLine="567"/>
        <w:spacing w:after="0" w:line="287"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64"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2020, we have federal NOLs of approximately $248.4 million, which expire beginning December 31, 2028 through December 31, 2037, if not used to reduce income taxes payable in the future.</w:t>
      </w:r>
    </w:p>
    <w:p>
      <w:pPr>
        <w:spacing w:after="0" w:line="289" w:lineRule="exact"/>
        <w:rPr>
          <w:sz w:val="20"/>
          <w:szCs w:val="20"/>
          <w:color w:val="auto"/>
        </w:rPr>
      </w:pPr>
    </w:p>
    <w:p>
      <w:pPr>
        <w:ind w:right="140" w:firstLine="567"/>
        <w:spacing w:after="0" w:line="282" w:lineRule="auto"/>
        <w:rPr>
          <w:sz w:val="20"/>
          <w:szCs w:val="20"/>
          <w:color w:val="auto"/>
        </w:rPr>
      </w:pPr>
      <w:r>
        <w:rPr>
          <w:rFonts w:ascii="Arial" w:cs="Arial" w:eastAsia="Arial" w:hAnsi="Arial"/>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9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56"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500" w:type="dxa"/>
            <w:vAlign w:val="bottom"/>
            <w:gridSpan w:val="5"/>
          </w:tcPr>
          <w:p>
            <w:pPr>
              <w:ind w:left="1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2"/>
        </w:trPr>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25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Number</w:t>
            </w:r>
          </w:p>
        </w:tc>
        <w:tc>
          <w:tcPr>
            <w:tcW w:w="2540" w:type="dxa"/>
            <w:vAlign w:val="bottom"/>
          </w:tcPr>
          <w:p>
            <w:pPr>
              <w:spacing w:after="0"/>
              <w:rPr>
                <w:sz w:val="21"/>
                <w:szCs w:val="21"/>
                <w:color w:val="auto"/>
              </w:rPr>
            </w:pPr>
          </w:p>
        </w:tc>
        <w:tc>
          <w:tcPr>
            <w:tcW w:w="7500" w:type="dxa"/>
            <w:vAlign w:val="bottom"/>
            <w:gridSpan w:val="5"/>
          </w:tcPr>
          <w:p>
            <w:pPr>
              <w:ind w:left="18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6"/>
                <w:szCs w:val="16"/>
                <w:color w:val="auto"/>
              </w:rPr>
              <w:t>10.19</w:t>
            </w:r>
          </w:p>
        </w:tc>
        <w:tc>
          <w:tcPr>
            <w:tcW w:w="2540" w:type="dxa"/>
            <w:vAlign w:val="bottom"/>
            <w:tcBorders>
              <w:bottom w:val="single" w:sz="8" w:color="0000FF"/>
            </w:tcBorders>
          </w:tcPr>
          <w:p>
            <w:pPr>
              <w:spacing w:after="0"/>
              <w:rPr>
                <w:rFonts w:ascii="Arial" w:cs="Arial" w:eastAsia="Arial" w:hAnsi="Arial"/>
                <w:sz w:val="16"/>
                <w:szCs w:val="16"/>
                <w:color w:val="0000FF"/>
                <w:w w:val="91"/>
              </w:rPr>
            </w:pPr>
            <w:hyperlink w:anchor="page75">
              <w:r>
                <w:rPr>
                  <w:rFonts w:ascii="Arial" w:cs="Arial" w:eastAsia="Arial" w:hAnsi="Arial"/>
                  <w:sz w:val="16"/>
                  <w:szCs w:val="16"/>
                  <w:color w:val="0000FF"/>
                  <w:w w:val="91"/>
                </w:rPr>
                <w:t>First Amendment to Lease Agreement.</w:t>
              </w:r>
            </w:hyperlink>
          </w:p>
        </w:tc>
        <w:tc>
          <w:tcPr>
            <w:tcW w:w="7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1000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w:anchor="page80">
              <w:r>
                <w:rPr>
                  <w:rFonts w:ascii="Arial" w:cs="Arial" w:eastAsia="Arial" w:hAnsi="Arial"/>
                  <w:sz w:val="16"/>
                  <w:szCs w:val="16"/>
                  <w:color w:val="0000FF"/>
                  <w:w w:val="92"/>
                </w:rPr>
                <w:t xml:space="preserve">Certification of Principal Executive Officer, pursuant to Rule 13a-14(a)/15d-14(a), as adopted pursuant to Section 302 of the Sarbanes-Oxley Act </w:t>
              </w:r>
            </w:hyperlink>
            <w:r>
              <w:rPr>
                <w:rFonts w:ascii="Arial" w:cs="Arial" w:eastAsia="Arial" w:hAnsi="Arial"/>
                <w:sz w:val="16"/>
                <w:szCs w:val="16"/>
                <w:color w:val="0000FF"/>
                <w:w w:val="92"/>
              </w:rPr>
              <w:t xml:space="preserve">of </w:t>
            </w:r>
            <w:hyperlink w:anchor="page80">
              <w:r>
                <w:rPr>
                  <w:rFonts w:ascii="Arial" w:cs="Arial" w:eastAsia="Arial" w:hAnsi="Arial"/>
                  <w:sz w:val="16"/>
                  <w:szCs w:val="16"/>
                  <w:color w:val="0000FF"/>
                  <w:w w:val="92"/>
                </w:rPr>
                <w:t>2002.</w:t>
              </w:r>
            </w:hyperlink>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960" w:type="dxa"/>
            <w:vAlign w:val="bottom"/>
            <w:gridSpan w:val="4"/>
            <w:vMerge w:val="restart"/>
          </w:tcPr>
          <w:p>
            <w:pPr>
              <w:spacing w:after="0"/>
              <w:rPr>
                <w:rFonts w:ascii="Arial" w:cs="Arial" w:eastAsia="Arial" w:hAnsi="Arial"/>
                <w:sz w:val="16"/>
                <w:szCs w:val="16"/>
                <w:color w:val="0000FF"/>
                <w:w w:val="92"/>
              </w:rPr>
            </w:pPr>
            <w:hyperlink w:anchor="page81">
              <w:r>
                <w:rPr>
                  <w:rFonts w:ascii="Arial" w:cs="Arial" w:eastAsia="Arial" w:hAnsi="Arial"/>
                  <w:sz w:val="16"/>
                  <w:szCs w:val="16"/>
                  <w:color w:val="0000FF"/>
                  <w:w w:val="92"/>
                </w:rPr>
                <w:t>Certification of Principal Financial Officer, pursuant to Rule 13a-14(a)/15d-14(a), as adopted pursuant to Section 302 of the Sarbanes-Oxley Act of 2002.</w:t>
              </w:r>
            </w:hyperlink>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16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9960" w:type="dxa"/>
            <w:vAlign w:val="bottom"/>
            <w:tcBorders>
              <w:bottom w:val="single" w:sz="8" w:color="0000FF"/>
            </w:tcBorders>
            <w:gridSpan w:val="4"/>
            <w:vMerge w:val="continue"/>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r>
              <w:rPr>
                <w:rFonts w:ascii="Arial" w:cs="Arial" w:eastAsia="Arial" w:hAnsi="Arial"/>
                <w:sz w:val="16"/>
                <w:szCs w:val="16"/>
                <w:color w:val="auto"/>
              </w:rPr>
              <w:t>32.1**</w:t>
            </w:r>
          </w:p>
        </w:tc>
        <w:tc>
          <w:tcPr>
            <w:tcW w:w="966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82">
              <w:r>
                <w:rPr>
                  <w:rFonts w:ascii="Arial" w:cs="Arial" w:eastAsia="Arial" w:hAnsi="Arial"/>
                  <w:sz w:val="16"/>
                  <w:szCs w:val="16"/>
                  <w:color w:val="0000FF"/>
                  <w:w w:val="92"/>
                </w:rPr>
                <w:t>Certification of Chief Executive Officer, pursuant to 18 U.S.C. Section 1350, as adopted pursuant to Section 906 of the Sarbanes-Oxley Act of 2002.</w:t>
              </w:r>
            </w:hyperlink>
          </w:p>
        </w:tc>
        <w:tc>
          <w:tcPr>
            <w:tcW w:w="3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16"/>
                <w:szCs w:val="16"/>
                <w:color w:val="auto"/>
              </w:rPr>
              <w:t>32.2**</w:t>
            </w:r>
          </w:p>
        </w:tc>
        <w:tc>
          <w:tcPr>
            <w:tcW w:w="10040" w:type="dxa"/>
            <w:vAlign w:val="bottom"/>
            <w:gridSpan w:val="6"/>
          </w:tcPr>
          <w:p>
            <w:pPr>
              <w:spacing w:after="0"/>
              <w:rPr>
                <w:rFonts w:ascii="Arial" w:cs="Arial" w:eastAsia="Arial" w:hAnsi="Arial"/>
                <w:sz w:val="16"/>
                <w:szCs w:val="16"/>
                <w:color w:val="0000FF"/>
                <w:w w:val="96"/>
              </w:rPr>
            </w:pPr>
            <w:hyperlink w:anchor="page83">
              <w:r>
                <w:rPr>
                  <w:rFonts w:ascii="Arial" w:cs="Arial" w:eastAsia="Arial" w:hAnsi="Arial"/>
                  <w:sz w:val="16"/>
                  <w:szCs w:val="16"/>
                  <w:color w:val="0000FF"/>
                  <w:w w:val="96"/>
                </w:rPr>
                <w:t>Certification of Chief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600" w:type="dxa"/>
            <w:vAlign w:val="bottom"/>
            <w:gridSpan w:val="2"/>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101.INS</w:t>
            </w:r>
          </w:p>
        </w:tc>
        <w:tc>
          <w:tcPr>
            <w:tcW w:w="10040" w:type="dxa"/>
            <w:vAlign w:val="bottom"/>
            <w:gridSpan w:val="6"/>
          </w:tcPr>
          <w:p>
            <w:pPr>
              <w:spacing w:after="0"/>
              <w:rPr>
                <w:sz w:val="20"/>
                <w:szCs w:val="20"/>
                <w:color w:val="auto"/>
              </w:rPr>
            </w:pPr>
            <w:r>
              <w:rPr>
                <w:rFonts w:ascii="Arial" w:cs="Arial" w:eastAsia="Arial" w:hAnsi="Arial"/>
                <w:sz w:val="16"/>
                <w:szCs w:val="16"/>
                <w:color w:val="auto"/>
                <w:w w:val="91"/>
              </w:rPr>
              <w:t>Inline XBRL Report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10040" w:type="dxa"/>
            <w:vAlign w:val="bottom"/>
            <w:gridSpan w:val="6"/>
          </w:tcPr>
          <w:p>
            <w:pPr>
              <w:spacing w:after="0"/>
              <w:rPr>
                <w:sz w:val="20"/>
                <w:szCs w:val="20"/>
                <w:color w:val="auto"/>
              </w:rPr>
            </w:pPr>
            <w:r>
              <w:rPr>
                <w:rFonts w:ascii="Arial" w:cs="Arial" w:eastAsia="Arial" w:hAnsi="Arial"/>
                <w:sz w:val="16"/>
                <w:szCs w:val="16"/>
                <w:color w:val="auto"/>
              </w:rPr>
              <w:t>the Inline XBRL document</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101.SCH</w:t>
            </w:r>
          </w:p>
        </w:tc>
        <w:tc>
          <w:tcPr>
            <w:tcW w:w="1004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101.CAL</w:t>
            </w:r>
          </w:p>
        </w:tc>
        <w:tc>
          <w:tcPr>
            <w:tcW w:w="10040" w:type="dxa"/>
            <w:vAlign w:val="bottom"/>
            <w:gridSpan w:val="6"/>
          </w:tcPr>
          <w:p>
            <w:pPr>
              <w:spacing w:after="0"/>
              <w:rPr>
                <w:sz w:val="20"/>
                <w:szCs w:val="20"/>
                <w:color w:val="auto"/>
              </w:rPr>
            </w:pPr>
            <w:r>
              <w:rPr>
                <w:rFonts w:ascii="Arial" w:cs="Arial" w:eastAsia="Arial" w:hAnsi="Arial"/>
                <w:sz w:val="16"/>
                <w:szCs w:val="16"/>
                <w:color w:val="auto"/>
              </w:rPr>
              <w:t>Inline XBRL Taxonomy Calculation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101.LAB</w:t>
            </w:r>
          </w:p>
        </w:tc>
        <w:tc>
          <w:tcPr>
            <w:tcW w:w="10040" w:type="dxa"/>
            <w:vAlign w:val="bottom"/>
            <w:gridSpan w:val="6"/>
          </w:tcPr>
          <w:p>
            <w:pPr>
              <w:spacing w:after="0"/>
              <w:rPr>
                <w:sz w:val="20"/>
                <w:szCs w:val="20"/>
                <w:color w:val="auto"/>
              </w:rPr>
            </w:pPr>
            <w:r>
              <w:rPr>
                <w:rFonts w:ascii="Arial" w:cs="Arial" w:eastAsia="Arial" w:hAnsi="Arial"/>
                <w:sz w:val="16"/>
                <w:szCs w:val="16"/>
                <w:color w:val="auto"/>
              </w:rPr>
              <w:t>Inline XBRL Taxonomy Label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101.PRE</w:t>
            </w:r>
          </w:p>
        </w:tc>
        <w:tc>
          <w:tcPr>
            <w:tcW w:w="10040" w:type="dxa"/>
            <w:vAlign w:val="bottom"/>
            <w:gridSpan w:val="6"/>
          </w:tcPr>
          <w:p>
            <w:pPr>
              <w:spacing w:after="0"/>
              <w:rPr>
                <w:sz w:val="20"/>
                <w:szCs w:val="20"/>
                <w:color w:val="auto"/>
              </w:rPr>
            </w:pPr>
            <w:r>
              <w:rPr>
                <w:rFonts w:ascii="Arial" w:cs="Arial" w:eastAsia="Arial" w:hAnsi="Arial"/>
                <w:sz w:val="16"/>
                <w:szCs w:val="16"/>
                <w:color w:val="auto"/>
              </w:rPr>
              <w:t>Inline XBRL Presentation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101.DEF</w:t>
            </w:r>
          </w:p>
        </w:tc>
        <w:tc>
          <w:tcPr>
            <w:tcW w:w="1004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Arial" w:cs="Arial" w:eastAsia="Arial" w:hAnsi="Arial"/>
                <w:sz w:val="16"/>
                <w:szCs w:val="16"/>
                <w:color w:val="auto"/>
              </w:rPr>
              <w:t>104</w:t>
            </w:r>
          </w:p>
        </w:tc>
        <w:tc>
          <w:tcPr>
            <w:tcW w:w="10040" w:type="dxa"/>
            <w:vAlign w:val="bottom"/>
            <w:gridSpan w:val="6"/>
          </w:tcPr>
          <w:p>
            <w:pPr>
              <w:spacing w:after="0"/>
              <w:rPr>
                <w:sz w:val="20"/>
                <w:szCs w:val="20"/>
                <w:color w:val="auto"/>
              </w:rPr>
            </w:pPr>
            <w:r>
              <w:rPr>
                <w:rFonts w:ascii="Arial" w:cs="Arial" w:eastAsia="Arial" w:hAnsi="Arial"/>
                <w:sz w:val="16"/>
                <w:szCs w:val="16"/>
                <w:color w:val="auto"/>
              </w:rPr>
              <w:t>Cover Page Interactive Data File - (formatted in Inline XBRL and contained in Exhibit 101)</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8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AnaptysBio, Inc.</w:t>
      </w:r>
    </w:p>
    <w:p>
      <w:pPr>
        <w:spacing w:after="0" w:line="239"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Arial" w:cs="Arial" w:eastAsia="Arial" w:hAnsi="Arial"/>
          <w:sz w:val="18"/>
          <w:szCs w:val="18"/>
          <w:color w:val="auto"/>
        </w:rPr>
        <w:t>Date:</w:t>
        <w:tab/>
        <w:t>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23495</wp:posOffset>
            </wp:positionV>
            <wp:extent cx="37890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Arial" w:cs="Arial" w:eastAsia="Arial" w:hAnsi="Arial"/>
          <w:sz w:val="18"/>
          <w:szCs w:val="18"/>
          <w:color w:val="auto"/>
        </w:rPr>
        <w:t>Date:</w:t>
        <w:tab/>
        <w:t>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23495</wp:posOffset>
            </wp:positionV>
            <wp:extent cx="37890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340"/>
          </w:cols>
          <w:pgMar w:left="320" w:top="1440" w:right="1239" w:bottom="1440" w:gutter="0" w:footer="0" w:header="0"/>
        </w:sectPr>
      </w:pPr>
    </w:p>
    <w:bookmarkStart w:id="74" w:name="page75"/>
    <w:bookmarkEnd w:id="74"/>
    <w:p>
      <w:pPr>
        <w:ind w:left="2380"/>
        <w:spacing w:after="0"/>
        <w:rPr>
          <w:sz w:val="20"/>
          <w:szCs w:val="20"/>
          <w:color w:val="auto"/>
        </w:rPr>
      </w:pPr>
      <w:r>
        <w:rPr>
          <w:rFonts w:ascii="Arial" w:cs="Arial" w:eastAsia="Arial" w:hAnsi="Arial"/>
          <w:sz w:val="20"/>
          <w:szCs w:val="20"/>
          <w:b w:val="1"/>
          <w:bCs w:val="1"/>
          <w:color w:val="auto"/>
        </w:rPr>
        <w:t>FIRST AMENDMENT TO LEASE AGREEMENT</w:t>
      </w:r>
    </w:p>
    <w:p>
      <w:pPr>
        <w:spacing w:after="0" w:line="256" w:lineRule="exact"/>
        <w:rPr>
          <w:sz w:val="20"/>
          <w:szCs w:val="20"/>
          <w:color w:val="auto"/>
        </w:rPr>
      </w:pPr>
    </w:p>
    <w:p>
      <w:pPr>
        <w:jc w:val="both"/>
        <w:ind w:firstLine="639"/>
        <w:spacing w:after="0" w:line="24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FIRST AMENDMENT TO LEASE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is effective as of April 5, 2021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WATERIDGE PROPERTY OWNER, LP</w:t>
      </w:r>
      <w:r>
        <w:rPr>
          <w:rFonts w:ascii="Arial" w:cs="Arial" w:eastAsia="Arial" w:hAnsi="Arial"/>
          <w:sz w:val="20"/>
          <w:szCs w:val="20"/>
          <w:color w:val="auto"/>
        </w:rPr>
        <w:t>, a Delaware limited partnership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ANAPTYSBIO,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 with reference to the facts set forth in the Recitals below.</w:t>
      </w:r>
    </w:p>
    <w:p>
      <w:pPr>
        <w:spacing w:after="0" w:line="210"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RECITALS</w:t>
      </w:r>
    </w:p>
    <w:p>
      <w:pPr>
        <w:spacing w:after="0" w:line="256" w:lineRule="exact"/>
        <w:rPr>
          <w:sz w:val="20"/>
          <w:szCs w:val="20"/>
          <w:color w:val="auto"/>
        </w:rPr>
      </w:pPr>
    </w:p>
    <w:p>
      <w:pPr>
        <w:jc w:val="both"/>
        <w:ind w:left="20" w:firstLine="648"/>
        <w:spacing w:after="0" w:line="246" w:lineRule="auto"/>
        <w:rPr>
          <w:sz w:val="20"/>
          <w:szCs w:val="20"/>
          <w:color w:val="auto"/>
        </w:rPr>
      </w:pPr>
      <w:r>
        <w:rPr>
          <w:rFonts w:ascii="Arial" w:cs="Arial" w:eastAsia="Arial" w:hAnsi="Arial"/>
          <w:sz w:val="20"/>
          <w:szCs w:val="20"/>
          <w:color w:val="auto"/>
        </w:rPr>
        <w:t>A. Landlord and Tenant are parties to that certain Lease Agreement dated May 4, 2020 (“</w:t>
      </w:r>
      <w:r>
        <w:rPr>
          <w:rFonts w:ascii="Arial" w:cs="Arial" w:eastAsia="Arial" w:hAnsi="Arial"/>
          <w:sz w:val="20"/>
          <w:szCs w:val="20"/>
          <w:b w:val="1"/>
          <w:bCs w:val="1"/>
          <w:color w:val="auto"/>
        </w:rPr>
        <w:t>Lease</w:t>
      </w:r>
      <w:r>
        <w:rPr>
          <w:rFonts w:ascii="Arial" w:cs="Arial" w:eastAsia="Arial" w:hAnsi="Arial"/>
          <w:sz w:val="20"/>
          <w:szCs w:val="20"/>
          <w:color w:val="auto"/>
        </w:rPr>
        <w:t>”), for certain Premises consisting of approximately 45,057 rentable square feet, commonly referred to as Suite 210 (sometimes referred to as Suite 2B) of the Building located at 10770 Wateridge Circle, San Diego, California 92121, as more specifically described in the Lease. Except as otherwise defined herein, all capitalized terms used herein shall have the meanings ascribed to them in the Lease.</w:t>
      </w:r>
    </w:p>
    <w:p>
      <w:pPr>
        <w:spacing w:after="0" w:line="218" w:lineRule="exact"/>
        <w:rPr>
          <w:sz w:val="20"/>
          <w:szCs w:val="20"/>
          <w:color w:val="auto"/>
        </w:rPr>
      </w:pPr>
    </w:p>
    <w:p>
      <w:pPr>
        <w:jc w:val="both"/>
        <w:ind w:left="20" w:firstLine="648"/>
        <w:spacing w:after="0" w:line="260" w:lineRule="auto"/>
        <w:rPr>
          <w:sz w:val="20"/>
          <w:szCs w:val="20"/>
          <w:color w:val="auto"/>
        </w:rPr>
      </w:pPr>
      <w:r>
        <w:rPr>
          <w:rFonts w:ascii="Arial" w:cs="Arial" w:eastAsia="Arial" w:hAnsi="Arial"/>
          <w:sz w:val="20"/>
          <w:szCs w:val="20"/>
          <w:color w:val="auto"/>
        </w:rPr>
        <w:t>B. Landlord and Tenant have agreed to make certain modifications to the Lease as more fully provided below in this Amendment.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AMENDMENT</w:t>
      </w:r>
    </w:p>
    <w:p>
      <w:pPr>
        <w:spacing w:after="0" w:line="249" w:lineRule="exact"/>
        <w:rPr>
          <w:sz w:val="20"/>
          <w:szCs w:val="20"/>
          <w:color w:val="auto"/>
        </w:rPr>
      </w:pPr>
    </w:p>
    <w:p>
      <w:pPr>
        <w:jc w:val="both"/>
        <w:ind w:left="20" w:firstLine="648"/>
        <w:spacing w:after="0" w:line="316" w:lineRule="auto"/>
        <w:rPr>
          <w:sz w:val="20"/>
          <w:szCs w:val="20"/>
          <w:color w:val="auto"/>
        </w:rPr>
      </w:pPr>
      <w:r>
        <w:rPr>
          <w:rFonts w:ascii="Arial" w:cs="Arial" w:eastAsia="Arial" w:hAnsi="Arial"/>
          <w:sz w:val="18"/>
          <w:szCs w:val="18"/>
          <w:color w:val="auto"/>
        </w:rPr>
        <w:t>NOW, THEREFORE, in consideration of the Recitals above, the mutual covenants and conditions below, and other good and valuable consideration, the receipt and sufficiency of which are hereby acknowledged, the parties agree as follows:</w:t>
      </w:r>
    </w:p>
    <w:p>
      <w:pPr>
        <w:spacing w:after="0" w:line="151" w:lineRule="exact"/>
        <w:rPr>
          <w:sz w:val="20"/>
          <w:szCs w:val="20"/>
          <w:color w:val="auto"/>
        </w:rPr>
      </w:pPr>
    </w:p>
    <w:p>
      <w:pPr>
        <w:jc w:val="both"/>
        <w:ind w:firstLine="657"/>
        <w:spacing w:after="0" w:line="245" w:lineRule="auto"/>
        <w:tabs>
          <w:tab w:leader="none" w:pos="877"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Premises</w:t>
      </w:r>
      <w:r>
        <w:rPr>
          <w:rFonts w:ascii="Arial" w:cs="Arial" w:eastAsia="Arial" w:hAnsi="Arial"/>
          <w:sz w:val="20"/>
          <w:szCs w:val="20"/>
          <w:color w:val="auto"/>
        </w:rPr>
        <w:t>. As of the Amendment Effective Date, the “</w:t>
      </w:r>
      <w:r>
        <w:rPr>
          <w:rFonts w:ascii="Arial" w:cs="Arial" w:eastAsia="Arial" w:hAnsi="Arial"/>
          <w:sz w:val="20"/>
          <w:szCs w:val="20"/>
          <w:b w:val="1"/>
          <w:bCs w:val="1"/>
          <w:color w:val="auto"/>
        </w:rPr>
        <w:t>Outline of Premises</w:t>
      </w:r>
      <w:r>
        <w:rPr>
          <w:rFonts w:ascii="Arial" w:cs="Arial" w:eastAsia="Arial" w:hAnsi="Arial"/>
          <w:sz w:val="20"/>
          <w:szCs w:val="20"/>
          <w:color w:val="auto"/>
        </w:rPr>
        <w:t xml:space="preserve">” attached to the Lease as Exhibit “A-I” is hereby deleted in its entirety and replaced with the outline attached to this Amendment as </w:t>
      </w:r>
      <w:r>
        <w:rPr>
          <w:rFonts w:ascii="Arial" w:cs="Arial" w:eastAsia="Arial" w:hAnsi="Arial"/>
          <w:sz w:val="20"/>
          <w:szCs w:val="20"/>
          <w:u w:val="single" w:color="auto"/>
          <w:color w:val="auto"/>
        </w:rPr>
        <w:t>Exhibit “A-I”</w:t>
      </w:r>
      <w:r>
        <w:rPr>
          <w:rFonts w:ascii="Arial" w:cs="Arial" w:eastAsia="Arial" w:hAnsi="Arial"/>
          <w:sz w:val="20"/>
          <w:szCs w:val="20"/>
          <w:color w:val="auto"/>
        </w:rPr>
        <w:t xml:space="preserve"> (where the Premises is identified as Suite 2B). As shown in such Outline of Premises, the portions of the Building listed below have been either added to or excluded from the Premises, as set forth below; provided, however, that the parties have agreed that the rentable square footage of the Premises (and, accordingly, the rent payable under the Lease) shall not change as a result of such additions and exclusions.</w:t>
      </w:r>
    </w:p>
    <w:p>
      <w:pPr>
        <w:spacing w:after="0" w:line="230" w:lineRule="exact"/>
        <w:rPr>
          <w:rFonts w:ascii="Arial" w:cs="Arial" w:eastAsia="Arial" w:hAnsi="Arial"/>
          <w:sz w:val="20"/>
          <w:szCs w:val="20"/>
          <w:color w:val="auto"/>
        </w:rPr>
      </w:pPr>
    </w:p>
    <w:p>
      <w:pPr>
        <w:jc w:val="both"/>
        <w:ind w:firstLine="1305"/>
        <w:spacing w:after="0" w:line="243" w:lineRule="auto"/>
        <w:tabs>
          <w:tab w:leader="none" w:pos="1528"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Elevator</w:t>
      </w:r>
      <w:r>
        <w:rPr>
          <w:rFonts w:ascii="Arial" w:cs="Arial" w:eastAsia="Arial" w:hAnsi="Arial"/>
          <w:sz w:val="20"/>
          <w:szCs w:val="20"/>
          <w:color w:val="auto"/>
        </w:rPr>
        <w:t>. The elevator serving the Premises (shown on the Outline of Premises as “ELEV B”), including the portion thereof which is located on the ground floor of the Building (collectively, “</w:t>
      </w:r>
      <w:r>
        <w:rPr>
          <w:rFonts w:ascii="Arial" w:cs="Arial" w:eastAsia="Arial" w:hAnsi="Arial"/>
          <w:sz w:val="20"/>
          <w:szCs w:val="20"/>
          <w:b w:val="1"/>
          <w:bCs w:val="1"/>
          <w:color w:val="auto"/>
        </w:rPr>
        <w:t>Elevator B</w:t>
      </w:r>
      <w:r>
        <w:rPr>
          <w:rFonts w:ascii="Arial" w:cs="Arial" w:eastAsia="Arial" w:hAnsi="Arial"/>
          <w:sz w:val="20"/>
          <w:szCs w:val="20"/>
          <w:color w:val="auto"/>
        </w:rPr>
        <w:t>”), shall be deemed to be part of the Premises for all purposes under the Lease, except that Landlord shall maintain the service contract for Elevator B, the costs of which shall be included in Operating Expenses. Any required repairs to Elevator B shall be completed by Landlord’s contractor and the cost thereof shall be reimbursed by Tenant (outside of Operating Expenses) within ten (10) business days after Landlord’s written request.</w:t>
      </w:r>
    </w:p>
    <w:p>
      <w:pPr>
        <w:spacing w:after="0" w:line="236" w:lineRule="exact"/>
        <w:rPr>
          <w:rFonts w:ascii="Arial" w:cs="Arial" w:eastAsia="Arial" w:hAnsi="Arial"/>
          <w:sz w:val="20"/>
          <w:szCs w:val="20"/>
          <w:color w:val="auto"/>
        </w:rPr>
      </w:pPr>
    </w:p>
    <w:p>
      <w:pPr>
        <w:jc w:val="both"/>
        <w:ind w:firstLine="1306"/>
        <w:spacing w:after="0" w:line="260" w:lineRule="auto"/>
        <w:tabs>
          <w:tab w:leader="none" w:pos="1525"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Stairwell</w:t>
      </w:r>
      <w:r>
        <w:rPr>
          <w:rFonts w:ascii="Arial" w:cs="Arial" w:eastAsia="Arial" w:hAnsi="Arial"/>
          <w:sz w:val="19"/>
          <w:szCs w:val="19"/>
          <w:color w:val="auto"/>
        </w:rPr>
        <w:t>. The east stairwell, including the portion thereof which is located on the ground floor of the Building, shall be deemed to be part of the Premises for all purposes under the Lease, except that Landlord shall provide janitorial services to such stairwell, the costs of which shall be included in Operating Expenses. Any required repairs to such stairwell shall be completed by Landlord’s contractor and the cost thereof shall be reimbursed by Tenant (outside of Operating Expenses) within ten (10) business days after Landlord’s written request.</w:t>
      </w:r>
    </w:p>
    <w:p>
      <w:pPr>
        <w:spacing w:after="0" w:line="207" w:lineRule="exact"/>
        <w:rPr>
          <w:rFonts w:ascii="Arial" w:cs="Arial" w:eastAsia="Arial" w:hAnsi="Arial"/>
          <w:sz w:val="19"/>
          <w:szCs w:val="19"/>
          <w:color w:val="auto"/>
        </w:rPr>
      </w:pPr>
    </w:p>
    <w:p>
      <w:pPr>
        <w:jc w:val="both"/>
        <w:ind w:right="20" w:firstLine="1305"/>
        <w:spacing w:after="0" w:line="263" w:lineRule="auto"/>
        <w:tabs>
          <w:tab w:leader="none" w:pos="1528"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IDF</w:t>
      </w:r>
      <w:r>
        <w:rPr>
          <w:rFonts w:ascii="Arial" w:cs="Arial" w:eastAsia="Arial" w:hAnsi="Arial"/>
          <w:sz w:val="19"/>
          <w:szCs w:val="19"/>
          <w:color w:val="auto"/>
        </w:rPr>
        <w:t>. The intermediate distribution frame located on the second floor of the Building, adjacent to Elevator B (“</w:t>
      </w:r>
      <w:r>
        <w:rPr>
          <w:rFonts w:ascii="Arial" w:cs="Arial" w:eastAsia="Arial" w:hAnsi="Arial"/>
          <w:sz w:val="19"/>
          <w:szCs w:val="19"/>
          <w:b w:val="1"/>
          <w:bCs w:val="1"/>
          <w:color w:val="auto"/>
        </w:rPr>
        <w:t>Second Floor IDF</w:t>
      </w:r>
      <w:r>
        <w:rPr>
          <w:rFonts w:ascii="Arial" w:cs="Arial" w:eastAsia="Arial" w:hAnsi="Arial"/>
          <w:sz w:val="19"/>
          <w:szCs w:val="19"/>
          <w:color w:val="auto"/>
        </w:rPr>
        <w:t>”), shall be excluded from the Premises. Landlord shall have the right to enter the Premises during Tenant’s normal business hours upon at least 24 hours’ prior verbal or written notice to Tenant (except in the event of an emergency) in order to access the Second Floor IDF for maintenance, repairs and all other purposes</w:t>
      </w:r>
    </w:p>
    <w:p>
      <w:pPr>
        <w:sectPr>
          <w:pgSz w:w="11900" w:h="16838" w:orient="portrait"/>
          <w:cols w:equalWidth="0" w:num="1">
            <w:col w:w="10080"/>
          </w:cols>
          <w:pgMar w:left="1380" w:top="1413" w:right="439" w:bottom="1440" w:gutter="0" w:footer="0" w:header="0"/>
        </w:sectPr>
      </w:pPr>
    </w:p>
    <w:bookmarkStart w:id="75" w:name="page76"/>
    <w:bookmarkEnd w:id="75"/>
    <w:p>
      <w:pPr>
        <w:ind w:right="60"/>
        <w:spacing w:after="0" w:line="260" w:lineRule="auto"/>
        <w:rPr>
          <w:sz w:val="20"/>
          <w:szCs w:val="20"/>
          <w:color w:val="auto"/>
        </w:rPr>
      </w:pPr>
      <w:r>
        <w:rPr>
          <w:rFonts w:ascii="Arial" w:cs="Arial" w:eastAsia="Arial" w:hAnsi="Arial"/>
          <w:sz w:val="20"/>
          <w:szCs w:val="20"/>
          <w:color w:val="auto"/>
        </w:rPr>
        <w:t>as deemed reasonably necessary or desirable by Landlord, and Tenant shall have no access to or rights to use the Second Floor IDF.</w:t>
      </w:r>
    </w:p>
    <w:p>
      <w:pPr>
        <w:spacing w:after="0" w:line="217" w:lineRule="exact"/>
        <w:rPr>
          <w:sz w:val="20"/>
          <w:szCs w:val="20"/>
          <w:color w:val="auto"/>
        </w:rPr>
      </w:pPr>
    </w:p>
    <w:p>
      <w:pPr>
        <w:jc w:val="both"/>
        <w:ind w:firstLine="1306"/>
        <w:spacing w:after="0" w:line="276" w:lineRule="auto"/>
        <w:tabs>
          <w:tab w:leader="none" w:pos="1525"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Janitor’s Closet</w:t>
      </w:r>
      <w:r>
        <w:rPr>
          <w:rFonts w:ascii="Arial" w:cs="Arial" w:eastAsia="Arial" w:hAnsi="Arial"/>
          <w:sz w:val="18"/>
          <w:szCs w:val="18"/>
          <w:color w:val="auto"/>
        </w:rPr>
        <w:t>. The janitor’s closet located within the Premises contains a water heater and related piping and equipment which serves other portions of the Building (collectively, “</w:t>
      </w:r>
      <w:r>
        <w:rPr>
          <w:rFonts w:ascii="Arial" w:cs="Arial" w:eastAsia="Arial" w:hAnsi="Arial"/>
          <w:sz w:val="18"/>
          <w:szCs w:val="18"/>
          <w:b w:val="1"/>
          <w:bCs w:val="1"/>
          <w:color w:val="auto"/>
        </w:rPr>
        <w:t>Common Water Heater</w:t>
      </w:r>
      <w:r>
        <w:rPr>
          <w:rFonts w:ascii="Arial" w:cs="Arial" w:eastAsia="Arial" w:hAnsi="Arial"/>
          <w:sz w:val="18"/>
          <w:szCs w:val="18"/>
          <w:color w:val="auto"/>
        </w:rPr>
        <w:t>”). Accordingly, the Common Water Heater shall be excluded from the Premises. Landlord shall have the right to enter the Premises during Tenant’s normal business hours upon at least 24 hours’ prior verbal or written notice to Tenant (except in the event of an emergency) in order to access the Common Water Heater for maintenance, repairs and all other purposes as deemed reasonably necessary or desirable by Landlord, and Tenant shall have no access to or rights to use the Common Water Heater.</w:t>
      </w:r>
    </w:p>
    <w:p>
      <w:pPr>
        <w:spacing w:after="0" w:line="191" w:lineRule="exact"/>
        <w:rPr>
          <w:rFonts w:ascii="Arial" w:cs="Arial" w:eastAsia="Arial" w:hAnsi="Arial"/>
          <w:sz w:val="18"/>
          <w:szCs w:val="18"/>
          <w:color w:val="auto"/>
        </w:rPr>
      </w:pPr>
    </w:p>
    <w:p>
      <w:pPr>
        <w:ind w:firstLine="658"/>
        <w:spacing w:after="0" w:line="260" w:lineRule="auto"/>
        <w:tabs>
          <w:tab w:leader="none" w:pos="87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specifically defined in this Amendment, terms with initial capital letters in this Amendment shall have the same meaning as such terms have in the Lease.</w:t>
      </w:r>
    </w:p>
    <w:p>
      <w:pPr>
        <w:spacing w:after="0" w:line="217" w:lineRule="exact"/>
        <w:rPr>
          <w:rFonts w:ascii="Arial" w:cs="Arial" w:eastAsia="Arial" w:hAnsi="Arial"/>
          <w:sz w:val="20"/>
          <w:szCs w:val="20"/>
          <w:color w:val="auto"/>
        </w:rPr>
      </w:pPr>
    </w:p>
    <w:p>
      <w:pPr>
        <w:jc w:val="both"/>
        <w:ind w:firstLine="658"/>
        <w:spacing w:after="0" w:line="263" w:lineRule="auto"/>
        <w:tabs>
          <w:tab w:leader="none" w:pos="877"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 Construction Against Party Drafting Amendment</w:t>
      </w:r>
      <w:r>
        <w:rPr>
          <w:rFonts w:ascii="Arial" w:cs="Arial" w:eastAsia="Arial" w:hAnsi="Arial"/>
          <w:sz w:val="19"/>
          <w:szCs w:val="19"/>
          <w:color w:val="auto"/>
        </w:rPr>
        <w:t>. Landlord and Tenant acknowledge and agree that each of them, and their respective professional advisors, have reviewed this Amendment and that the provisions of this Amendment shall not be construed against either party. The rule of construction that ambiguities are to be construed against the party drafting the agreement shall not apply to the interpretation of this Amendment and is waived.</w:t>
      </w:r>
    </w:p>
    <w:p>
      <w:pPr>
        <w:spacing w:after="0" w:line="203" w:lineRule="exact"/>
        <w:rPr>
          <w:rFonts w:ascii="Arial" w:cs="Arial" w:eastAsia="Arial" w:hAnsi="Arial"/>
          <w:sz w:val="19"/>
          <w:szCs w:val="19"/>
          <w:color w:val="auto"/>
        </w:rPr>
      </w:pPr>
    </w:p>
    <w:p>
      <w:pPr>
        <w:ind w:right="20" w:firstLine="658"/>
        <w:spacing w:after="0" w:line="287" w:lineRule="auto"/>
        <w:tabs>
          <w:tab w:leader="none" w:pos="877"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Counterpart Execution</w:t>
      </w:r>
      <w:r>
        <w:rPr>
          <w:rFonts w:ascii="Arial" w:cs="Arial" w:eastAsia="Arial" w:hAnsi="Arial"/>
          <w:sz w:val="19"/>
          <w:szCs w:val="19"/>
          <w:color w:val="auto"/>
        </w:rPr>
        <w:t>. This Amendment may be executed in multiple counterparts, each of which when so executed and delivered shall be deemed to be an original and all of which together shall constitute one instrument.</w:t>
      </w:r>
    </w:p>
    <w:p>
      <w:pPr>
        <w:spacing w:after="0" w:line="179" w:lineRule="exact"/>
        <w:rPr>
          <w:rFonts w:ascii="Arial" w:cs="Arial" w:eastAsia="Arial" w:hAnsi="Arial"/>
          <w:sz w:val="19"/>
          <w:szCs w:val="19"/>
          <w:color w:val="auto"/>
        </w:rPr>
      </w:pPr>
    </w:p>
    <w:p>
      <w:pPr>
        <w:ind w:right="20" w:firstLine="658"/>
        <w:spacing w:after="0" w:line="260" w:lineRule="auto"/>
        <w:tabs>
          <w:tab w:leader="none" w:pos="87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Continued Effect</w:t>
      </w:r>
      <w:r>
        <w:rPr>
          <w:rFonts w:ascii="Arial" w:cs="Arial" w:eastAsia="Arial" w:hAnsi="Arial"/>
          <w:sz w:val="20"/>
          <w:szCs w:val="20"/>
          <w:color w:val="auto"/>
        </w:rPr>
        <w:t>. Except as specifically modified by this Amendment, all of the terms, conditions and provisions of the Lease shall remain in full force and effect.</w:t>
      </w:r>
    </w:p>
    <w:p>
      <w:pPr>
        <w:spacing w:after="0" w:line="217"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on following page</w:t>
      </w:r>
      <w:r>
        <w:rPr>
          <w:rFonts w:ascii="Arial" w:cs="Arial" w:eastAsia="Arial" w:hAnsi="Arial"/>
          <w:sz w:val="20"/>
          <w:szCs w:val="20"/>
          <w:color w:val="auto"/>
        </w:rPr>
        <w:t>]</w:t>
      </w:r>
    </w:p>
    <w:p>
      <w:pPr>
        <w:sectPr>
          <w:pgSz w:w="11900" w:h="16838" w:orient="portrait"/>
          <w:cols w:equalWidth="0" w:num="1">
            <w:col w:w="10080"/>
          </w:cols>
          <w:pgMar w:left="1380" w:top="1419" w:right="439" w:bottom="1440" w:gutter="0" w:footer="0" w:header="0"/>
        </w:sectPr>
      </w:pPr>
    </w:p>
    <w:bookmarkStart w:id="76" w:name="page77"/>
    <w:bookmarkEnd w:id="76"/>
    <w:p>
      <w:pPr>
        <w:ind w:left="20" w:firstLine="648"/>
        <w:spacing w:after="0" w:line="260" w:lineRule="auto"/>
        <w:rPr>
          <w:sz w:val="20"/>
          <w:szCs w:val="20"/>
          <w:color w:val="auto"/>
        </w:rPr>
      </w:pPr>
      <w:r>
        <w:rPr>
          <w:rFonts w:ascii="Arial" w:cs="Arial" w:eastAsia="Arial" w:hAnsi="Arial"/>
          <w:sz w:val="20"/>
          <w:szCs w:val="20"/>
          <w:color w:val="auto"/>
        </w:rPr>
        <w:t>IN WITNESS WHEREOF, the parties have executed this Amendment on the dates below to be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40" w:right="2100" w:hanging="4159"/>
        <w:spacing w:after="0" w:line="331" w:lineRule="auto"/>
        <w:tabs>
          <w:tab w:leader="none" w:pos="4220" w:val="left"/>
        </w:tabs>
        <w:rPr>
          <w:sz w:val="20"/>
          <w:szCs w:val="20"/>
          <w:color w:val="auto"/>
        </w:rPr>
      </w:pPr>
      <w:r>
        <w:rPr>
          <w:rFonts w:ascii="Arial" w:cs="Arial" w:eastAsia="Arial" w:hAnsi="Arial"/>
          <w:sz w:val="20"/>
          <w:szCs w:val="20"/>
          <w:b w:val="1"/>
          <w:bCs w:val="1"/>
          <w:color w:val="auto"/>
        </w:rPr>
        <w:t>LANDLORD:</w:t>
      </w:r>
      <w:r>
        <w:rPr>
          <w:sz w:val="20"/>
          <w:szCs w:val="20"/>
          <w:color w:val="auto"/>
        </w:rPr>
        <w:tab/>
      </w:r>
      <w:r>
        <w:rPr>
          <w:rFonts w:ascii="Arial" w:cs="Arial" w:eastAsia="Arial" w:hAnsi="Arial"/>
          <w:sz w:val="20"/>
          <w:szCs w:val="20"/>
          <w:color w:val="auto"/>
        </w:rPr>
        <w:t>WATERIDGE PROPERTY OWNER, LP, a Delaware limited partnership</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By: HSRE-BPI I GP, LLC</w:t>
      </w:r>
    </w:p>
    <w:p>
      <w:pPr>
        <w:spacing w:after="0" w:line="2"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 Delaware limited liability company, its</w:t>
      </w:r>
    </w:p>
    <w:p>
      <w:pPr>
        <w:ind w:left="4640"/>
        <w:spacing w:after="0"/>
        <w:rPr>
          <w:sz w:val="20"/>
          <w:szCs w:val="20"/>
          <w:color w:val="auto"/>
        </w:rPr>
      </w:pPr>
      <w:r>
        <w:rPr>
          <w:rFonts w:ascii="Arial" w:cs="Arial" w:eastAsia="Arial" w:hAnsi="Arial"/>
          <w:sz w:val="20"/>
          <w:szCs w:val="20"/>
          <w:color w:val="auto"/>
        </w:rPr>
        <w:t>general partner</w:t>
      </w:r>
    </w:p>
    <w:p>
      <w:pPr>
        <w:spacing w:after="0" w:line="294"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Bollert</w:t>
      </w:r>
    </w:p>
    <w:p>
      <w:pPr>
        <w:spacing w:after="0" w:line="54"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Steven Bollert</w:t>
      </w:r>
    </w:p>
    <w:p>
      <w:pPr>
        <w:spacing w:after="0" w:line="54"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 xml:space="preserve">Its: </w:t>
      </w:r>
      <w:r>
        <w:rPr>
          <w:rFonts w:ascii="Arial" w:cs="Arial" w:eastAsia="Arial" w:hAnsi="Arial"/>
          <w:sz w:val="20"/>
          <w:szCs w:val="20"/>
          <w:u w:val="single" w:color="auto"/>
          <w:color w:val="auto"/>
        </w:rPr>
        <w:t>Authorized Signatory</w:t>
      </w:r>
    </w:p>
    <w:p>
      <w:pPr>
        <w:spacing w:after="0" w:line="10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May 11, 2021</w:t>
      </w:r>
    </w:p>
    <w:p>
      <w:pPr>
        <w:spacing w:after="0" w:line="102" w:lineRule="exact"/>
        <w:rPr>
          <w:sz w:val="20"/>
          <w:szCs w:val="20"/>
          <w:color w:val="auto"/>
        </w:rPr>
      </w:pPr>
    </w:p>
    <w:p>
      <w:pPr>
        <w:ind w:left="80"/>
        <w:spacing w:after="0"/>
        <w:tabs>
          <w:tab w:leader="none" w:pos="4220" w:val="left"/>
        </w:tabs>
        <w:rPr>
          <w:sz w:val="20"/>
          <w:szCs w:val="20"/>
          <w:color w:val="auto"/>
        </w:rPr>
      </w:pPr>
      <w:r>
        <w:rPr>
          <w:rFonts w:ascii="Arial" w:cs="Arial" w:eastAsia="Arial" w:hAnsi="Arial"/>
          <w:sz w:val="20"/>
          <w:szCs w:val="20"/>
          <w:b w:val="1"/>
          <w:bCs w:val="1"/>
          <w:color w:val="auto"/>
        </w:rPr>
        <w:t>TENANT:</w:t>
      </w:r>
      <w:r>
        <w:rPr>
          <w:sz w:val="20"/>
          <w:szCs w:val="20"/>
          <w:color w:val="auto"/>
        </w:rPr>
        <w:tab/>
      </w:r>
      <w:r>
        <w:rPr>
          <w:rFonts w:ascii="Arial" w:cs="Arial" w:eastAsia="Arial" w:hAnsi="Arial"/>
          <w:sz w:val="20"/>
          <w:szCs w:val="20"/>
          <w:color w:val="auto"/>
        </w:rPr>
        <w:t>ANAPTYSBIO, INC a Delaware corporation</w:t>
      </w:r>
    </w:p>
    <w:p>
      <w:pPr>
        <w:spacing w:after="0" w:line="154"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Eric Loumeau</w:t>
      </w:r>
    </w:p>
    <w:p>
      <w:pPr>
        <w:spacing w:after="0" w:line="54"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Name: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7467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61"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 xml:space="preserve">Its: </w:t>
      </w:r>
      <w:r>
        <w:rPr>
          <w:rFonts w:ascii="Arial" w:cs="Arial" w:eastAsia="Arial" w:hAnsi="Arial"/>
          <w:sz w:val="20"/>
          <w:szCs w:val="20"/>
          <w:u w:val="single" w:color="auto"/>
          <w:color w:val="auto"/>
        </w:rPr>
        <w:t>Chief Operating Officer</w:t>
      </w:r>
    </w:p>
    <w:p>
      <w:pPr>
        <w:spacing w:after="0" w:line="135"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May 6, 2021</w:t>
      </w:r>
    </w:p>
    <w:p>
      <w:pPr>
        <w:sectPr>
          <w:pgSz w:w="11900" w:h="16838" w:orient="portrait"/>
          <w:cols w:equalWidth="0" w:num="1">
            <w:col w:w="9660"/>
          </w:cols>
          <w:pgMar w:left="1440" w:top="1419" w:right="799" w:bottom="1440" w:gutter="0" w:footer="0" w:header="0"/>
        </w:sectPr>
      </w:pPr>
    </w:p>
    <w:bookmarkStart w:id="77" w:name="page78"/>
    <w:bookmarkEnd w:id="77"/>
    <w:p>
      <w:pPr>
        <w:spacing w:after="0" w:line="87" w:lineRule="exact"/>
        <w:rPr>
          <w:sz w:val="20"/>
          <w:szCs w:val="20"/>
          <w:color w:val="auto"/>
        </w:rPr>
      </w:pPr>
    </w:p>
    <w:p>
      <w:pPr>
        <w:jc w:val="right"/>
        <w:ind w:right="2759"/>
        <w:spacing w:after="0"/>
        <w:rPr>
          <w:sz w:val="20"/>
          <w:szCs w:val="20"/>
          <w:color w:val="auto"/>
        </w:rPr>
      </w:pPr>
      <w:r>
        <w:rPr>
          <w:rFonts w:ascii="Arial" w:cs="Arial" w:eastAsia="Arial" w:hAnsi="Arial"/>
          <w:sz w:val="20"/>
          <w:szCs w:val="20"/>
          <w:color w:val="auto"/>
        </w:rPr>
        <w:t>EXHIBIT “A-I” 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87630</wp:posOffset>
            </wp:positionV>
            <wp:extent cx="3291840" cy="66008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91840" cy="660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139"/>
          </w:cols>
          <w:pgMar w:left="320" w:top="1440" w:right="1440"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1939925</wp:posOffset>
            </wp:positionH>
            <wp:positionV relativeFrom="page">
              <wp:posOffset>946150</wp:posOffset>
            </wp:positionV>
            <wp:extent cx="3669030" cy="7277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3669030" cy="727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9"/>
          <w:szCs w:val="9"/>
          <w:color w:val="auto"/>
        </w:rPr>
        <w:t>1208202/56335209v.2</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139"/>
          </w:cols>
          <w:pgMar w:left="320" w:top="1440" w:right="1440"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5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43376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Hamza Suria, Chief Executive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600" w:hanging="406"/>
        <w:spacing w:after="0" w:line="342" w:lineRule="auto"/>
        <w:tabs>
          <w:tab w:leader="none" w:pos="8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2021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Dennis Mulroy, Chief Financial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600" w:hanging="406"/>
        <w:spacing w:after="0" w:line="342" w:lineRule="auto"/>
        <w:tabs>
          <w:tab w:leader="none" w:pos="8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2021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36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8"/>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lvl w:ilvl="1">
      <w:lvlJc w:val="left"/>
      <w:lvlText w:val="%2."/>
      <w:numFmt w:val="lowerLetter"/>
      <w:start w:val="1"/>
    </w:lvl>
  </w:abstractNum>
  <w:abstractNum w:abstractNumId="34">
    <w:nsid w:val="7724C67E"/>
    <w:multiLevelType w:val="hybridMultilevel"/>
    <w:lvl w:ilvl="0">
      <w:lvlJc w:val="left"/>
      <w:lvlText w:val="%1"/>
      <w:numFmt w:val="decimal"/>
      <w:start w:val="1"/>
    </w:lvl>
    <w:lvl w:ilvl="1">
      <w:lvlJc w:val="left"/>
      <w:lvlText w:val="%2."/>
      <w:numFmt w:val="lowerLetter"/>
      <w:start w:val="4"/>
    </w:lvl>
  </w:abstractNum>
  <w:abstractNum w:abstractNumId="35">
    <w:nsid w:val="5C482A97"/>
    <w:multiLevelType w:val="hybridMultilevel"/>
    <w:lvl w:ilvl="0">
      <w:lvlJc w:val="left"/>
      <w:lvlText w:val="%1."/>
      <w:numFmt w:val="decimal"/>
      <w:start w:val="2"/>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2021-08-09T16:17:43Z</dcterms:created>
  <dcterms:modified xsi:type="dcterms:W3CDTF">2021-08-09T16:17:43Z</dcterms:modified>
</cp:coreProperties>
</file>