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11, 2017</w:t>
      </w:r>
    </w:p>
    <w:p>
      <w:pPr>
        <w:spacing w:after="0" w:line="42"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333-220881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81915</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AMENDMENT NO. 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83185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ANAPTYSBIO, INC.</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83820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8"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2900" w:type="dxa"/>
            <w:vAlign w:val="bottom"/>
          </w:tcPr>
          <w:p>
            <w:pPr>
              <w:jc w:val="center"/>
              <w:ind w:right="928"/>
              <w:spacing w:after="0"/>
              <w:rPr>
                <w:sz w:val="20"/>
                <w:szCs w:val="20"/>
                <w:color w:val="auto"/>
              </w:rPr>
            </w:pPr>
            <w:r>
              <w:rPr>
                <w:rFonts w:ascii="Arial" w:cs="Arial" w:eastAsia="Arial" w:hAnsi="Arial"/>
                <w:sz w:val="14"/>
                <w:szCs w:val="14"/>
                <w:b w:val="1"/>
                <w:bCs w:val="1"/>
                <w:color w:val="auto"/>
                <w:w w:val="94"/>
              </w:rPr>
              <w:t>Delaware</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9"/>
              </w:rPr>
              <w:t>2834</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w w:val="93"/>
              </w:rPr>
              <w:t>20-3828755</w:t>
            </w:r>
          </w:p>
        </w:tc>
      </w:tr>
      <w:tr>
        <w:trPr>
          <w:trHeight w:val="149"/>
        </w:trPr>
        <w:tc>
          <w:tcPr>
            <w:tcW w:w="290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8"/>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8"/>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10421 Pacific Center Court, Suite 200</w:t>
      </w:r>
    </w:p>
    <w:p>
      <w:pPr>
        <w:jc w:val="center"/>
        <w:spacing w:after="0" w:line="226" w:lineRule="auto"/>
        <w:rPr>
          <w:sz w:val="20"/>
          <w:szCs w:val="20"/>
          <w:color w:val="auto"/>
        </w:rPr>
      </w:pPr>
      <w:r>
        <w:rPr>
          <w:rFonts w:ascii="Arial" w:cs="Arial" w:eastAsia="Arial" w:hAnsi="Arial"/>
          <w:sz w:val="14"/>
          <w:szCs w:val="14"/>
          <w:b w:val="1"/>
          <w:bCs w:val="1"/>
          <w:color w:val="auto"/>
        </w:rPr>
        <w:t>San Diego, CA 92121</w:t>
      </w:r>
    </w:p>
    <w:p>
      <w:pPr>
        <w:jc w:val="center"/>
        <w:spacing w:after="0" w:line="222" w:lineRule="auto"/>
        <w:rPr>
          <w:sz w:val="20"/>
          <w:szCs w:val="20"/>
          <w:color w:val="auto"/>
        </w:rPr>
      </w:pPr>
      <w:r>
        <w:rPr>
          <w:rFonts w:ascii="Arial" w:cs="Arial" w:eastAsia="Arial" w:hAnsi="Arial"/>
          <w:sz w:val="14"/>
          <w:szCs w:val="14"/>
          <w:b w:val="1"/>
          <w:bCs w:val="1"/>
          <w:color w:val="auto"/>
        </w:rPr>
        <w:t>(858) 362-6295</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73660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Hamza Suria</w:t>
      </w:r>
    </w:p>
    <w:p>
      <w:pPr>
        <w:jc w:val="center"/>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AnaptysBio, Inc.</w:t>
      </w:r>
    </w:p>
    <w:p>
      <w:pPr>
        <w:jc w:val="center"/>
        <w:spacing w:after="0" w:line="221" w:lineRule="auto"/>
        <w:rPr>
          <w:sz w:val="20"/>
          <w:szCs w:val="20"/>
          <w:color w:val="auto"/>
        </w:rPr>
      </w:pPr>
      <w:r>
        <w:rPr>
          <w:rFonts w:ascii="Arial" w:cs="Arial" w:eastAsia="Arial" w:hAnsi="Arial"/>
          <w:sz w:val="14"/>
          <w:szCs w:val="14"/>
          <w:b w:val="1"/>
          <w:bCs w:val="1"/>
          <w:color w:val="auto"/>
        </w:rPr>
        <w:t>10421 Pacific Center Court, Suite 200</w:t>
      </w:r>
    </w:p>
    <w:p>
      <w:pPr>
        <w:jc w:val="center"/>
        <w:spacing w:after="0" w:line="222" w:lineRule="auto"/>
        <w:rPr>
          <w:sz w:val="20"/>
          <w:szCs w:val="20"/>
          <w:color w:val="auto"/>
        </w:rPr>
      </w:pPr>
      <w:r>
        <w:rPr>
          <w:rFonts w:ascii="Arial" w:cs="Arial" w:eastAsia="Arial" w:hAnsi="Arial"/>
          <w:sz w:val="14"/>
          <w:szCs w:val="14"/>
          <w:b w:val="1"/>
          <w:bCs w:val="1"/>
          <w:color w:val="auto"/>
        </w:rPr>
        <w:t>San Diego, CA 92121</w:t>
      </w:r>
    </w:p>
    <w:p>
      <w:pPr>
        <w:jc w:val="center"/>
        <w:spacing w:after="0" w:line="221" w:lineRule="auto"/>
        <w:rPr>
          <w:sz w:val="20"/>
          <w:szCs w:val="20"/>
          <w:color w:val="auto"/>
        </w:rPr>
      </w:pPr>
      <w:r>
        <w:rPr>
          <w:rFonts w:ascii="Arial" w:cs="Arial" w:eastAsia="Arial" w:hAnsi="Arial"/>
          <w:sz w:val="14"/>
          <w:szCs w:val="14"/>
          <w:b w:val="1"/>
          <w:bCs w:val="1"/>
          <w:color w:val="auto"/>
        </w:rPr>
        <w:t>(858) 362-6295</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73660</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45" w:lineRule="exact"/>
        <w:rPr>
          <w:sz w:val="24"/>
          <w:szCs w:val="24"/>
          <w:color w:val="auto"/>
        </w:rPr>
      </w:pPr>
    </w:p>
    <w:tbl>
      <w:tblPr>
        <w:tblLayout w:type="fixed"/>
        <w:tblInd w:w="2080" w:type="dxa"/>
        <w:tblCellMar>
          <w:top w:w="0" w:type="dxa"/>
          <w:left w:w="0" w:type="dxa"/>
          <w:bottom w:w="0" w:type="dxa"/>
          <w:right w:w="0" w:type="dxa"/>
        </w:tblCellMar>
      </w:tblPr>
      <w:tr>
        <w:trPr>
          <w:trHeight w:val="182"/>
        </w:trPr>
        <w:tc>
          <w:tcPr>
            <w:tcW w:w="2480" w:type="dxa"/>
            <w:vAlign w:val="bottom"/>
          </w:tcPr>
          <w:p>
            <w:pPr>
              <w:spacing w:after="0"/>
              <w:rPr>
                <w:sz w:val="15"/>
                <w:szCs w:val="15"/>
                <w:color w:val="auto"/>
              </w:rPr>
            </w:pPr>
          </w:p>
        </w:tc>
        <w:tc>
          <w:tcPr>
            <w:tcW w:w="4840" w:type="dxa"/>
            <w:vAlign w:val="bottom"/>
          </w:tcPr>
          <w:p>
            <w:pPr>
              <w:ind w:left="860"/>
              <w:spacing w:after="0"/>
              <w:rPr>
                <w:sz w:val="20"/>
                <w:szCs w:val="20"/>
                <w:color w:val="auto"/>
              </w:rPr>
            </w:pPr>
            <w:r>
              <w:rPr>
                <w:rFonts w:ascii="Arial" w:cs="Arial" w:eastAsia="Arial" w:hAnsi="Arial"/>
                <w:sz w:val="14"/>
                <w:szCs w:val="14"/>
                <w:b w:val="1"/>
                <w:bCs w:val="1"/>
                <w:i w:val="1"/>
                <w:iCs w:val="1"/>
                <w:color w:val="auto"/>
              </w:rPr>
              <w:t>Copies to:</w:t>
            </w:r>
          </w:p>
        </w:tc>
      </w:tr>
      <w:tr>
        <w:trPr>
          <w:trHeight w:val="178"/>
        </w:trPr>
        <w:tc>
          <w:tcPr>
            <w:tcW w:w="2480" w:type="dxa"/>
            <w:vAlign w:val="bottom"/>
          </w:tcPr>
          <w:p>
            <w:pPr>
              <w:jc w:val="center"/>
              <w:ind w:right="788"/>
              <w:spacing w:after="0"/>
              <w:rPr>
                <w:sz w:val="20"/>
                <w:szCs w:val="20"/>
                <w:color w:val="auto"/>
              </w:rPr>
            </w:pPr>
            <w:r>
              <w:rPr>
                <w:rFonts w:ascii="Arial" w:cs="Arial" w:eastAsia="Arial" w:hAnsi="Arial"/>
                <w:sz w:val="14"/>
                <w:szCs w:val="14"/>
                <w:b w:val="1"/>
                <w:bCs w:val="1"/>
                <w:color w:val="auto"/>
                <w:w w:val="91"/>
              </w:rPr>
              <w:t>Effie Toshav, Esq.</w:t>
            </w:r>
          </w:p>
        </w:tc>
        <w:tc>
          <w:tcPr>
            <w:tcW w:w="4840" w:type="dxa"/>
            <w:vAlign w:val="bottom"/>
          </w:tcPr>
          <w:p>
            <w:pPr>
              <w:jc w:val="center"/>
              <w:ind w:left="3288"/>
              <w:spacing w:after="0"/>
              <w:rPr>
                <w:sz w:val="20"/>
                <w:szCs w:val="20"/>
                <w:color w:val="auto"/>
              </w:rPr>
            </w:pPr>
            <w:r>
              <w:rPr>
                <w:rFonts w:ascii="Arial" w:cs="Arial" w:eastAsia="Arial" w:hAnsi="Arial"/>
                <w:sz w:val="14"/>
                <w:szCs w:val="14"/>
                <w:b w:val="1"/>
                <w:bCs w:val="1"/>
                <w:color w:val="auto"/>
                <w:w w:val="93"/>
              </w:rPr>
              <w:t>Charles S. Kim, Esq.</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2"/>
              </w:rPr>
              <w:t>Matthew S. Rossiter, Esq.</w:t>
            </w:r>
          </w:p>
        </w:tc>
        <w:tc>
          <w:tcPr>
            <w:tcW w:w="4840" w:type="dxa"/>
            <w:vAlign w:val="bottom"/>
          </w:tcPr>
          <w:p>
            <w:pPr>
              <w:jc w:val="center"/>
              <w:ind w:left="3268"/>
              <w:spacing w:after="0" w:line="149" w:lineRule="exact"/>
              <w:rPr>
                <w:sz w:val="20"/>
                <w:szCs w:val="20"/>
                <w:color w:val="auto"/>
              </w:rPr>
            </w:pPr>
            <w:r>
              <w:rPr>
                <w:rFonts w:ascii="Arial" w:cs="Arial" w:eastAsia="Arial" w:hAnsi="Arial"/>
                <w:sz w:val="14"/>
                <w:szCs w:val="14"/>
                <w:b w:val="1"/>
                <w:bCs w:val="1"/>
                <w:color w:val="auto"/>
                <w:w w:val="94"/>
              </w:rPr>
              <w:t>Sean M. Clayton, Esq.</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4"/>
              </w:rPr>
              <w:t>Robert A. Freedman, Esq.</w:t>
            </w:r>
          </w:p>
        </w:tc>
        <w:tc>
          <w:tcPr>
            <w:tcW w:w="4840" w:type="dxa"/>
            <w:vAlign w:val="bottom"/>
          </w:tcPr>
          <w:p>
            <w:pPr>
              <w:jc w:val="center"/>
              <w:ind w:left="3268"/>
              <w:spacing w:after="0" w:line="149" w:lineRule="exact"/>
              <w:rPr>
                <w:sz w:val="20"/>
                <w:szCs w:val="20"/>
                <w:color w:val="auto"/>
              </w:rPr>
            </w:pPr>
            <w:r>
              <w:rPr>
                <w:rFonts w:ascii="Arial" w:cs="Arial" w:eastAsia="Arial" w:hAnsi="Arial"/>
                <w:sz w:val="14"/>
                <w:szCs w:val="14"/>
                <w:b w:val="1"/>
                <w:bCs w:val="1"/>
                <w:color w:val="auto"/>
                <w:w w:val="94"/>
              </w:rPr>
              <w:t>Jonie I. Kondracki, Esq.</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7"/>
              </w:rPr>
              <w:t>Fenwick &amp; West LLP</w:t>
            </w:r>
          </w:p>
        </w:tc>
        <w:tc>
          <w:tcPr>
            <w:tcW w:w="4840" w:type="dxa"/>
            <w:vAlign w:val="bottom"/>
          </w:tcPr>
          <w:p>
            <w:pPr>
              <w:jc w:val="center"/>
              <w:ind w:left="3268"/>
              <w:spacing w:after="0" w:line="149" w:lineRule="exact"/>
              <w:rPr>
                <w:sz w:val="20"/>
                <w:szCs w:val="20"/>
                <w:color w:val="auto"/>
              </w:rPr>
            </w:pPr>
            <w:r>
              <w:rPr>
                <w:rFonts w:ascii="Arial" w:cs="Arial" w:eastAsia="Arial" w:hAnsi="Arial"/>
                <w:sz w:val="14"/>
                <w:szCs w:val="14"/>
                <w:b w:val="1"/>
                <w:bCs w:val="1"/>
                <w:color w:val="auto"/>
                <w:w w:val="96"/>
              </w:rPr>
              <w:t>Cooley LLP</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5"/>
              </w:rPr>
              <w:t>555 California Street</w:t>
            </w:r>
          </w:p>
        </w:tc>
        <w:tc>
          <w:tcPr>
            <w:tcW w:w="4840" w:type="dxa"/>
            <w:vAlign w:val="bottom"/>
          </w:tcPr>
          <w:p>
            <w:pPr>
              <w:jc w:val="center"/>
              <w:ind w:left="3268"/>
              <w:spacing w:after="0" w:line="149" w:lineRule="exact"/>
              <w:rPr>
                <w:sz w:val="20"/>
                <w:szCs w:val="20"/>
                <w:color w:val="auto"/>
              </w:rPr>
            </w:pPr>
            <w:r>
              <w:rPr>
                <w:rFonts w:ascii="Arial" w:cs="Arial" w:eastAsia="Arial" w:hAnsi="Arial"/>
                <w:sz w:val="14"/>
                <w:szCs w:val="14"/>
                <w:b w:val="1"/>
                <w:bCs w:val="1"/>
                <w:color w:val="auto"/>
                <w:w w:val="94"/>
              </w:rPr>
              <w:t>4401 Eastgate Mall</w:t>
            </w:r>
          </w:p>
        </w:tc>
      </w:tr>
      <w:tr>
        <w:trPr>
          <w:trHeight w:val="149"/>
        </w:trPr>
        <w:tc>
          <w:tcPr>
            <w:tcW w:w="2480" w:type="dxa"/>
            <w:vAlign w:val="bottom"/>
          </w:tcPr>
          <w:p>
            <w:pPr>
              <w:jc w:val="center"/>
              <w:ind w:right="788"/>
              <w:spacing w:after="0" w:line="149" w:lineRule="exact"/>
              <w:rPr>
                <w:sz w:val="20"/>
                <w:szCs w:val="20"/>
                <w:color w:val="auto"/>
              </w:rPr>
            </w:pPr>
            <w:r>
              <w:rPr>
                <w:rFonts w:ascii="Arial" w:cs="Arial" w:eastAsia="Arial" w:hAnsi="Arial"/>
                <w:sz w:val="14"/>
                <w:szCs w:val="14"/>
                <w:b w:val="1"/>
                <w:bCs w:val="1"/>
                <w:color w:val="auto"/>
                <w:w w:val="92"/>
              </w:rPr>
              <w:t>San Francisco, CA 94104</w:t>
            </w:r>
          </w:p>
        </w:tc>
        <w:tc>
          <w:tcPr>
            <w:tcW w:w="4840" w:type="dxa"/>
            <w:vAlign w:val="bottom"/>
          </w:tcPr>
          <w:p>
            <w:pPr>
              <w:jc w:val="center"/>
              <w:ind w:left="3268"/>
              <w:spacing w:after="0" w:line="149" w:lineRule="exact"/>
              <w:rPr>
                <w:sz w:val="20"/>
                <w:szCs w:val="20"/>
                <w:color w:val="auto"/>
              </w:rPr>
            </w:pPr>
            <w:r>
              <w:rPr>
                <w:rFonts w:ascii="Arial" w:cs="Arial" w:eastAsia="Arial" w:hAnsi="Arial"/>
                <w:sz w:val="14"/>
                <w:szCs w:val="14"/>
                <w:b w:val="1"/>
                <w:bCs w:val="1"/>
                <w:color w:val="auto"/>
                <w:w w:val="93"/>
              </w:rPr>
              <w:t>San Diego, CA 92121</w:t>
            </w:r>
          </w:p>
        </w:tc>
      </w:tr>
      <w:tr>
        <w:trPr>
          <w:trHeight w:val="186"/>
        </w:trPr>
        <w:tc>
          <w:tcPr>
            <w:tcW w:w="2480" w:type="dxa"/>
            <w:vAlign w:val="bottom"/>
          </w:tcPr>
          <w:p>
            <w:pPr>
              <w:jc w:val="center"/>
              <w:ind w:right="788"/>
              <w:spacing w:after="0"/>
              <w:rPr>
                <w:sz w:val="20"/>
                <w:szCs w:val="20"/>
                <w:color w:val="auto"/>
              </w:rPr>
            </w:pPr>
            <w:r>
              <w:rPr>
                <w:rFonts w:ascii="Arial" w:cs="Arial" w:eastAsia="Arial" w:hAnsi="Arial"/>
                <w:sz w:val="14"/>
                <w:szCs w:val="14"/>
                <w:b w:val="1"/>
                <w:bCs w:val="1"/>
                <w:color w:val="auto"/>
                <w:w w:val="93"/>
              </w:rPr>
              <w:t>(415) 875-2300</w:t>
            </w:r>
          </w:p>
        </w:tc>
        <w:tc>
          <w:tcPr>
            <w:tcW w:w="4840" w:type="dxa"/>
            <w:vAlign w:val="bottom"/>
          </w:tcPr>
          <w:p>
            <w:pPr>
              <w:jc w:val="center"/>
              <w:ind w:left="3268"/>
              <w:spacing w:after="0"/>
              <w:rPr>
                <w:sz w:val="20"/>
                <w:szCs w:val="20"/>
                <w:color w:val="auto"/>
              </w:rPr>
            </w:pPr>
            <w:r>
              <w:rPr>
                <w:rFonts w:ascii="Arial" w:cs="Arial" w:eastAsia="Arial" w:hAnsi="Arial"/>
                <w:sz w:val="14"/>
                <w:szCs w:val="14"/>
                <w:b w:val="1"/>
                <w:bCs w:val="1"/>
                <w:color w:val="auto"/>
                <w:w w:val="93"/>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76200</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45"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32" w:lineRule="exact"/>
        <w:rPr>
          <w:sz w:val="24"/>
          <w:szCs w:val="24"/>
          <w:color w:val="auto"/>
        </w:rPr>
      </w:pPr>
    </w:p>
    <w:p>
      <w:pPr>
        <w:ind w:left="3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4" w:lineRule="exact"/>
        <w:rPr>
          <w:sz w:val="24"/>
          <w:szCs w:val="24"/>
          <w:color w:val="auto"/>
        </w:rPr>
      </w:pPr>
    </w:p>
    <w:p>
      <w:pPr>
        <w:ind w:right="220" w:firstLine="342"/>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2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60" w:firstLine="342"/>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right="300" w:firstLine="342"/>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0" w:right="239" w:bottom="1440" w:gutter="0" w:footer="0" w:header="0"/>
        </w:sectPr>
      </w:pP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5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920" w:type="dxa"/>
            <w:vAlign w:val="bottom"/>
          </w:tcPr>
          <w:p>
            <w:pPr>
              <w:ind w:left="2280"/>
              <w:spacing w:after="0"/>
              <w:rPr>
                <w:sz w:val="20"/>
                <w:szCs w:val="20"/>
                <w:color w:val="auto"/>
              </w:rPr>
            </w:pPr>
            <w:r>
              <w:rPr>
                <w:rFonts w:ascii="Arial" w:cs="Arial" w:eastAsia="Arial" w:hAnsi="Arial"/>
                <w:sz w:val="14"/>
                <w:szCs w:val="14"/>
                <w:color w:val="auto"/>
              </w:rPr>
              <w:t>Accelerated filer</w:t>
            </w:r>
          </w:p>
        </w:tc>
      </w:tr>
      <w:tr>
        <w:trPr>
          <w:trHeight w:val="211"/>
        </w:trPr>
        <w:tc>
          <w:tcPr>
            <w:tcW w:w="1520" w:type="dxa"/>
            <w:vAlign w:val="bottom"/>
          </w:tcPr>
          <w:p>
            <w:pPr>
              <w:spacing w:after="0"/>
              <w:rPr>
                <w:sz w:val="20"/>
                <w:szCs w:val="20"/>
                <w:color w:val="auto"/>
              </w:rPr>
            </w:pPr>
            <w:r>
              <w:rPr>
                <w:rFonts w:ascii="Arial" w:cs="Arial" w:eastAsia="Arial" w:hAnsi="Arial"/>
                <w:sz w:val="14"/>
                <w:szCs w:val="14"/>
                <w:color w:val="auto"/>
              </w:rPr>
              <w:t>Non-accelerated filer</w:t>
            </w:r>
          </w:p>
        </w:tc>
        <w:tc>
          <w:tcPr>
            <w:tcW w:w="5320" w:type="dxa"/>
            <w:vAlign w:val="bottom"/>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920" w:type="dxa"/>
            <w:vAlign w:val="bottom"/>
          </w:tcPr>
          <w:p>
            <w:pPr>
              <w:ind w:left="2280"/>
              <w:spacing w:after="0"/>
              <w:rPr>
                <w:sz w:val="20"/>
                <w:szCs w:val="20"/>
                <w:color w:val="auto"/>
              </w:rPr>
            </w:pPr>
            <w:r>
              <w:rPr>
                <w:rFonts w:ascii="Arial" w:cs="Arial" w:eastAsia="Arial" w:hAnsi="Arial"/>
                <w:sz w:val="14"/>
                <w:szCs w:val="14"/>
                <w:color w:val="auto"/>
                <w:w w:val="96"/>
              </w:rPr>
              <w:t>Smaller reporting company</w:t>
            </w:r>
          </w:p>
        </w:tc>
      </w:tr>
      <w:tr>
        <w:trPr>
          <w:trHeight w:val="182"/>
        </w:trPr>
        <w:tc>
          <w:tcPr>
            <w:tcW w:w="15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3920" w:type="dxa"/>
            <w:vAlign w:val="bottom"/>
          </w:tcPr>
          <w:p>
            <w:pPr>
              <w:ind w:left="2280"/>
              <w:spacing w:after="0"/>
              <w:rPr>
                <w:sz w:val="20"/>
                <w:szCs w:val="20"/>
                <w:color w:val="auto"/>
              </w:rPr>
            </w:pPr>
            <w:r>
              <w:rPr>
                <w:rFonts w:ascii="Arial" w:cs="Arial" w:eastAsia="Arial" w:hAnsi="Arial"/>
                <w:sz w:val="14"/>
                <w:szCs w:val="14"/>
                <w:color w:val="auto"/>
                <w:w w:val="93"/>
              </w:rPr>
              <w:t>Emerging Growth Company</w:t>
            </w:r>
          </w:p>
        </w:tc>
      </w:tr>
    </w:tbl>
    <w:p>
      <w:pPr>
        <w:spacing w:after="0" w:line="34" w:lineRule="exact"/>
        <w:rPr>
          <w:sz w:val="24"/>
          <w:szCs w:val="24"/>
          <w:color w:val="auto"/>
        </w:rPr>
      </w:pPr>
    </w:p>
    <w:p>
      <w:pPr>
        <w:ind w:firstLine="28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19" w:lineRule="exact"/>
        <w:rPr>
          <w:sz w:val="24"/>
          <w:szCs w:val="24"/>
          <w:color w:val="auto"/>
        </w:rPr>
      </w:pPr>
    </w:p>
    <w:p>
      <w:pPr>
        <w:jc w:val="center"/>
        <w:ind w:left="460"/>
        <w:spacing w:after="0"/>
        <w:rPr>
          <w:sz w:val="20"/>
          <w:szCs w:val="20"/>
          <w:color w:val="auto"/>
        </w:rPr>
      </w:pPr>
      <w:r>
        <w:rPr>
          <w:rFonts w:ascii="Arial" w:cs="Arial" w:eastAsia="Arial" w:hAnsi="Arial"/>
          <w:sz w:val="14"/>
          <w:szCs w:val="14"/>
          <w:color w:val="auto"/>
        </w:rPr>
        <w:t>CALCULATION OF REGISTRATION FEE</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89" w:lineRule="exact"/>
        <w:rPr>
          <w:sz w:val="24"/>
          <w:szCs w:val="24"/>
          <w:color w:val="auto"/>
        </w:rPr>
      </w:pPr>
    </w:p>
    <w:p>
      <w:pPr>
        <w:sectPr>
          <w:pgSz w:w="11900" w:h="16838" w:orient="portrait"/>
          <w:cols w:equalWidth="0" w:num="2">
            <w:col w:w="10960" w:space="320"/>
            <w:col w:w="140"/>
          </w:cols>
          <w:pgMar w:left="240" w:top="230" w:right="23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5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vMerge w:val="restart"/>
          </w:tcPr>
          <w:p>
            <w:pPr>
              <w:ind w:left="500"/>
              <w:spacing w:after="0"/>
              <w:rPr>
                <w:sz w:val="20"/>
                <w:szCs w:val="20"/>
                <w:color w:val="auto"/>
              </w:rPr>
            </w:pPr>
            <w:r>
              <w:rPr>
                <w:rFonts w:ascii="Arial" w:cs="Arial" w:eastAsia="Arial" w:hAnsi="Arial"/>
                <w:sz w:val="14"/>
                <w:szCs w:val="14"/>
                <w:b w:val="1"/>
                <w:bCs w:val="1"/>
                <w:color w:val="auto"/>
              </w:rPr>
              <w:t>Amount to be</w:t>
            </w:r>
          </w:p>
        </w:tc>
        <w:tc>
          <w:tcPr>
            <w:tcW w:w="17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7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680" w:type="dxa"/>
            <w:vAlign w:val="bottom"/>
          </w:tcPr>
          <w:p>
            <w:pPr>
              <w:jc w:val="center"/>
              <w:ind w:left="31"/>
              <w:spacing w:after="0" w:line="106" w:lineRule="exact"/>
              <w:rPr>
                <w:sz w:val="20"/>
                <w:szCs w:val="20"/>
                <w:color w:val="auto"/>
              </w:rPr>
            </w:pPr>
            <w:r>
              <w:rPr>
                <w:rFonts w:ascii="Arial" w:cs="Arial" w:eastAsia="Arial" w:hAnsi="Arial"/>
                <w:sz w:val="12"/>
                <w:szCs w:val="12"/>
                <w:b w:val="1"/>
                <w:bCs w:val="1"/>
                <w:color w:val="auto"/>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Borders>
              <w:right w:val="single" w:sz="8" w:color="auto"/>
            </w:tcBorders>
            <w:vMerge w:val="restart"/>
          </w:tcPr>
          <w:p>
            <w:pPr>
              <w:ind w:left="80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74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Aggregate Offering</w:t>
            </w:r>
          </w:p>
        </w:tc>
        <w:tc>
          <w:tcPr>
            <w:tcW w:w="1680" w:type="dxa"/>
            <w:vAlign w:val="bottom"/>
          </w:tcPr>
          <w:p>
            <w:pPr>
              <w:jc w:val="center"/>
              <w:ind w:left="11"/>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Borders>
              <w:bottom w:val="single" w:sz="8" w:color="auto"/>
              <w:right w:val="single" w:sz="8" w:color="auto"/>
            </w:tcBorders>
            <w:vMerge w:val="continue"/>
          </w:tcPr>
          <w:p>
            <w:pPr>
              <w:spacing w:after="0"/>
              <w:rPr>
                <w:sz w:val="14"/>
                <w:szCs w:val="14"/>
                <w:color w:val="auto"/>
              </w:rPr>
            </w:pPr>
          </w:p>
        </w:tc>
        <w:tc>
          <w:tcPr>
            <w:tcW w:w="174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Registered(1)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Share(2)</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Price(1)(2)</w:t>
            </w:r>
          </w:p>
        </w:tc>
        <w:tc>
          <w:tcPr>
            <w:tcW w:w="1680" w:type="dxa"/>
            <w:vAlign w:val="bottom"/>
            <w:tcBorders>
              <w:bottom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5"/>
              </w:rPr>
              <w:t>Fee(2)(3)</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45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$0.001 per share……………...</w:t>
            </w:r>
          </w:p>
        </w:tc>
        <w:tc>
          <w:tcPr>
            <w:tcW w:w="1740" w:type="dxa"/>
            <w:vAlign w:val="bottom"/>
            <w:tcBorders>
              <w:bottom w:val="single" w:sz="8" w:color="auto"/>
              <w:right w:val="single" w:sz="8" w:color="auto"/>
            </w:tcBorders>
          </w:tcPr>
          <w:p>
            <w:pPr>
              <w:jc w:val="right"/>
              <w:ind w:right="468"/>
              <w:spacing w:after="0" w:line="142" w:lineRule="exact"/>
              <w:rPr>
                <w:sz w:val="20"/>
                <w:szCs w:val="20"/>
                <w:color w:val="auto"/>
              </w:rPr>
            </w:pPr>
            <w:r>
              <w:rPr>
                <w:rFonts w:ascii="Arial" w:cs="Arial" w:eastAsia="Arial" w:hAnsi="Arial"/>
                <w:sz w:val="14"/>
                <w:szCs w:val="14"/>
                <w:color w:val="auto"/>
              </w:rPr>
              <w:t>3,450,000</w:t>
            </w:r>
          </w:p>
        </w:tc>
        <w:tc>
          <w:tcPr>
            <w:tcW w:w="1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$60.24</w:t>
            </w:r>
          </w:p>
        </w:tc>
        <w:tc>
          <w:tcPr>
            <w:tcW w:w="1700" w:type="dxa"/>
            <w:vAlign w:val="bottom"/>
            <w:tcBorders>
              <w:bottom w:val="single" w:sz="8" w:color="auto"/>
              <w:right w:val="single" w:sz="8" w:color="auto"/>
            </w:tcBorders>
          </w:tcPr>
          <w:p>
            <w:pPr>
              <w:jc w:val="right"/>
              <w:ind w:right="351"/>
              <w:spacing w:after="0" w:line="142" w:lineRule="exact"/>
              <w:rPr>
                <w:sz w:val="20"/>
                <w:szCs w:val="20"/>
                <w:color w:val="auto"/>
              </w:rPr>
            </w:pPr>
            <w:r>
              <w:rPr>
                <w:rFonts w:ascii="Arial" w:cs="Arial" w:eastAsia="Arial" w:hAnsi="Arial"/>
                <w:sz w:val="14"/>
                <w:szCs w:val="14"/>
                <w:color w:val="auto"/>
              </w:rPr>
              <w:t>$207,828,000</w:t>
            </w:r>
          </w:p>
        </w:tc>
        <w:tc>
          <w:tcPr>
            <w:tcW w:w="1680" w:type="dxa"/>
            <w:vAlign w:val="bottom"/>
            <w:tcBorders>
              <w:bottom w:val="single" w:sz="8" w:color="auto"/>
            </w:tcBorders>
          </w:tcPr>
          <w:p>
            <w:pPr>
              <w:jc w:val="right"/>
              <w:ind w:right="491"/>
              <w:spacing w:after="0" w:line="142" w:lineRule="exact"/>
              <w:rPr>
                <w:sz w:val="20"/>
                <w:szCs w:val="20"/>
                <w:color w:val="auto"/>
              </w:rPr>
            </w:pPr>
            <w:r>
              <w:rPr>
                <w:rFonts w:ascii="Arial" w:cs="Arial" w:eastAsia="Arial" w:hAnsi="Arial"/>
                <w:sz w:val="14"/>
                <w:szCs w:val="14"/>
                <w:color w:val="auto"/>
              </w:rPr>
              <w:t>$25,875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450,000 shares of common stock that the underwriters have the option to purchase.</w:t>
      </w:r>
    </w:p>
    <w:p>
      <w:pPr>
        <w:ind w:left="340" w:right="80" w:hanging="332"/>
        <w:spacing w:after="0" w:line="221"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purposes of calculating the amount of the registration fee in accordance with Rule 457(c) under the Securities Act of 1933, as amended, and is based on the average of the high and low sales prices of the registrant’s common stock as reported on The NASDAQ Stock Market LLC on October 10, 2017.</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$15,077 of this amount in connection with the initial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30480</wp:posOffset>
            </wp:positionV>
            <wp:extent cx="10890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73" w:lineRule="exact"/>
        <w:rPr>
          <w:sz w:val="24"/>
          <w:szCs w:val="24"/>
          <w:color w:val="auto"/>
        </w:rPr>
      </w:pPr>
    </w:p>
    <w:p>
      <w:pPr>
        <w:ind w:right="180" w:firstLine="342"/>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spacing w:after="0"/>
        <w:rPr>
          <w:sz w:val="20"/>
          <w:szCs w:val="20"/>
          <w:color w:val="auto"/>
        </w:rPr>
      </w:pPr>
      <w:r>
        <w:rPr>
          <w:rFonts w:ascii="Arial" w:cs="Arial" w:eastAsia="Arial" w:hAnsi="Arial"/>
          <w:sz w:val="18"/>
          <w:szCs w:val="18"/>
          <w:color w:val="D13239"/>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D13239"/>
        </w:rPr>
        <w:t>SUBJECT TO COMPLETION, DATED OCTOBER 11, 2017</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3,000,000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236855</wp:posOffset>
            </wp:positionV>
            <wp:extent cx="2118360" cy="557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183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305435</wp:posOffset>
            </wp:positionV>
            <wp:extent cx="1089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offering 3,000,000 shares of our common stock.</w:t>
      </w:r>
    </w:p>
    <w:p>
      <w:pPr>
        <w:spacing w:after="0" w:line="320"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Our common stock is listed on The NASDAQ Global Select Market under the symbol “ANAB”. The last reported sale price of our common stock on The NASDAQ Global Select Market on October 10, 2017 was $ 70.41 per share. The final public offering price will be determined through negotiation between us and the lead underwriters in the offering and the recent market price used throughout this prospectus may not be indicative of the final offering price.</w:t>
      </w:r>
    </w:p>
    <w:p>
      <w:pPr>
        <w:spacing w:after="0" w:line="310" w:lineRule="exact"/>
        <w:rPr>
          <w:sz w:val="20"/>
          <w:szCs w:val="20"/>
          <w:color w:val="auto"/>
        </w:rPr>
      </w:pPr>
    </w:p>
    <w:p>
      <w:pPr>
        <w:ind w:right="220" w:firstLine="456"/>
        <w:spacing w:after="0" w:line="246" w:lineRule="auto"/>
        <w:rPr>
          <w:sz w:val="20"/>
          <w:szCs w:val="20"/>
          <w:color w:val="auto"/>
        </w:rPr>
      </w:pPr>
      <w:r>
        <w:rPr>
          <w:rFonts w:ascii="Arial" w:cs="Arial" w:eastAsia="Arial" w:hAnsi="Arial"/>
          <w:sz w:val="18"/>
          <w:szCs w:val="18"/>
          <w:color w:val="auto"/>
        </w:rPr>
        <w:t>We have granted the underwriters a 30-day option to purchase up to 450,000 additional shares from us at the public offering price, less the underwriting discounts and commissions.</w:t>
      </w:r>
    </w:p>
    <w:p>
      <w:pPr>
        <w:spacing w:after="0" w:line="305" w:lineRule="exact"/>
        <w:rPr>
          <w:sz w:val="20"/>
          <w:szCs w:val="20"/>
          <w:color w:val="auto"/>
        </w:rPr>
      </w:pPr>
    </w:p>
    <w:p>
      <w:pPr>
        <w:ind w:right="280" w:firstLine="456"/>
        <w:spacing w:after="0"/>
        <w:rPr>
          <w:sz w:val="20"/>
          <w:szCs w:val="20"/>
          <w:color w:val="auto"/>
        </w:rPr>
      </w:pPr>
      <w:r>
        <w:rPr>
          <w:rFonts w:ascii="Arial" w:cs="Arial" w:eastAsia="Arial" w:hAnsi="Arial"/>
          <w:sz w:val="18"/>
          <w:szCs w:val="18"/>
          <w:color w:val="auto"/>
        </w:rPr>
        <w:t>We are an “emerging growth company” as the term is used in the Jumpstart Our Business Startups Act of 2012 and, as such, have elected to comply with certain reduced public company reporting requirements for this prospectus, the documents incorporated by reference herein and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292100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w:t>
      </w:r>
      <w:hyperlink w:anchor="page18">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15 of this prospectus.</w:t>
      </w:r>
    </w:p>
    <w:p>
      <w:pPr>
        <w:spacing w:after="0" w:line="370" w:lineRule="exact"/>
        <w:rPr>
          <w:sz w:val="20"/>
          <w:szCs w:val="20"/>
          <w:color w:val="auto"/>
        </w:rPr>
      </w:pPr>
    </w:p>
    <w:tbl>
      <w:tblPr>
        <w:tblLayout w:type="fixed"/>
        <w:tblInd w:w="638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2200" w:type="dxa"/>
            <w:vAlign w:val="bottom"/>
          </w:tcPr>
          <w:p>
            <w:pPr>
              <w:jc w:val="center"/>
              <w:ind w:left="68"/>
              <w:spacing w:after="0"/>
              <w:rPr>
                <w:sz w:val="20"/>
                <w:szCs w:val="20"/>
                <w:color w:val="auto"/>
              </w:rPr>
            </w:pPr>
            <w:r>
              <w:rPr>
                <w:rFonts w:ascii="Arial" w:cs="Arial" w:eastAsia="Arial" w:hAnsi="Arial"/>
                <w:sz w:val="14"/>
                <w:szCs w:val="14"/>
                <w:b w:val="1"/>
                <w:bCs w:val="1"/>
                <w:color w:val="auto"/>
              </w:rPr>
              <w:t>Underwriting</w:t>
            </w:r>
          </w:p>
        </w:tc>
        <w:tc>
          <w:tcPr>
            <w:tcW w:w="1320" w:type="dxa"/>
            <w:vAlign w:val="bottom"/>
          </w:tcPr>
          <w:p>
            <w:pPr>
              <w:jc w:val="center"/>
              <w:ind w:left="428"/>
              <w:spacing w:after="0"/>
              <w:rPr>
                <w:sz w:val="20"/>
                <w:szCs w:val="20"/>
                <w:color w:val="auto"/>
              </w:rPr>
            </w:pPr>
            <w:r>
              <w:rPr>
                <w:rFonts w:ascii="Arial" w:cs="Arial" w:eastAsia="Arial" w:hAnsi="Arial"/>
                <w:sz w:val="14"/>
                <w:szCs w:val="14"/>
                <w:b w:val="1"/>
                <w:bCs w:val="1"/>
                <w:color w:val="auto"/>
              </w:rPr>
              <w:t>Proceeds to</w:t>
            </w:r>
          </w:p>
        </w:tc>
      </w:tr>
      <w:tr>
        <w:trPr>
          <w:trHeight w:val="162"/>
        </w:trPr>
        <w:tc>
          <w:tcPr>
            <w:tcW w:w="1140" w:type="dxa"/>
            <w:vAlign w:val="bottom"/>
          </w:tcPr>
          <w:p>
            <w:pPr>
              <w:jc w:val="center"/>
              <w:ind w:right="548"/>
              <w:spacing w:after="0"/>
              <w:rPr>
                <w:sz w:val="20"/>
                <w:szCs w:val="20"/>
                <w:color w:val="auto"/>
              </w:rPr>
            </w:pPr>
            <w:r>
              <w:rPr>
                <w:rFonts w:ascii="Arial" w:cs="Arial" w:eastAsia="Arial" w:hAnsi="Arial"/>
                <w:sz w:val="14"/>
                <w:szCs w:val="14"/>
                <w:b w:val="1"/>
                <w:bCs w:val="1"/>
                <w:color w:val="auto"/>
              </w:rPr>
              <w:t>Price to</w:t>
            </w:r>
          </w:p>
        </w:tc>
        <w:tc>
          <w:tcPr>
            <w:tcW w:w="2200" w:type="dxa"/>
            <w:vAlign w:val="bottom"/>
          </w:tcPr>
          <w:p>
            <w:pPr>
              <w:jc w:val="center"/>
              <w:ind w:left="68"/>
              <w:spacing w:after="0"/>
              <w:rPr>
                <w:sz w:val="20"/>
                <w:szCs w:val="20"/>
                <w:color w:val="auto"/>
              </w:rPr>
            </w:pPr>
            <w:r>
              <w:rPr>
                <w:rFonts w:ascii="Arial" w:cs="Arial" w:eastAsia="Arial" w:hAnsi="Arial"/>
                <w:sz w:val="14"/>
                <w:szCs w:val="14"/>
                <w:b w:val="1"/>
                <w:bCs w:val="1"/>
                <w:color w:val="auto"/>
              </w:rPr>
              <w:t>Discounts and</w:t>
            </w:r>
          </w:p>
        </w:tc>
        <w:tc>
          <w:tcPr>
            <w:tcW w:w="1320" w:type="dxa"/>
            <w:vAlign w:val="bottom"/>
          </w:tcPr>
          <w:p>
            <w:pPr>
              <w:jc w:val="center"/>
              <w:ind w:left="408"/>
              <w:spacing w:after="0"/>
              <w:rPr>
                <w:sz w:val="20"/>
                <w:szCs w:val="20"/>
                <w:color w:val="auto"/>
              </w:rPr>
            </w:pPr>
            <w:r>
              <w:rPr>
                <w:rFonts w:ascii="Arial" w:cs="Arial" w:eastAsia="Arial" w:hAnsi="Arial"/>
                <w:sz w:val="14"/>
                <w:szCs w:val="14"/>
                <w:b w:val="1"/>
                <w:bCs w:val="1"/>
                <w:color w:val="auto"/>
              </w:rPr>
              <w:t>AnaptysBio,</w:t>
            </w:r>
          </w:p>
        </w:tc>
      </w:tr>
      <w:tr>
        <w:trPr>
          <w:trHeight w:val="189"/>
        </w:trPr>
        <w:tc>
          <w:tcPr>
            <w:tcW w:w="1140" w:type="dxa"/>
            <w:vAlign w:val="bottom"/>
          </w:tcPr>
          <w:p>
            <w:pPr>
              <w:jc w:val="center"/>
              <w:ind w:right="528"/>
              <w:spacing w:after="0"/>
              <w:rPr>
                <w:sz w:val="20"/>
                <w:szCs w:val="20"/>
                <w:color w:val="auto"/>
              </w:rPr>
            </w:pPr>
            <w:r>
              <w:rPr>
                <w:rFonts w:ascii="Arial" w:cs="Arial" w:eastAsia="Arial" w:hAnsi="Arial"/>
                <w:sz w:val="14"/>
                <w:szCs w:val="14"/>
                <w:b w:val="1"/>
                <w:bCs w:val="1"/>
                <w:color w:val="auto"/>
                <w:w w:val="99"/>
              </w:rPr>
              <w:t>Public</w:t>
            </w:r>
          </w:p>
        </w:tc>
        <w:tc>
          <w:tcPr>
            <w:tcW w:w="2200" w:type="dxa"/>
            <w:vAlign w:val="bottom"/>
          </w:tcPr>
          <w:p>
            <w:pPr>
              <w:jc w:val="center"/>
              <w:ind w:left="88"/>
              <w:spacing w:after="0"/>
              <w:rPr>
                <w:sz w:val="20"/>
                <w:szCs w:val="20"/>
                <w:color w:val="auto"/>
              </w:rPr>
            </w:pPr>
            <w:r>
              <w:rPr>
                <w:rFonts w:ascii="Arial" w:cs="Arial" w:eastAsia="Arial" w:hAnsi="Arial"/>
                <w:sz w:val="14"/>
                <w:szCs w:val="14"/>
                <w:b w:val="1"/>
                <w:bCs w:val="1"/>
                <w:color w:val="auto"/>
              </w:rPr>
              <w:t>Commissions(1)</w:t>
            </w:r>
          </w:p>
        </w:tc>
        <w:tc>
          <w:tcPr>
            <w:tcW w:w="1320" w:type="dxa"/>
            <w:vAlign w:val="bottom"/>
          </w:tcPr>
          <w:p>
            <w:pPr>
              <w:jc w:val="center"/>
              <w:ind w:left="408"/>
              <w:spacing w:after="0"/>
              <w:rPr>
                <w:sz w:val="20"/>
                <w:szCs w:val="20"/>
                <w:color w:val="auto"/>
              </w:rPr>
            </w:pPr>
            <w:r>
              <w:rPr>
                <w:rFonts w:ascii="Arial" w:cs="Arial" w:eastAsia="Arial" w:hAnsi="Arial"/>
                <w:sz w:val="14"/>
                <w:szCs w:val="14"/>
                <w:b w:val="1"/>
                <w:bCs w:val="1"/>
                <w:color w:val="auto"/>
                <w:w w:val="99"/>
              </w:rPr>
              <w:t>Inc.</w:t>
            </w: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95"/>
        </w:trPr>
        <w:tc>
          <w:tcPr>
            <w:tcW w:w="5740" w:type="dxa"/>
            <w:vAlign w:val="bottom"/>
          </w:tcPr>
          <w:p>
            <w:pPr>
              <w:spacing w:after="0" w:line="195" w:lineRule="exact"/>
              <w:rPr>
                <w:sz w:val="20"/>
                <w:szCs w:val="20"/>
                <w:color w:val="auto"/>
              </w:rPr>
            </w:pPr>
            <w:r>
              <w:rPr>
                <w:rFonts w:ascii="Arial" w:cs="Arial" w:eastAsia="Arial" w:hAnsi="Arial"/>
                <w:sz w:val="18"/>
                <w:szCs w:val="18"/>
                <w:color w:val="auto"/>
              </w:rPr>
              <w:t>Per Share</w:t>
            </w:r>
          </w:p>
        </w:tc>
        <w:tc>
          <w:tcPr>
            <w:tcW w:w="1820" w:type="dxa"/>
            <w:vAlign w:val="bottom"/>
            <w:tcBorders>
              <w:top w:val="single" w:sz="8" w:color="auto"/>
            </w:tcBorders>
          </w:tcPr>
          <w:p>
            <w:pPr>
              <w:jc w:val="right"/>
              <w:ind w:right="1170"/>
              <w:spacing w:after="0" w:line="195" w:lineRule="exact"/>
              <w:rPr>
                <w:sz w:val="20"/>
                <w:szCs w:val="20"/>
                <w:color w:val="auto"/>
              </w:rPr>
            </w:pPr>
            <w:r>
              <w:rPr>
                <w:rFonts w:ascii="Arial" w:cs="Arial" w:eastAsia="Arial" w:hAnsi="Arial"/>
                <w:sz w:val="18"/>
                <w:szCs w:val="18"/>
                <w:color w:val="auto"/>
              </w:rPr>
              <w:t>$</w:t>
            </w:r>
          </w:p>
        </w:tc>
      </w:tr>
      <w:tr>
        <w:trPr>
          <w:trHeight w:val="217"/>
        </w:trPr>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1820" w:type="dxa"/>
            <w:vAlign w:val="bottom"/>
          </w:tcPr>
          <w:p>
            <w:pPr>
              <w:jc w:val="right"/>
              <w:ind w:right="117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8865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3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 description of the compensation payable to the underwriters.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580" w:type="dxa"/>
            <w:vAlign w:val="bottom"/>
            <w:tcBorders>
              <w:top w:val="single" w:sz="8" w:color="auto"/>
            </w:tcBorders>
          </w:tcPr>
          <w:p>
            <w:pPr>
              <w:jc w:val="right"/>
              <w:ind w:right="1050"/>
              <w:spacing w:after="0" w:line="195"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1600" w:type="dxa"/>
            <w:vAlign w:val="bottom"/>
            <w:tcBorders>
              <w:top w:val="single" w:sz="8" w:color="auto"/>
            </w:tcBorders>
          </w:tcPr>
          <w:p>
            <w:pPr>
              <w:jc w:val="right"/>
              <w:ind w:right="1050"/>
              <w:spacing w:after="0" w:line="195" w:lineRule="exact"/>
              <w:rPr>
                <w:sz w:val="20"/>
                <w:szCs w:val="20"/>
                <w:color w:val="auto"/>
              </w:rPr>
            </w:pPr>
            <w:r>
              <w:rPr>
                <w:rFonts w:ascii="Arial" w:cs="Arial" w:eastAsia="Arial" w:hAnsi="Arial"/>
                <w:sz w:val="18"/>
                <w:szCs w:val="18"/>
                <w:color w:val="auto"/>
              </w:rPr>
              <w:t>$</w:t>
            </w:r>
          </w:p>
        </w:tc>
      </w:tr>
      <w:tr>
        <w:trPr>
          <w:trHeight w:val="217"/>
        </w:trPr>
        <w:tc>
          <w:tcPr>
            <w:tcW w:w="158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0" w:type="dxa"/>
            <w:vAlign w:val="bottom"/>
          </w:tcPr>
          <w:p>
            <w:pPr>
              <w:jc w:val="right"/>
              <w:ind w:right="1050"/>
              <w:spacing w:after="0"/>
              <w:rPr>
                <w:sz w:val="20"/>
                <w:szCs w:val="20"/>
                <w:color w:val="auto"/>
              </w:rPr>
            </w:pPr>
            <w:r>
              <w:rPr>
                <w:rFonts w:ascii="Arial" w:cs="Arial" w:eastAsia="Arial" w:hAnsi="Arial"/>
                <w:sz w:val="18"/>
                <w:szCs w:val="18"/>
                <w:color w:val="auto"/>
              </w:rPr>
              <w:t>$</w:t>
            </w:r>
          </w:p>
        </w:tc>
      </w:tr>
    </w:tbl>
    <w:p>
      <w:pPr>
        <w:spacing w:after="0" w:line="662" w:lineRule="exact"/>
        <w:rPr>
          <w:sz w:val="20"/>
          <w:szCs w:val="20"/>
          <w:color w:val="auto"/>
        </w:rPr>
      </w:pPr>
    </w:p>
    <w:p>
      <w:pPr>
        <w:sectPr>
          <w:pgSz w:w="11900" w:h="16838" w:orient="portrait"/>
          <w:cols w:equalWidth="0" w:num="2">
            <w:col w:w="7560" w:space="340"/>
            <w:col w:w="3520"/>
          </w:cols>
          <w:pgMar w:left="240" w:top="459" w:right="239" w:bottom="1440" w:gutter="0" w:footer="0" w:header="0"/>
          <w:type w:val="continuous"/>
        </w:sectPr>
      </w:pPr>
    </w:p>
    <w:p>
      <w:pPr>
        <w:spacing w:after="0" w:line="9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color w:val="auto"/>
        </w:rPr>
        <w:t>Neither the Securities and Exchange Commission, any state securities commission nor any other regulatory body has approved or disapproved of these securities or determined if this prospectus is truthful or complete. Any representation to the contrary is a criminal offense.</w:t>
      </w:r>
    </w:p>
    <w:p>
      <w:pPr>
        <w:spacing w:after="0" w:line="299" w:lineRule="exact"/>
        <w:rPr>
          <w:sz w:val="20"/>
          <w:szCs w:val="20"/>
          <w:color w:val="auto"/>
        </w:rPr>
      </w:pPr>
    </w:p>
    <w:p>
      <w:pPr>
        <w:ind w:left="460"/>
        <w:spacing w:after="0"/>
        <w:tabs>
          <w:tab w:leader="none" w:pos="5860" w:val="left"/>
        </w:tabs>
        <w:rPr>
          <w:sz w:val="20"/>
          <w:szCs w:val="20"/>
          <w:color w:val="auto"/>
        </w:rPr>
      </w:pPr>
      <w:r>
        <w:rPr>
          <w:rFonts w:ascii="Arial" w:cs="Arial" w:eastAsia="Arial" w:hAnsi="Arial"/>
          <w:sz w:val="18"/>
          <w:szCs w:val="18"/>
          <w:color w:val="auto"/>
        </w:rPr>
        <w:t>The underwriters expect to deliver the shares on or about</w:t>
      </w:r>
      <w:r>
        <w:rPr>
          <w:sz w:val="20"/>
          <w:szCs w:val="20"/>
          <w:color w:val="auto"/>
        </w:rPr>
        <w:tab/>
      </w:r>
      <w:r>
        <w:rPr>
          <w:rFonts w:ascii="Arial" w:cs="Arial" w:eastAsia="Arial" w:hAnsi="Arial"/>
          <w:sz w:val="17"/>
          <w:szCs w:val="17"/>
          <w:color w:val="auto"/>
        </w:rPr>
        <w:t>, 2017.</w:t>
      </w:r>
    </w:p>
    <w:p>
      <w:pPr>
        <w:spacing w:after="0" w:line="321" w:lineRule="exact"/>
        <w:rPr>
          <w:sz w:val="20"/>
          <w:szCs w:val="20"/>
          <w:color w:val="auto"/>
        </w:rPr>
      </w:pPr>
    </w:p>
    <w:p>
      <w:pPr>
        <w:spacing w:after="0"/>
        <w:tabs>
          <w:tab w:leader="none" w:pos="5280" w:val="left"/>
          <w:tab w:leader="none" w:pos="10700" w:val="left"/>
        </w:tabs>
        <w:rPr>
          <w:sz w:val="20"/>
          <w:szCs w:val="20"/>
          <w:color w:val="auto"/>
        </w:rPr>
      </w:pPr>
      <w:r>
        <w:rPr>
          <w:rFonts w:ascii="Arial" w:cs="Arial" w:eastAsia="Arial" w:hAnsi="Arial"/>
          <w:sz w:val="29"/>
          <w:szCs w:val="29"/>
          <w:b w:val="1"/>
          <w:bCs w:val="1"/>
          <w:color w:val="auto"/>
        </w:rPr>
        <w:t>Credit Suisse</w:t>
      </w:r>
      <w:r>
        <w:rPr>
          <w:sz w:val="20"/>
          <w:szCs w:val="20"/>
          <w:color w:val="auto"/>
        </w:rPr>
        <w:tab/>
      </w:r>
      <w:r>
        <w:rPr>
          <w:rFonts w:ascii="Arial" w:cs="Arial" w:eastAsia="Arial" w:hAnsi="Arial"/>
          <w:sz w:val="29"/>
          <w:szCs w:val="29"/>
          <w:b w:val="1"/>
          <w:bCs w:val="1"/>
          <w:color w:val="auto"/>
        </w:rPr>
        <w:t>Jefferies</w:t>
      </w:r>
      <w:r>
        <w:rPr>
          <w:sz w:val="20"/>
          <w:szCs w:val="20"/>
          <w:color w:val="auto"/>
        </w:rPr>
        <w:tab/>
      </w:r>
      <w:r>
        <w:rPr>
          <w:rFonts w:ascii="Arial" w:cs="Arial" w:eastAsia="Arial" w:hAnsi="Arial"/>
          <w:sz w:val="28"/>
          <w:szCs w:val="28"/>
          <w:b w:val="1"/>
          <w:bCs w:val="1"/>
          <w:color w:val="auto"/>
        </w:rPr>
        <w:t>Stifel</w:t>
      </w:r>
    </w:p>
    <w:p>
      <w:pPr>
        <w:sectPr>
          <w:pgSz w:w="11900" w:h="16838" w:orient="portrait"/>
          <w:cols w:equalWidth="0" w:num="1">
            <w:col w:w="11420"/>
          </w:cols>
          <w:pgMar w:left="240" w:top="459" w:right="239" w:bottom="1440" w:gutter="0" w:footer="0" w:header="0"/>
          <w:type w:val="continuous"/>
        </w:sectPr>
      </w:pPr>
    </w:p>
    <w:p>
      <w:pPr>
        <w:spacing w:after="0" w:line="368" w:lineRule="exact"/>
        <w:rPr>
          <w:sz w:val="20"/>
          <w:szCs w:val="20"/>
          <w:color w:val="auto"/>
        </w:rPr>
      </w:pPr>
    </w:p>
    <w:p>
      <w:pPr>
        <w:ind w:left="3840"/>
        <w:spacing w:after="0"/>
        <w:tabs>
          <w:tab w:leader="none" w:pos="702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8"/>
          <w:szCs w:val="18"/>
          <w:color w:val="auto"/>
        </w:rPr>
        <w:t>, 2017.</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274320</wp:posOffset>
            </wp:positionV>
            <wp:extent cx="10890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40" w:type="dxa"/>
            <w:vAlign w:val="bottom"/>
            <w:gridSpan w:val="4"/>
          </w:tcPr>
          <w:p>
            <w:pPr>
              <w:ind w:left="6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940" w:type="dxa"/>
            <w:vAlign w:val="bottom"/>
            <w:gridSpan w:val="21"/>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w:t>
              </w:r>
              <w:r>
                <w:rPr>
                  <w:rFonts w:ascii="Arial" w:cs="Arial" w:eastAsia="Arial" w:hAnsi="Arial"/>
                  <w:sz w:val="15"/>
                  <w:szCs w:val="15"/>
                  <w:color w:val="0000EE"/>
                </w:rPr>
                <w:t>ROSPECTUS</w:t>
              </w:r>
              <w:r>
                <w:rPr>
                  <w:rFonts w:ascii="Arial" w:cs="Arial" w:eastAsia="Arial" w:hAnsi="Arial"/>
                  <w:sz w:val="18"/>
                  <w:szCs w:val="18"/>
                  <w:color w:val="0000EE"/>
                </w:rPr>
                <w:t xml:space="preserve"> S</w:t>
              </w:r>
              <w:r>
                <w:rPr>
                  <w:rFonts w:ascii="Arial" w:cs="Arial" w:eastAsia="Arial" w:hAnsi="Arial"/>
                  <w:sz w:val="15"/>
                  <w:szCs w:val="15"/>
                  <w:color w:val="0000EE"/>
                </w:rPr>
                <w:t>UMMARY</w:t>
              </w:r>
            </w:hyperlink>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40" w:type="dxa"/>
            <w:vAlign w:val="bottom"/>
            <w:gridSpan w:val="21"/>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T</w:t>
              </w:r>
              <w:r>
                <w:rPr>
                  <w:rFonts w:ascii="Arial" w:cs="Arial" w:eastAsia="Arial" w:hAnsi="Arial"/>
                  <w:sz w:val="15"/>
                  <w:szCs w:val="15"/>
                  <w:color w:val="0000EE"/>
                  <w:w w:val="94"/>
                </w:rPr>
                <w:t>HE</w:t>
              </w:r>
              <w:r>
                <w:rPr>
                  <w:rFonts w:ascii="Arial" w:cs="Arial" w:eastAsia="Arial" w:hAnsi="Arial"/>
                  <w:sz w:val="18"/>
                  <w:szCs w:val="18"/>
                  <w:color w:val="0000EE"/>
                  <w:w w:val="94"/>
                </w:rPr>
                <w:t xml:space="preserve"> O</w:t>
              </w:r>
              <w:r>
                <w:rPr>
                  <w:rFonts w:ascii="Arial" w:cs="Arial" w:eastAsia="Arial" w:hAnsi="Arial"/>
                  <w:sz w:val="15"/>
                  <w:szCs w:val="15"/>
                  <w:color w:val="0000EE"/>
                  <w:w w:val="94"/>
                </w:rPr>
                <w:t>FFERING</w:t>
              </w:r>
            </w:hyperlink>
          </w:p>
        </w:tc>
        <w:tc>
          <w:tcPr>
            <w:tcW w:w="660" w:type="dxa"/>
            <w:vAlign w:val="bottom"/>
            <w:tcBorders>
              <w:top w:val="single" w:sz="8" w:color="0000EE"/>
            </w:tcBorders>
            <w:gridSpan w:val="6"/>
          </w:tcPr>
          <w:p>
            <w:pPr>
              <w:spacing w:after="0"/>
              <w:rPr>
                <w:sz w:val="18"/>
                <w:szCs w:val="18"/>
                <w:color w:val="auto"/>
              </w:rPr>
            </w:pPr>
          </w:p>
        </w:tc>
        <w:tc>
          <w:tcPr>
            <w:tcW w:w="9160" w:type="dxa"/>
            <w:vAlign w:val="bottom"/>
            <w:gridSpan w:val="11"/>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w:t>
              </w:r>
              <w:r>
                <w:rPr>
                  <w:rFonts w:ascii="Arial" w:cs="Arial" w:eastAsia="Arial" w:hAnsi="Arial"/>
                  <w:sz w:val="15"/>
                  <w:szCs w:val="15"/>
                  <w:color w:val="0000EE"/>
                </w:rPr>
                <w:t>ISK</w:t>
              </w:r>
              <w:r>
                <w:rPr>
                  <w:rFonts w:ascii="Arial" w:cs="Arial" w:eastAsia="Arial" w:hAnsi="Arial"/>
                  <w:sz w:val="18"/>
                  <w:szCs w:val="18"/>
                  <w:color w:val="0000EE"/>
                </w:rPr>
                <w:t xml:space="preserve"> F</w:t>
              </w:r>
              <w:r>
                <w:rPr>
                  <w:rFonts w:ascii="Arial" w:cs="Arial" w:eastAsia="Arial" w:hAnsi="Arial"/>
                  <w:sz w:val="15"/>
                  <w:szCs w:val="15"/>
                  <w:color w:val="0000EE"/>
                </w:rPr>
                <w:t>ACTORS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w:t>
              </w:r>
              <w:r>
                <w:rPr>
                  <w:rFonts w:ascii="Arial" w:cs="Arial" w:eastAsia="Arial" w:hAnsi="Arial"/>
                  <w:sz w:val="15"/>
                  <w:szCs w:val="15"/>
                  <w:color w:val="0000EE"/>
                </w:rPr>
                <w:t>PECIAL</w:t>
              </w:r>
              <w:r>
                <w:rPr>
                  <w:rFonts w:ascii="Arial" w:cs="Arial" w:eastAsia="Arial" w:hAnsi="Arial"/>
                  <w:sz w:val="18"/>
                  <w:szCs w:val="18"/>
                  <w:color w:val="0000EE"/>
                </w:rPr>
                <w:t xml:space="preserve"> N</w:t>
              </w:r>
              <w:r>
                <w:rPr>
                  <w:rFonts w:ascii="Arial" w:cs="Arial" w:eastAsia="Arial" w:hAnsi="Arial"/>
                  <w:sz w:val="15"/>
                  <w:szCs w:val="15"/>
                  <w:color w:val="0000EE"/>
                </w:rPr>
                <w:t>OTE</w:t>
              </w:r>
              <w:r>
                <w:rPr>
                  <w:rFonts w:ascii="Arial" w:cs="Arial" w:eastAsia="Arial" w:hAnsi="Arial"/>
                  <w:sz w:val="18"/>
                  <w:szCs w:val="18"/>
                  <w:color w:val="0000EE"/>
                </w:rPr>
                <w:t xml:space="preserve"> R</w:t>
              </w:r>
              <w:r>
                <w:rPr>
                  <w:rFonts w:ascii="Arial" w:cs="Arial" w:eastAsia="Arial" w:hAnsi="Arial"/>
                  <w:sz w:val="15"/>
                  <w:szCs w:val="15"/>
                  <w:color w:val="0000EE"/>
                </w:rPr>
                <w:t>EGARDING</w:t>
              </w:r>
              <w:r>
                <w:rPr>
                  <w:rFonts w:ascii="Arial" w:cs="Arial" w:eastAsia="Arial" w:hAnsi="Arial"/>
                  <w:sz w:val="18"/>
                  <w:szCs w:val="18"/>
                  <w:color w:val="0000EE"/>
                </w:rPr>
                <w:t xml:space="preserve"> F</w:t>
              </w:r>
              <w:r>
                <w:rPr>
                  <w:rFonts w:ascii="Arial" w:cs="Arial" w:eastAsia="Arial" w:hAnsi="Arial"/>
                  <w:sz w:val="15"/>
                  <w:szCs w:val="15"/>
                  <w:color w:val="0000EE"/>
                </w:rPr>
                <w:t>ORWARD</w:t>
              </w:r>
              <w:r>
                <w:rPr>
                  <w:rFonts w:ascii="Arial" w:cs="Arial" w:eastAsia="Arial" w:hAnsi="Arial"/>
                  <w:sz w:val="18"/>
                  <w:szCs w:val="18"/>
                  <w:color w:val="0000EE"/>
                </w:rPr>
                <w:t xml:space="preserve"> -L</w:t>
              </w:r>
              <w:r>
                <w:rPr>
                  <w:rFonts w:ascii="Arial" w:cs="Arial" w:eastAsia="Arial" w:hAnsi="Arial"/>
                  <w:sz w:val="15"/>
                  <w:szCs w:val="15"/>
                  <w:color w:val="0000EE"/>
                </w:rPr>
                <w:t>OOKING</w:t>
              </w:r>
              <w:r>
                <w:rPr>
                  <w:rFonts w:ascii="Arial" w:cs="Arial" w:eastAsia="Arial" w:hAnsi="Arial"/>
                  <w:sz w:val="18"/>
                  <w:szCs w:val="18"/>
                  <w:color w:val="0000EE"/>
                </w:rPr>
                <w:t xml:space="preserve"> S</w:t>
              </w:r>
              <w:r>
                <w:rPr>
                  <w:rFonts w:ascii="Arial" w:cs="Arial" w:eastAsia="Arial" w:hAnsi="Arial"/>
                  <w:sz w:val="15"/>
                  <w:szCs w:val="15"/>
                  <w:color w:val="0000EE"/>
                </w:rPr>
                <w:t>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3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8"/>
              </w:rPr>
            </w:pPr>
            <w:hyperlink w:anchor="page21">
              <w:r>
                <w:rPr>
                  <w:rFonts w:ascii="Arial" w:cs="Arial" w:eastAsia="Arial" w:hAnsi="Arial"/>
                  <w:sz w:val="18"/>
                  <w:szCs w:val="18"/>
                  <w:color w:val="0000EE"/>
                  <w:w w:val="98"/>
                </w:rPr>
                <w:t>M</w:t>
              </w:r>
              <w:r>
                <w:rPr>
                  <w:rFonts w:ascii="Arial" w:cs="Arial" w:eastAsia="Arial" w:hAnsi="Arial"/>
                  <w:sz w:val="15"/>
                  <w:szCs w:val="15"/>
                  <w:color w:val="0000EE"/>
                  <w:w w:val="98"/>
                </w:rPr>
                <w:t>ARKET AND</w:t>
              </w:r>
              <w:r>
                <w:rPr>
                  <w:rFonts w:ascii="Arial" w:cs="Arial" w:eastAsia="Arial" w:hAnsi="Arial"/>
                  <w:sz w:val="18"/>
                  <w:szCs w:val="18"/>
                  <w:color w:val="0000EE"/>
                  <w:w w:val="98"/>
                </w:rPr>
                <w:t xml:space="preserve"> I</w:t>
              </w:r>
              <w:r>
                <w:rPr>
                  <w:rFonts w:ascii="Arial" w:cs="Arial" w:eastAsia="Arial" w:hAnsi="Arial"/>
                  <w:sz w:val="15"/>
                  <w:szCs w:val="15"/>
                  <w:color w:val="0000EE"/>
                  <w:w w:val="98"/>
                </w:rPr>
                <w:t>NDUSTRY</w:t>
              </w:r>
              <w:r>
                <w:rPr>
                  <w:rFonts w:ascii="Arial" w:cs="Arial" w:eastAsia="Arial" w:hAnsi="Arial"/>
                  <w:sz w:val="18"/>
                  <w:szCs w:val="18"/>
                  <w:color w:val="0000EE"/>
                  <w:w w:val="98"/>
                </w:rPr>
                <w:t xml:space="preserve"> D</w:t>
              </w:r>
              <w:r>
                <w:rPr>
                  <w:rFonts w:ascii="Arial" w:cs="Arial" w:eastAsia="Arial" w:hAnsi="Arial"/>
                  <w:sz w:val="15"/>
                  <w:szCs w:val="15"/>
                  <w:color w:val="0000EE"/>
                  <w:w w:val="98"/>
                </w:rPr>
                <w:t>ATA</w:t>
              </w:r>
            </w:hyperlink>
          </w:p>
        </w:tc>
        <w:tc>
          <w:tcPr>
            <w:tcW w:w="2340" w:type="dxa"/>
            <w:vAlign w:val="bottom"/>
            <w:tcBorders>
              <w:top w:val="single" w:sz="8" w:color="0000EE"/>
            </w:tcBorders>
            <w:gridSpan w:val="3"/>
          </w:tcPr>
          <w:p>
            <w:pPr>
              <w:spacing w:after="0"/>
              <w:rPr>
                <w:sz w:val="17"/>
                <w:szCs w:val="17"/>
                <w:color w:val="auto"/>
              </w:rPr>
            </w:pPr>
          </w:p>
        </w:tc>
        <w:tc>
          <w:tcPr>
            <w:tcW w:w="630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956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w:t>
              </w:r>
              <w:r>
                <w:rPr>
                  <w:rFonts w:ascii="Arial" w:cs="Arial" w:eastAsia="Arial" w:hAnsi="Arial"/>
                  <w:sz w:val="15"/>
                  <w:szCs w:val="15"/>
                  <w:color w:val="0000EE"/>
                </w:rPr>
                <w:t>IVIDEND</w:t>
              </w:r>
              <w:r>
                <w:rPr>
                  <w:rFonts w:ascii="Arial" w:cs="Arial" w:eastAsia="Arial" w:hAnsi="Arial"/>
                  <w:sz w:val="18"/>
                  <w:szCs w:val="18"/>
                  <w:color w:val="0000EE"/>
                </w:rPr>
                <w:t xml:space="preserve"> P</w:t>
              </w:r>
              <w:r>
                <w:rPr>
                  <w:rFonts w:ascii="Arial" w:cs="Arial" w:eastAsia="Arial" w:hAnsi="Arial"/>
                  <w:sz w:val="15"/>
                  <w:szCs w:val="15"/>
                  <w:color w:val="0000EE"/>
                </w:rPr>
                <w:t>OLICY</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3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w:t>
              </w:r>
              <w:r>
                <w:rPr>
                  <w:rFonts w:ascii="Arial" w:cs="Arial" w:eastAsia="Arial" w:hAnsi="Arial"/>
                  <w:sz w:val="15"/>
                  <w:szCs w:val="15"/>
                  <w:color w:val="0000EE"/>
                </w:rPr>
                <w:t>APITALIZATION</w:t>
              </w:r>
            </w:hyperlink>
          </w:p>
        </w:tc>
        <w:tc>
          <w:tcPr>
            <w:tcW w:w="9580" w:type="dxa"/>
            <w:vAlign w:val="bottom"/>
            <w:gridSpan w:val="1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2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w:t>
              </w:r>
              <w:r>
                <w:rPr>
                  <w:rFonts w:ascii="Arial" w:cs="Arial" w:eastAsia="Arial" w:hAnsi="Arial"/>
                  <w:sz w:val="15"/>
                  <w:szCs w:val="15"/>
                  <w:color w:val="0000EE"/>
                </w:rPr>
                <w:t>ILUTION</w:t>
              </w:r>
            </w:hyperlink>
          </w:p>
        </w:tc>
        <w:tc>
          <w:tcPr>
            <w:tcW w:w="970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w:t>
              </w:r>
              <w:r>
                <w:rPr>
                  <w:rFonts w:ascii="Arial" w:cs="Arial" w:eastAsia="Arial" w:hAnsi="Arial"/>
                  <w:sz w:val="15"/>
                  <w:szCs w:val="15"/>
                  <w:color w:val="0000EE"/>
                </w:rPr>
                <w:t>ERTAIN</w:t>
              </w:r>
              <w:r>
                <w:rPr>
                  <w:rFonts w:ascii="Arial" w:cs="Arial" w:eastAsia="Arial" w:hAnsi="Arial"/>
                  <w:sz w:val="18"/>
                  <w:szCs w:val="18"/>
                  <w:color w:val="0000EE"/>
                </w:rPr>
                <w:t xml:space="preserve"> R</w:t>
              </w:r>
              <w:r>
                <w:rPr>
                  <w:rFonts w:ascii="Arial" w:cs="Arial" w:eastAsia="Arial" w:hAnsi="Arial"/>
                  <w:sz w:val="15"/>
                  <w:szCs w:val="15"/>
                  <w:color w:val="0000EE"/>
                </w:rPr>
                <w:t>ELATIONSHIPS AND</w:t>
              </w:r>
              <w:r>
                <w:rPr>
                  <w:rFonts w:ascii="Arial" w:cs="Arial" w:eastAsia="Arial" w:hAnsi="Arial"/>
                  <w:sz w:val="18"/>
                  <w:szCs w:val="18"/>
                  <w:color w:val="0000EE"/>
                </w:rPr>
                <w:t xml:space="preserve"> R</w:t>
              </w:r>
              <w:r>
                <w:rPr>
                  <w:rFonts w:ascii="Arial" w:cs="Arial" w:eastAsia="Arial" w:hAnsi="Arial"/>
                  <w:sz w:val="15"/>
                  <w:szCs w:val="15"/>
                  <w:color w:val="0000EE"/>
                </w:rPr>
                <w:t>ELATED</w:t>
              </w:r>
              <w:r>
                <w:rPr>
                  <w:rFonts w:ascii="Arial" w:cs="Arial" w:eastAsia="Arial" w:hAnsi="Arial"/>
                  <w:sz w:val="18"/>
                  <w:szCs w:val="18"/>
                  <w:color w:val="0000EE"/>
                </w:rPr>
                <w:t xml:space="preserve"> P</w:t>
              </w:r>
              <w:r>
                <w:rPr>
                  <w:rFonts w:ascii="Arial" w:cs="Arial" w:eastAsia="Arial" w:hAnsi="Arial"/>
                  <w:sz w:val="15"/>
                  <w:szCs w:val="15"/>
                  <w:color w:val="0000EE"/>
                </w:rPr>
                <w:t>ARTY</w:t>
              </w:r>
              <w:r>
                <w:rPr>
                  <w:rFonts w:ascii="Arial" w:cs="Arial" w:eastAsia="Arial" w:hAnsi="Arial"/>
                  <w:sz w:val="18"/>
                  <w:szCs w:val="18"/>
                  <w:color w:val="0000EE"/>
                </w:rPr>
                <w:t xml:space="preserve"> T</w:t>
              </w:r>
              <w:r>
                <w:rPr>
                  <w:rFonts w:ascii="Arial" w:cs="Arial" w:eastAsia="Arial" w:hAnsi="Arial"/>
                  <w:sz w:val="15"/>
                  <w:szCs w:val="15"/>
                  <w:color w:val="0000EE"/>
                </w:rPr>
                <w:t>RANSACTIONS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7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w:t>
              </w:r>
              <w:r>
                <w:rPr>
                  <w:rFonts w:ascii="Arial" w:cs="Arial" w:eastAsia="Arial" w:hAnsi="Arial"/>
                  <w:sz w:val="15"/>
                  <w:szCs w:val="15"/>
                  <w:color w:val="0000EE"/>
                </w:rPr>
                <w:t>RINCIPAL</w:t>
              </w:r>
              <w:r>
                <w:rPr>
                  <w:rFonts w:ascii="Arial" w:cs="Arial" w:eastAsia="Arial" w:hAnsi="Arial"/>
                  <w:sz w:val="18"/>
                  <w:szCs w:val="18"/>
                  <w:color w:val="0000EE"/>
                </w:rPr>
                <w:t xml:space="preserve"> S</w:t>
              </w:r>
              <w:r>
                <w:rPr>
                  <w:rFonts w:ascii="Arial" w:cs="Arial" w:eastAsia="Arial" w:hAnsi="Arial"/>
                  <w:sz w:val="15"/>
                  <w:szCs w:val="15"/>
                  <w:color w:val="0000EE"/>
                </w:rPr>
                <w:t>TOCKHOLDERS</w:t>
              </w:r>
            </w:hyperlink>
          </w:p>
        </w:tc>
        <w:tc>
          <w:tcPr>
            <w:tcW w:w="624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D</w:t>
              </w:r>
              <w:r>
                <w:rPr>
                  <w:rFonts w:ascii="Arial" w:cs="Arial" w:eastAsia="Arial" w:hAnsi="Arial"/>
                  <w:sz w:val="15"/>
                  <w:szCs w:val="15"/>
                  <w:color w:val="0000EE"/>
                  <w:w w:val="95"/>
                </w:rPr>
                <w:t>ESCRIPTION OF</w:t>
              </w:r>
              <w:r>
                <w:rPr>
                  <w:rFonts w:ascii="Arial" w:cs="Arial" w:eastAsia="Arial" w:hAnsi="Arial"/>
                  <w:sz w:val="18"/>
                  <w:szCs w:val="18"/>
                  <w:color w:val="0000EE"/>
                  <w:w w:val="95"/>
                </w:rPr>
                <w:t xml:space="preserve"> C</w:t>
              </w:r>
              <w:r>
                <w:rPr>
                  <w:rFonts w:ascii="Arial" w:cs="Arial" w:eastAsia="Arial" w:hAnsi="Arial"/>
                  <w:sz w:val="15"/>
                  <w:szCs w:val="15"/>
                  <w:color w:val="0000EE"/>
                  <w:w w:val="95"/>
                </w:rPr>
                <w:t>APITAL</w:t>
              </w:r>
              <w:r>
                <w:rPr>
                  <w:rFonts w:ascii="Arial" w:cs="Arial" w:eastAsia="Arial" w:hAnsi="Arial"/>
                  <w:sz w:val="18"/>
                  <w:szCs w:val="18"/>
                  <w:color w:val="0000EE"/>
                  <w:w w:val="95"/>
                </w:rPr>
                <w:t xml:space="preserve"> S</w:t>
              </w:r>
              <w:r>
                <w:rPr>
                  <w:rFonts w:ascii="Arial" w:cs="Arial" w:eastAsia="Arial" w:hAnsi="Arial"/>
                  <w:sz w:val="15"/>
                  <w:szCs w:val="15"/>
                  <w:color w:val="0000EE"/>
                  <w:w w:val="95"/>
                </w:rPr>
                <w:t>TOCK</w:t>
              </w:r>
            </w:hyperlink>
          </w:p>
        </w:tc>
        <w:tc>
          <w:tcPr>
            <w:tcW w:w="846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M</w:t>
              </w:r>
              <w:r>
                <w:rPr>
                  <w:rFonts w:ascii="Arial" w:cs="Arial" w:eastAsia="Arial" w:hAnsi="Arial"/>
                  <w:sz w:val="15"/>
                  <w:szCs w:val="15"/>
                  <w:color w:val="0000EE"/>
                </w:rPr>
                <w:t>ATERIAL</w:t>
              </w:r>
              <w:r>
                <w:rPr>
                  <w:rFonts w:ascii="Arial" w:cs="Arial" w:eastAsia="Arial" w:hAnsi="Arial"/>
                  <w:sz w:val="18"/>
                  <w:szCs w:val="18"/>
                  <w:color w:val="0000EE"/>
                </w:rPr>
                <w:t xml:space="preserve"> U.S. F</w:t>
              </w:r>
              <w:r>
                <w:rPr>
                  <w:rFonts w:ascii="Arial" w:cs="Arial" w:eastAsia="Arial" w:hAnsi="Arial"/>
                  <w:sz w:val="15"/>
                  <w:szCs w:val="15"/>
                  <w:color w:val="0000EE"/>
                </w:rPr>
                <w:t>EDERAL</w:t>
              </w:r>
              <w:r>
                <w:rPr>
                  <w:rFonts w:ascii="Arial" w:cs="Arial" w:eastAsia="Arial" w:hAnsi="Arial"/>
                  <w:sz w:val="18"/>
                  <w:szCs w:val="18"/>
                  <w:color w:val="0000EE"/>
                </w:rPr>
                <w:t xml:space="preserve"> I</w:t>
              </w:r>
              <w:r>
                <w:rPr>
                  <w:rFonts w:ascii="Arial" w:cs="Arial" w:eastAsia="Arial" w:hAnsi="Arial"/>
                  <w:sz w:val="15"/>
                  <w:szCs w:val="15"/>
                  <w:color w:val="0000EE"/>
                </w:rPr>
                <w:t>NCOME</w:t>
              </w:r>
              <w:r>
                <w:rPr>
                  <w:rFonts w:ascii="Arial" w:cs="Arial" w:eastAsia="Arial" w:hAnsi="Arial"/>
                  <w:sz w:val="18"/>
                  <w:szCs w:val="18"/>
                  <w:color w:val="0000EE"/>
                </w:rPr>
                <w:t xml:space="preserve"> T</w:t>
              </w:r>
              <w:r>
                <w:rPr>
                  <w:rFonts w:ascii="Arial" w:cs="Arial" w:eastAsia="Arial" w:hAnsi="Arial"/>
                  <w:sz w:val="15"/>
                  <w:szCs w:val="15"/>
                  <w:color w:val="0000EE"/>
                </w:rPr>
                <w:t>AX</w:t>
              </w:r>
              <w:r>
                <w:rPr>
                  <w:rFonts w:ascii="Arial" w:cs="Arial" w:eastAsia="Arial" w:hAnsi="Arial"/>
                  <w:sz w:val="18"/>
                  <w:szCs w:val="18"/>
                  <w:color w:val="0000EE"/>
                </w:rPr>
                <w:t xml:space="preserve"> C</w:t>
              </w:r>
              <w:r>
                <w:rPr>
                  <w:rFonts w:ascii="Arial" w:cs="Arial" w:eastAsia="Arial" w:hAnsi="Arial"/>
                  <w:sz w:val="15"/>
                  <w:szCs w:val="15"/>
                  <w:color w:val="0000EE"/>
                </w:rPr>
                <w:t>ONSIDERATIONS FOR</w:t>
              </w:r>
              <w:r>
                <w:rPr>
                  <w:rFonts w:ascii="Arial" w:cs="Arial" w:eastAsia="Arial" w:hAnsi="Arial"/>
                  <w:sz w:val="18"/>
                  <w:szCs w:val="18"/>
                  <w:color w:val="0000EE"/>
                </w:rPr>
                <w:t xml:space="preserve"> N</w:t>
              </w:r>
              <w:r>
                <w:rPr>
                  <w:rFonts w:ascii="Arial" w:cs="Arial" w:eastAsia="Arial" w:hAnsi="Arial"/>
                  <w:sz w:val="15"/>
                  <w:szCs w:val="15"/>
                  <w:color w:val="0000EE"/>
                </w:rPr>
                <w:t>ON</w:t>
              </w:r>
              <w:r>
                <w:rPr>
                  <w:rFonts w:ascii="Arial" w:cs="Arial" w:eastAsia="Arial" w:hAnsi="Arial"/>
                  <w:sz w:val="18"/>
                  <w:szCs w:val="18"/>
                  <w:color w:val="0000EE"/>
                </w:rPr>
                <w:t>-U.S. H</w:t>
              </w:r>
              <w:r>
                <w:rPr>
                  <w:rFonts w:ascii="Arial" w:cs="Arial" w:eastAsia="Arial" w:hAnsi="Arial"/>
                  <w:sz w:val="15"/>
                  <w:szCs w:val="15"/>
                  <w:color w:val="0000EE"/>
                </w:rPr>
                <w:t>OLDERS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61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U</w:t>
              </w:r>
              <w:r>
                <w:rPr>
                  <w:rFonts w:ascii="Arial" w:cs="Arial" w:eastAsia="Arial" w:hAnsi="Arial"/>
                  <w:sz w:val="15"/>
                  <w:szCs w:val="15"/>
                  <w:color w:val="0000EE"/>
                </w:rPr>
                <w:t>NDERWRITING</w:t>
              </w:r>
            </w:hyperlink>
          </w:p>
        </w:tc>
        <w:tc>
          <w:tcPr>
            <w:tcW w:w="482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L</w:t>
              </w:r>
              <w:r>
                <w:rPr>
                  <w:rFonts w:ascii="Arial" w:cs="Arial" w:eastAsia="Arial" w:hAnsi="Arial"/>
                  <w:sz w:val="15"/>
                  <w:szCs w:val="15"/>
                  <w:color w:val="0000EE"/>
                  <w:w w:val="97"/>
                </w:rPr>
                <w:t>EGAL</w:t>
              </w:r>
              <w:r>
                <w:rPr>
                  <w:rFonts w:ascii="Arial" w:cs="Arial" w:eastAsia="Arial" w:hAnsi="Arial"/>
                  <w:sz w:val="18"/>
                  <w:szCs w:val="18"/>
                  <w:color w:val="0000EE"/>
                  <w:w w:val="97"/>
                </w:rPr>
                <w:t xml:space="preserve"> M</w:t>
              </w:r>
              <w:r>
                <w:rPr>
                  <w:rFonts w:ascii="Arial" w:cs="Arial" w:eastAsia="Arial" w:hAnsi="Arial"/>
                  <w:sz w:val="15"/>
                  <w:szCs w:val="15"/>
                  <w:color w:val="0000EE"/>
                  <w:w w:val="97"/>
                </w:rPr>
                <w:t>ATTERS</w:t>
              </w:r>
            </w:hyperlink>
          </w:p>
        </w:tc>
        <w:tc>
          <w:tcPr>
            <w:tcW w:w="966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400" w:type="dxa"/>
            <w:vAlign w:val="bottom"/>
            <w:gridSpan w:val="11"/>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A</w:t>
              </w:r>
              <w:r>
                <w:rPr>
                  <w:rFonts w:ascii="Arial" w:cs="Arial" w:eastAsia="Arial" w:hAnsi="Arial"/>
                  <w:sz w:val="15"/>
                  <w:szCs w:val="15"/>
                  <w:color w:val="0000EE"/>
                </w:rPr>
                <w:t>DDITIONAL</w:t>
              </w:r>
              <w:r>
                <w:rPr>
                  <w:rFonts w:ascii="Arial" w:cs="Arial" w:eastAsia="Arial" w:hAnsi="Arial"/>
                  <w:sz w:val="18"/>
                  <w:szCs w:val="18"/>
                  <w:color w:val="0000EE"/>
                </w:rPr>
                <w:t xml:space="preserve"> I</w:t>
              </w:r>
              <w:r>
                <w:rPr>
                  <w:rFonts w:ascii="Arial" w:cs="Arial" w:eastAsia="Arial" w:hAnsi="Arial"/>
                  <w:sz w:val="15"/>
                  <w:szCs w:val="15"/>
                  <w:color w:val="0000EE"/>
                </w:rPr>
                <w:t>NFORMATION</w:t>
              </w:r>
            </w:hyperlink>
          </w:p>
        </w:tc>
        <w:tc>
          <w:tcPr>
            <w:tcW w:w="888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w:t>
              </w:r>
              <w:r>
                <w:rPr>
                  <w:rFonts w:ascii="Arial" w:cs="Arial" w:eastAsia="Arial" w:hAnsi="Arial"/>
                  <w:sz w:val="15"/>
                  <w:szCs w:val="15"/>
                  <w:color w:val="0000EE"/>
                </w:rPr>
                <w:t>NCORPORATION OF</w:t>
              </w:r>
              <w:r>
                <w:rPr>
                  <w:rFonts w:ascii="Arial" w:cs="Arial" w:eastAsia="Arial" w:hAnsi="Arial"/>
                  <w:sz w:val="18"/>
                  <w:szCs w:val="18"/>
                  <w:color w:val="0000EE"/>
                </w:rPr>
                <w:t xml:space="preserve"> C</w:t>
              </w:r>
              <w:r>
                <w:rPr>
                  <w:rFonts w:ascii="Arial" w:cs="Arial" w:eastAsia="Arial" w:hAnsi="Arial"/>
                  <w:sz w:val="15"/>
                  <w:szCs w:val="15"/>
                  <w:color w:val="0000EE"/>
                </w:rPr>
                <w:t>ERTAIN</w:t>
              </w:r>
              <w:r>
                <w:rPr>
                  <w:rFonts w:ascii="Arial" w:cs="Arial" w:eastAsia="Arial" w:hAnsi="Arial"/>
                  <w:sz w:val="18"/>
                  <w:szCs w:val="18"/>
                  <w:color w:val="0000EE"/>
                </w:rPr>
                <w:t xml:space="preserve"> I</w:t>
              </w:r>
              <w:r>
                <w:rPr>
                  <w:rFonts w:ascii="Arial" w:cs="Arial" w:eastAsia="Arial" w:hAnsi="Arial"/>
                  <w:sz w:val="15"/>
                  <w:szCs w:val="15"/>
                  <w:color w:val="0000EE"/>
                </w:rPr>
                <w:t>NFORMATION BY</w:t>
              </w:r>
              <w:r>
                <w:rPr>
                  <w:rFonts w:ascii="Arial" w:cs="Arial" w:eastAsia="Arial" w:hAnsi="Arial"/>
                  <w:sz w:val="18"/>
                  <w:szCs w:val="18"/>
                  <w:color w:val="0000EE"/>
                </w:rPr>
                <w:t xml:space="preserve"> R</w:t>
              </w:r>
              <w:r>
                <w:rPr>
                  <w:rFonts w:ascii="Arial" w:cs="Arial" w:eastAsia="Arial" w:hAnsi="Arial"/>
                  <w:sz w:val="15"/>
                  <w:szCs w:val="15"/>
                  <w:color w:val="0000EE"/>
                </w:rPr>
                <w:t>EFERENCE</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29"/>
        </w:trPr>
        <w:tc>
          <w:tcPr>
            <w:tcW w:w="6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94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 this prospectus or to which we have referred you. Neither we nor the underwriters have authorized anyone to provide you with information that is different. This prospectus may only be used where it is legal to sell these securities. The information in this prospectus or in any document incorporated by reference herein may only be accurate as of the date hereof or thereof, respectively, regardless of the time of delivery of this prospectus or of any sale of shares of our common stock and the information in any free writing prospectus that we may provide you in connection with this offering is accurate only as of the date of that free writing prospectus. Our business, financial condition, results of operations and future growth prospects may have changed since those dates.</w:t>
      </w:r>
    </w:p>
    <w:p>
      <w:pPr>
        <w:spacing w:after="0" w:line="13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Persons who come into possession of this prospectus and any applicable free writing prospectus in jurisdictions outside the United States are required to inform themselves about and to observe any restrictions as to this offering and the distribution of this prospectus and any such free writing prospectus applicable to that jurisdiction.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30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9302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under the sections “Risk Factors” and “Management’s Discussion and Analysis of Financial Condition and Results of Operations,” in each case included in, or incorporated by reference into, this prospectus. Unless the context otherwise requires, we use the terms “AnaptysBio,” “company,” “we,” “us” and “our” in this prospectus to refer to AnaptysBio, Inc. and our subsidiary.</w:t>
      </w:r>
    </w:p>
    <w:p>
      <w:pPr>
        <w:spacing w:after="0" w:line="29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8"/>
          <w:szCs w:val="18"/>
          <w:i w:val="1"/>
          <w:iCs w:val="1"/>
          <w:color w:val="auto"/>
        </w:rPr>
        <w:t>in vitro</w:t>
      </w:r>
      <w:r>
        <w:rPr>
          <w:rFonts w:ascii="Arial" w:cs="Arial" w:eastAsia="Arial" w:hAnsi="Arial"/>
          <w:sz w:val="18"/>
          <w:szCs w:val="18"/>
          <w:color w:val="auto"/>
        </w:rPr>
        <w:t>. Our strategy is to advance the development and commercialization of our proprietary product candidates, and for certain programs, establish partnerships with leading biopharmaceutical companies where we retain certain development and commercialization rights in the United States.</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Our most advanced wholly-owned antibody programs, ANB020 and ANB019, neutralize therapeutic targets that are genetically associated with severe inflammatory disorders in humans. ANB020 inhibits the activity of the interleukin-33 cytokine, or IL-33, for the treatment of moderate-to-severe adult atopic dermatitis, severe adult peanut allergy and severe adult eosinophilic asthma. We have completed a Phase 1 trial of ANB020 in healthy volunteers in Australia, the results of which were presented at the 2017 American Academy of Dermatology Annual Meeting and the American Academy of Allergy, Asthma and Immunology 2017 Annual Meeting in March 2017.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pharmacodynamic assay. We have subsequently completed enrollment of a Phase 2a trial of ANB020 in 12 moderate-to-severe adult atopic dermatitis patients, under an approved Clinical Trial Authorisation, or CTA, with the U.K. Medicines and Healthcare Products Regulatory Agency, or MHRA, and announced top-line data from an interim analysis of this trial in October 2017.</w:t>
      </w:r>
    </w:p>
    <w:p>
      <w:pPr>
        <w:spacing w:after="0" w:line="178" w:lineRule="exact"/>
        <w:rPr>
          <w:sz w:val="20"/>
          <w:szCs w:val="20"/>
          <w:color w:val="auto"/>
        </w:rPr>
      </w:pPr>
    </w:p>
    <w:p>
      <w:pPr>
        <w:ind w:left="200" w:right="180" w:firstLine="441"/>
        <w:spacing w:after="0" w:line="290" w:lineRule="auto"/>
        <w:rPr>
          <w:sz w:val="20"/>
          <w:szCs w:val="20"/>
          <w:color w:val="auto"/>
        </w:rPr>
      </w:pPr>
      <w:r>
        <w:rPr>
          <w:rFonts w:ascii="Arial" w:cs="Arial" w:eastAsia="Arial" w:hAnsi="Arial"/>
          <w:sz w:val="16"/>
          <w:szCs w:val="16"/>
          <w:color w:val="auto"/>
        </w:rPr>
        <w:t>The Phase 2a proof-of-concept trial enrolled 12 moderate-to-severe adult atopic dermatitis patients, who were initially administered a single intravenous dose of placebo within 14 days of enrollment, followed by a single intravenous 300mg dose of ANB020 one week subsequent to placebo. Prior to enrollment in the study, patients were not permitted any systemic or topical medications during a wash-out period. Patients were permitted to take a monitored amount of topical corticosteroids as rescue therapy during the course of the study. Clinical response was assessed by a number of endpoints, including the improvement of each patient’s Eczema Area Severity Index, or EASI, score, a tool used to measure the extent and severity of atopic dermatitis, at key time points following ANB020 administration relative to their enrollment baseline. Pruritus, also known as itchiness, as measured by the 5-D pruritus scale score, was also assessed for each patient. Exploratory mechanistic biomarkers included granulocyte infiltration and cytokine levels in localized skin lesions measured five days after placebo administration and five days after ANB020 administration.</w:t>
      </w:r>
    </w:p>
    <w:p>
      <w:pPr>
        <w:spacing w:after="0" w:line="166"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Top-line data indicated rapid and sustained clinical achievement of EASI-50, which is 50% or better improvement in EASI score relative to enrollment baseline, in 83% of patients at Day 29, and the 5-D pruritus score was reduced by 32% relative to enrollment baseline. As early as Day 15 post-ANB020 administration 75% of patients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7189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67189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reached EASI-50 and pruritus was reduced by 28%, which was sustained until Day 57 when 75% of patients achieved EASI-50; pruritus was reduced by 22% at Day 57. All 12 patients achieved EASI-50 at one or more timepoints through Day 57 post-ANB020 administration. Exploratory biomarker assessment indicated reduction of granulocyte infiltration into localized skin lesions by an average of 30% amongst all patients and 60% among the 10 patients achieving EASI-50 at 29 days post-ANB020 administration, while exploratory cytokine biomarker levels were below detection limit and therefore inconclusive. ANB020 was generally well-tolerated by all patients and no severe adverse events have been reported to date. The most frequent treatment-emergent adverse events reported were mild dizziness in two patients subsequent to placebo dosing, and mild headache in two patients post-ANB020 administration. We plan to report full data from this trial, including results on additional clinical measures, at a medical conference following study completion and further data analysis.</w:t>
      </w:r>
    </w:p>
    <w:p>
      <w:pPr>
        <w:spacing w:after="0" w:line="192"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chart below summarizes the EASI score improvement and average percent reduction of pruritus scores at various time points through day 57 of the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believe these data demonstrate proof-of-concept for ANB020 in moderate-to-severe adult atopic dermatitis and suggest that ANB020 may provide meaningful differentiation in terms of patient convenience. As further development in atopic dermatitis, we plan to initiate, during the first half of 2018, a Phase 2b randomized, double-blinded, placebo-controlled study in 200-300 adults patients with moderate-to-severe atopic dermatitis to evaluate multi-dose subcutaneous administration of ANB020, with data expected in 2019.</w:t>
      </w:r>
    </w:p>
    <w:p>
      <w:pPr>
        <w:spacing w:after="0" w:line="18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are continuing to enroll, under our Investigational New Drug application, or IND, with the U.S. Food and Drug Administration, or FDA, a Phase 2a trial of ANB020 with 20 severe adult peanut allergy patients where efficacy is assessed by measuring the cumulative dose of peanut tolerated in an oral food challenge before and after a single dose of ANB020 or placebo. Top-line data are anticipated during the fourth quarter of 2017. We have also initiated enrollment, under a CTA with MHRA, of a Phase 2a trial of ANB020 in 24 severe adult eosinophilic asthma patients, where efficacy will be assessed using improvement in Forced Expiratory Volume in One Second after administration of a single dose of ANB020 or placebo. Top-line data are anticipated during the first half of 2018.</w:t>
      </w:r>
    </w:p>
    <w:p>
      <w:pPr>
        <w:spacing w:after="0" w:line="19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ANB019 inhibits the interleukin-36 receptor, or IL-36R, for the treatment of rare inflammatory diseases including generalized pustular psoriasis, or GPP, and palmo-plantar pustular psoriasis, or PPP. We are currently</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803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03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conducting, under an approved Clinical Trial Notification, or CTN, a Phase 1 clinical trial in healthy volunteers, where 48 subjects are dosed with ANB019 and 24 are dosed with placebo in single and multi-dose cohorts at various subcutaneous and intravenously administered dose levels, to assess the safety, tolerability, pharmacokinetics and pharmacodynamics of ANB019 and anticipate announcing top-line data from this trial during the fourth quarter of 2017. We subsequently plan to seek regulatory clearance to initiate Phase 2 studies of ANB019 in GPP and PPP patients during 2018. In addition to ANB020 and ANB019, our wholly-owned pipeline includes novel checkpoint receptor agonist antibodies that we believe are applicable for treatment of certain autoimmune diseases where immune checkpoint receptors are insufficiently activated, and have demonstrated efficacy in an animal model of graft-versus-host disease.</w:t>
      </w:r>
    </w:p>
    <w:p>
      <w:pPr>
        <w:spacing w:after="0" w:line="178"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Inc. and TESARO Development, Ltd., or collectively, TESARO, and an inflammation-focused collaboration with Celgene Corporation, or Celgene.</w:t>
      </w:r>
    </w:p>
    <w:p>
      <w:pPr>
        <w:spacing w:after="0" w:line="166"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Under our TESARO collaboration, TESARO has initiated a registration program under an IND with the FDA of an AnaptysBio-generated anti-PD-1 antagonist antibody (TSR-042) in metastatic microsatellite high endometrial cancer patients. TESARO has completed dose escalation of an AnaptysBio-generated anti-TIM-3 antagonist antibody (TSR-022) in patients under an IND and has subsequently initiated a combination study of TSR-022 and TSR-042. In addition, TESARO has initiated a Phase 1 study of an AnaptysBio-generated anti-LAG-3 antibody (TSR-033), and TESARO has initiated IND-enabling preclinical studies for an AnaptysBio-generated PD-1/LAG-3 bispecific antibody, which has exhibited similar levels of T-cell activation in vitro as a combination of TSR-042 and TSR-033.</w:t>
      </w:r>
    </w:p>
    <w:p>
      <w:pPr>
        <w:spacing w:after="0" w:line="17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Under our collaboration with Celgene, Celgene is advancing two AnaptysBio-generated anti-inflammatory antibody programs. One of these programs is an anti-PD-1 agonist antibody (CC-90006) currently in a Phase 1 trial for psoriasis.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Through June 30, 2017, we have received $73.6 million in non-dilutive funding from our collaborators.</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company is led by a strong management team with deep experience in antibody discovery and development, collaborations, operations and corporate finance.</w:t>
      </w: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785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61785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840" w:hanging="211"/>
        <w:spacing w:after="0" w:line="287" w:lineRule="auto"/>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ANB020 </w:t>
      </w:r>
      <w:r>
        <w:rPr>
          <w:rFonts w:ascii="Arial" w:cs="Arial" w:eastAsia="Arial" w:hAnsi="Arial"/>
          <w:sz w:val="16"/>
          <w:szCs w:val="16"/>
          <w:color w:val="auto"/>
        </w:rPr>
        <w:t>is a potentially first-in-class antibody that inhibits the activity of IL-33, a pro-inflammatory cytokine that multiple studies have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indicated is a central mediator of atopic diseases, including atopic dermatitis, food allergies and asthma. IL-33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recently genetically validated through human studies published in the medical literature. We have completed a Phase 1 trial of ANB020 in healthy volunteers in Australia.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We presented these results at the 2017 American Academy of Dermatology Annual Meeting and the American Academy of Allergy, Asthma and Immunology 2017 Annual Meeting in March 2017. We have subsequently completed enrollment of a Phase 2a trial where a single dose of ANB020 was administered to 12 moderate-to-severe adult atopic</w:t>
      </w:r>
    </w:p>
    <w:p>
      <w:pPr>
        <w:spacing w:after="0" w:line="2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270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55270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60" w:right="20"/>
        <w:spacing w:after="0" w:line="284" w:lineRule="auto"/>
        <w:rPr>
          <w:sz w:val="20"/>
          <w:szCs w:val="20"/>
          <w:color w:val="auto"/>
        </w:rPr>
      </w:pPr>
      <w:r>
        <w:rPr>
          <w:rFonts w:ascii="Arial" w:cs="Arial" w:eastAsia="Arial" w:hAnsi="Arial"/>
          <w:sz w:val="16"/>
          <w:szCs w:val="16"/>
          <w:color w:val="auto"/>
        </w:rPr>
        <w:t>dermatitis patients, under an approved Clinical Trial Authorisation, or CTA, with the U.K. Medicines and Healthcare Products Regulatory Agency, or MHRA, and, announced top-line data from an interim analysis of this trial in October 2017. Top-line data indicated rapid and sustained achievement of EASI-50, which is 50% or better improvement in EASI score relative to enrollment baseline, in 83% of patients at day 29, and reduced the 5-D pruritus score, which is a measure of itching, by 32% relative to enrollment baseline. As early as Day 15 post-ANB020 administration 75% of patients reached EASI-50 and pruritus was reduced by 28%, which was sustained until Day 57 when 75% of patients achieved EASI-50; pruritus was reduced by 22% at Day 57. No severe adverse events have been reported to date under this study. We believe these data demonstrate proof-of-concept for ANB020 in moderate-to-severe adult atopic dermatitis and provide meaningful differentiation in terms of patient convenience. As further development in atopic dermatitis, we plan to initiate, during the first half of 2018, a Phase 2b randomized, double-blinded, placebo-controlled study in 200-300 adults patients with moderate-to-severe atopic dermatitis to evaluate multi-dose subcutaneous administration of ANB020, with data expected in 2019. We have also initiated, under our IND a Phase 2a trial of ANB020 in the United States with 20 severe adult peanut allergy patients where efficacy will be assessed by measuring the cumulative dose of peanut tolerated in an oral food challenge before and after a single dose of ANB020 or placebo. We anticipate top-line data from this trial will be available during the fourth quarter of 2017. We have also initiated enrollment, under a CTA with the MHRA, of a Phase 2a trial of ANB020 with 24 severe adult eosinophilic asthma patients, where efficacy will be assessed using improvement in Forced Expiratory Volume in One Second after administration of a single dose of ANB020 or placebo. Top-line data are anticipated during the first half of 2018. Based on our analysis of publicly available data sources and interviews with physicians and key opinion leaders in the field of atopic dermatitis, we estimate approximately 1.4 million adults in the United States are affected by atopic dermatitis, of which approximately 280,000 are diagnosed with a moderate-to-severe form of this disease, of which 98,000 are believed to be suitable for treatment with systemic biological therapies. Peanut allergy is the most common cause of food-induced allergy in the United States. Based on our analysis of publicly available data sources and interviews with physicians and key opinion leaders in the food allergy field, we estimate approximately 1.7 million adults are affected by peanut allergy, of which approximately 600,000 are treated by allergists and approximately 400,000 are at risk for severe reactions and therefore we believe are suitable for treatment with systemic biological therapies in the United States. We estimate, based on our analysis of publicly available data sources and interviews with physicians and key opinion leaders focused on asthma, that asthma affects approximately 19.0 million individuals, of which approximately 1.1 million have severe, persistent occurrence of this respiratory disease in the United States that cannot be controlled by standard-of-care therapy.</w:t>
      </w:r>
    </w:p>
    <w:p>
      <w:pPr>
        <w:spacing w:after="0" w:line="294" w:lineRule="exact"/>
        <w:rPr>
          <w:sz w:val="20"/>
          <w:szCs w:val="20"/>
          <w:color w:val="auto"/>
        </w:rPr>
      </w:pPr>
    </w:p>
    <w:p>
      <w:pPr>
        <w:ind w:left="840" w:hanging="211"/>
        <w:spacing w:after="0" w:line="269"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ANB019 </w:t>
      </w:r>
      <w:r>
        <w:rPr>
          <w:rFonts w:ascii="Arial" w:cs="Arial" w:eastAsia="Arial" w:hAnsi="Arial"/>
          <w:sz w:val="17"/>
          <w:szCs w:val="17"/>
          <w:color w:val="auto"/>
        </w:rPr>
        <w:t>is an antibody that inhibits the function of IL-36R, which we are initially developing as a potential first-in-class therapy for GPP and</w:t>
      </w:r>
      <w:r>
        <w:rPr>
          <w:rFonts w:ascii="Arial" w:cs="Arial" w:eastAsia="Arial" w:hAnsi="Arial"/>
          <w:sz w:val="17"/>
          <w:szCs w:val="17"/>
          <w:b w:val="1"/>
          <w:bCs w:val="1"/>
          <w:color w:val="auto"/>
        </w:rPr>
        <w:t xml:space="preserve"> </w:t>
      </w:r>
      <w:r>
        <w:rPr>
          <w:rFonts w:ascii="Arial" w:cs="Arial" w:eastAsia="Arial" w:hAnsi="Arial"/>
          <w:sz w:val="17"/>
          <w:szCs w:val="17"/>
          <w:color w:val="auto"/>
        </w:rPr>
        <w:t>PPP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can be associated in some patients with mutations that lead to abnormally high signaling through the IL-36R, which we believe can be addressed by treatment with ANB019 irrespective of whether a GPP patient has a mutated IL-36R signaling pathway. PPP is a non-fatal form of pustular psoriasis that we estimate affects approximately 150,000 patients in the United States alone. PPP is believed to be caused by increased systemic levels of interleukin-36 resulting in inflammatory pustules on the hands and feet of patients that cause significant inability to stand, walk or do manual work, which we believe can be addressed by treatment with ANB019. We believe ANB019 is the most advanced therapeutic antibody targeting IL-36R in development. We are currently conducting, under an approved CTN, a Phase 1 clinical trial in healthy volunteers, where 48 subjects are dosed with ANB019 and 24 are dosed with placebo in single and multi-dose cohorts at various subcutaneous and intravenously administered dose levels, to assess the safety, tolerability, pharmacokinetics and pharmacodynamics of ANB019 and anticipate announcing top-line data from this trial during the fourth quarter of 2017. We subsequently plan to seek regulatory clearance</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746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47466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60" w:right="120"/>
        <w:spacing w:after="0" w:line="264" w:lineRule="auto"/>
        <w:rPr>
          <w:sz w:val="20"/>
          <w:szCs w:val="20"/>
          <w:color w:val="auto"/>
        </w:rPr>
      </w:pPr>
      <w:r>
        <w:rPr>
          <w:rFonts w:ascii="Arial" w:cs="Arial" w:eastAsia="Arial" w:hAnsi="Arial"/>
          <w:sz w:val="18"/>
          <w:szCs w:val="18"/>
          <w:color w:val="auto"/>
        </w:rPr>
        <w:t>to initiate Phase 2 studies of ANB019 in GPP and PPP patients during 2018. We plan to seek FDA Orphan Drug Designation for the treatment of GPP and PPP. The FDA may grant Orphan Drug Designation to a drug intended to treat a disease or condition that generally affects fewer than 200,000 individuals in the United States.</w:t>
      </w:r>
    </w:p>
    <w:p>
      <w:pPr>
        <w:spacing w:after="0" w:line="83" w:lineRule="exact"/>
        <w:rPr>
          <w:sz w:val="20"/>
          <w:szCs w:val="20"/>
          <w:color w:val="auto"/>
        </w:rPr>
      </w:pPr>
    </w:p>
    <w:p>
      <w:pPr>
        <w:ind w:left="840" w:hanging="211"/>
        <w:spacing w:after="0" w:line="277"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Checkpoint receptor agonist </w:t>
      </w:r>
      <w:r>
        <w:rPr>
          <w:rFonts w:ascii="Arial" w:cs="Arial" w:eastAsia="Arial" w:hAnsi="Arial"/>
          <w:sz w:val="17"/>
          <w:szCs w:val="17"/>
          <w:color w:val="auto"/>
        </w:rPr>
        <w:t>antibodies are being developed by AnaptysBio to multiple different immune checkpoint receptors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of certain autoimmune diseases where we believe checkpoint receptor function is insufficiently activated. Known human immune checkpoint receptors include CTLA-4, PD-1, LAG-3, BTLA and TIGIT. We have discovered certain checkpoint receptor agonist antibodies that have demonstrated efficacy in a rodent model of graft-versus-host disease. We anticipate that, subsequent to regulatory clearance, one of our wholly-owned checkpoint receptor antibodies will initiate human testing during 2019.</w:t>
      </w: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Advantages of Our SHM Platform</w:t>
      </w:r>
    </w:p>
    <w:p>
      <w:pPr>
        <w:spacing w:after="0" w:line="229"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 xml:space="preserve">Our approach to developing novel therapeutic antibody product candidates is based upon SHM, a critical, endogenous process that generates the essential antibody diversity required to develop a natural immune response to pathogens. Our proprietary antibody generation platform is designed to replicate the natural process of SHM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Competing antibody discovery technologies include mouse immunization methodologies, microbial antibody display and human B-cell screening. We believe our SHM platform overcomes several key limitations associated with these competing technologies and has the following competitive advantages:</w:t>
      </w:r>
    </w:p>
    <w:p>
      <w:pPr>
        <w:spacing w:after="0" w:line="90" w:lineRule="exact"/>
        <w:rPr>
          <w:sz w:val="20"/>
          <w:szCs w:val="20"/>
          <w:color w:val="auto"/>
        </w:rPr>
      </w:pPr>
    </w:p>
    <w:p>
      <w:pPr>
        <w:ind w:left="840" w:right="360" w:hanging="211"/>
        <w:spacing w:after="0" w:line="266"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840" w:right="740" w:hanging="211"/>
        <w:spacing w:after="0" w:line="347" w:lineRule="auto"/>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High potency. </w:t>
      </w:r>
      <w:r>
        <w:rPr>
          <w:rFonts w:ascii="Arial" w:cs="Arial" w:eastAsia="Arial" w:hAnsi="Arial"/>
          <w:sz w:val="16"/>
          <w:szCs w:val="16"/>
          <w:color w:val="auto"/>
        </w:rPr>
        <w:t>Because our platform generates highly-potent antibodies, we are potentially able to modulate every extracellular target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associated with human disease, and believe only small therapeutic doses may be required to mediate therapeutic effect </w:t>
      </w:r>
      <w:r>
        <w:rPr>
          <w:rFonts w:ascii="Arial" w:cs="Arial" w:eastAsia="Arial" w:hAnsi="Arial"/>
          <w:sz w:val="16"/>
          <w:szCs w:val="16"/>
          <w:i w:val="1"/>
          <w:iCs w:val="1"/>
          <w:color w:val="auto"/>
        </w:rPr>
        <w:t>in vivo</w:t>
      </w:r>
      <w:r>
        <w:rPr>
          <w:rFonts w:ascii="Arial" w:cs="Arial" w:eastAsia="Arial" w:hAnsi="Arial"/>
          <w:sz w:val="16"/>
          <w:szCs w:val="16"/>
          <w:color w:val="auto"/>
        </w:rPr>
        <w:t>.</w:t>
      </w:r>
    </w:p>
    <w:p>
      <w:pPr>
        <w:spacing w:after="0" w:line="21" w:lineRule="exact"/>
        <w:rPr>
          <w:rFonts w:ascii="Arial" w:cs="Arial" w:eastAsia="Arial" w:hAnsi="Arial"/>
          <w:sz w:val="16"/>
          <w:szCs w:val="16"/>
          <w:color w:val="auto"/>
        </w:rPr>
      </w:pPr>
    </w:p>
    <w:p>
      <w:pPr>
        <w:ind w:left="840" w:right="100" w:hanging="211"/>
        <w:spacing w:after="0" w:line="266"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product candidates that are optimized for the desired therapeutic activity.</w:t>
      </w:r>
    </w:p>
    <w:p>
      <w:pPr>
        <w:spacing w:after="0" w:line="81" w:lineRule="exact"/>
        <w:rPr>
          <w:rFonts w:ascii="Arial" w:cs="Arial" w:eastAsia="Arial" w:hAnsi="Arial"/>
          <w:sz w:val="18"/>
          <w:szCs w:val="18"/>
          <w:color w:val="auto"/>
        </w:rPr>
      </w:pPr>
    </w:p>
    <w:p>
      <w:pPr>
        <w:ind w:left="840" w:right="180" w:hanging="211"/>
        <w:spacing w:after="0" w:line="314" w:lineRule="auto"/>
        <w:tabs>
          <w:tab w:leader="none" w:pos="8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Speed. </w:t>
      </w:r>
      <w:r>
        <w:rPr>
          <w:rFonts w:ascii="Arial" w:cs="Arial" w:eastAsia="Arial" w:hAnsi="Arial"/>
          <w:sz w:val="16"/>
          <w:szCs w:val="16"/>
          <w:color w:val="auto"/>
        </w:rPr>
        <w:t>Our platform technology has enabled us to generate therapeutic-grade antibodies and subsequently advance preclinical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toxicology studies to the filing of an IND or foreign equivalent, typically in approximately 2.5 years. We believe this timeline is significantly shorter than conventional antibody discovery approaches based upon mouse immunization and microbial display systems.</w:t>
      </w:r>
    </w:p>
    <w:p>
      <w:pPr>
        <w:spacing w:after="0" w:line="47" w:lineRule="exact"/>
        <w:rPr>
          <w:rFonts w:ascii="Arial" w:cs="Arial" w:eastAsia="Arial" w:hAnsi="Arial"/>
          <w:sz w:val="16"/>
          <w:szCs w:val="16"/>
          <w:color w:val="auto"/>
        </w:rPr>
      </w:pPr>
    </w:p>
    <w:p>
      <w:pPr>
        <w:ind w:left="840" w:right="20" w:hanging="211"/>
        <w:spacing w:after="0" w:line="282"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using mammalian cell display to generate our therapeutic antibodies, we believe our platform mitigates risks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antibody expression, formulation and stability during the antibody generation process.</w:t>
      </w: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27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61271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Collaborations</w:t>
      </w:r>
    </w:p>
    <w:p>
      <w:pPr>
        <w:spacing w:after="0" w:line="229" w:lineRule="exact"/>
        <w:rPr>
          <w:sz w:val="20"/>
          <w:szCs w:val="20"/>
          <w:color w:val="auto"/>
        </w:rPr>
      </w:pPr>
    </w:p>
    <w:p>
      <w:pPr>
        <w:ind w:left="200" w:right="660" w:firstLine="441"/>
        <w:spacing w:after="0" w:line="264" w:lineRule="auto"/>
        <w:rPr>
          <w:sz w:val="20"/>
          <w:szCs w:val="20"/>
          <w:color w:val="auto"/>
        </w:rPr>
      </w:pPr>
      <w:r>
        <w:rPr>
          <w:rFonts w:ascii="Arial" w:cs="Arial" w:eastAsia="Arial" w:hAnsi="Arial"/>
          <w:sz w:val="18"/>
          <w:szCs w:val="18"/>
          <w:color w:val="auto"/>
        </w:rPr>
        <w:t>We have established collaborations with pharmaceutical and biotechnology companies that have provided us with $73.6 million in payments through June 30, 2017. Multiple antibodies, generated by us prior to or during a strategic collaboration, are currently being advanced through development by our collaborators. Our collaborations with TESARO and Celgene are described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TESARO Programs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Under our immuno-oncology collaboration with TESARO, we have granted exclusive rights to TESARO to develop and commercialize antibodies generated using our SHM platform consisting of the following antibody product candidates:</w:t>
      </w:r>
    </w:p>
    <w:p>
      <w:pPr>
        <w:spacing w:after="0" w:line="76" w:lineRule="exact"/>
        <w:rPr>
          <w:sz w:val="20"/>
          <w:szCs w:val="20"/>
          <w:color w:val="auto"/>
        </w:rPr>
      </w:pPr>
    </w:p>
    <w:p>
      <w:pPr>
        <w:ind w:left="840" w:right="280" w:hanging="211"/>
        <w:spacing w:after="0" w:line="277"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Anti-PD-1 Monospecific Antagonist Antibody (TSR-042): Registration program initiated for metastatic microsatellite instability high (MSI-H) endometrial cancer;</w:t>
      </w:r>
    </w:p>
    <w:p>
      <w:pPr>
        <w:spacing w:after="0" w:line="75" w:lineRule="exact"/>
        <w:rPr>
          <w:rFonts w:ascii="Arial" w:cs="Arial" w:eastAsia="Arial" w:hAnsi="Arial"/>
          <w:sz w:val="18"/>
          <w:szCs w:val="18"/>
          <w:color w:val="auto"/>
        </w:rPr>
      </w:pPr>
    </w:p>
    <w:p>
      <w:pPr>
        <w:ind w:left="840" w:right="420" w:hanging="211"/>
        <w:spacing w:after="0" w:line="277"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Anti-TIM-3 Monospecific Antagonist Antibody (TSR-022): Dose escalation completed in Phase 1, combination trial with TSR-042 has been initiated;</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Anti-LAG-3 Monospecific Antagonist Antibody (TSR-033): Phase 1 trial initiated, and</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Anti-PD-1/LAG-3 Bispecific Antagonist Antibody: lead candidate identified, IND-enabling studies on-going.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Celgene Programs</w:t>
      </w:r>
    </w:p>
    <w:p>
      <w:pPr>
        <w:spacing w:after="0" w:line="12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Celgene is currently advancing two AnaptysBio-generated anti-inflammatory antibody programs, where one of these programs is an anti-PD-1 agonist antibody (CC-90006) currently in a Phase 1 trial for psoriasis.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Milestones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anticipate the following milestones relating to wholly-owned pipeline programs to be attained during the remainder of 2017 and 2018:</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00" w:type="dxa"/>
            <w:vAlign w:val="bottom"/>
          </w:tcPr>
          <w:p>
            <w:pPr>
              <w:spacing w:after="0"/>
              <w:rPr>
                <w:sz w:val="22"/>
                <w:szCs w:val="22"/>
                <w:color w:val="auto"/>
              </w:rPr>
            </w:pPr>
          </w:p>
        </w:tc>
        <w:tc>
          <w:tcPr>
            <w:tcW w:w="2240" w:type="dxa"/>
            <w:vAlign w:val="bottom"/>
            <w:tcBorders>
              <w:right w:val="single" w:sz="8" w:color="auto"/>
            </w:tcBorders>
          </w:tcPr>
          <w:p>
            <w:pPr>
              <w:ind w:left="140"/>
              <w:spacing w:after="0"/>
              <w:rPr>
                <w:sz w:val="20"/>
                <w:szCs w:val="20"/>
                <w:color w:val="auto"/>
              </w:rPr>
            </w:pPr>
            <w:r>
              <w:rPr>
                <w:rFonts w:ascii="Arial" w:cs="Arial" w:eastAsia="Arial" w:hAnsi="Arial"/>
                <w:sz w:val="14"/>
                <w:szCs w:val="14"/>
                <w:b w:val="1"/>
                <w:bCs w:val="1"/>
                <w:color w:val="auto"/>
              </w:rPr>
              <w:t>Program</w:t>
            </w:r>
          </w:p>
        </w:tc>
        <w:tc>
          <w:tcPr>
            <w:tcW w:w="7160" w:type="dxa"/>
            <w:vAlign w:val="bottom"/>
            <w:tcBorders>
              <w:right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Milestone</w:t>
            </w:r>
          </w:p>
        </w:tc>
        <w:tc>
          <w:tcPr>
            <w:tcW w:w="1820" w:type="dxa"/>
            <w:vAlign w:val="bottom"/>
            <w:gridSpan w:val="2"/>
          </w:tcPr>
          <w:p>
            <w:pPr>
              <w:ind w:left="300"/>
              <w:spacing w:after="0"/>
              <w:rPr>
                <w:sz w:val="20"/>
                <w:szCs w:val="20"/>
                <w:color w:val="auto"/>
              </w:rPr>
            </w:pPr>
            <w:r>
              <w:rPr>
                <w:rFonts w:ascii="Arial" w:cs="Arial" w:eastAsia="Arial" w:hAnsi="Arial"/>
                <w:sz w:val="14"/>
                <w:szCs w:val="14"/>
                <w:b w:val="1"/>
                <w:bCs w:val="1"/>
                <w:color w:val="auto"/>
              </w:rPr>
              <w:t>Timing</w:t>
            </w:r>
          </w:p>
        </w:tc>
        <w:tc>
          <w:tcPr>
            <w:tcW w:w="0" w:type="dxa"/>
            <w:vAlign w:val="bottom"/>
          </w:tcPr>
          <w:p>
            <w:pPr>
              <w:spacing w:after="0"/>
              <w:rPr>
                <w:sz w:val="1"/>
                <w:szCs w:val="1"/>
                <w:color w:val="auto"/>
              </w:rPr>
            </w:pPr>
          </w:p>
        </w:tc>
      </w:tr>
      <w:tr>
        <w:trPr>
          <w:trHeight w:val="398"/>
        </w:trPr>
        <w:tc>
          <w:tcPr>
            <w:tcW w:w="200" w:type="dxa"/>
            <w:vAlign w:val="bottom"/>
          </w:tcPr>
          <w:p>
            <w:pPr>
              <w:spacing w:after="0"/>
              <w:rPr>
                <w:sz w:val="24"/>
                <w:szCs w:val="24"/>
                <w:color w:val="auto"/>
              </w:rPr>
            </w:pPr>
          </w:p>
        </w:tc>
        <w:tc>
          <w:tcPr>
            <w:tcW w:w="2240" w:type="dxa"/>
            <w:vAlign w:val="bottom"/>
            <w:tcBorders>
              <w:top w:val="single" w:sz="8" w:color="0D8DD3"/>
              <w:right w:val="single" w:sz="8" w:color="auto"/>
            </w:tcBorders>
            <w:shd w:val="clear" w:color="auto" w:fill="E6F3FA"/>
          </w:tcPr>
          <w:p>
            <w:pPr>
              <w:spacing w:after="0"/>
              <w:rPr>
                <w:sz w:val="24"/>
                <w:szCs w:val="24"/>
                <w:color w:val="auto"/>
              </w:rPr>
            </w:pPr>
          </w:p>
        </w:tc>
        <w:tc>
          <w:tcPr>
            <w:tcW w:w="520" w:type="dxa"/>
            <w:vAlign w:val="bottom"/>
            <w:tcBorders>
              <w:top w:val="single" w:sz="8" w:color="0D8DD3"/>
            </w:tcBorders>
            <w:shd w:val="clear" w:color="auto" w:fill="E6F3FA"/>
          </w:tcPr>
          <w:p>
            <w:pPr>
              <w:spacing w:after="0"/>
              <w:rPr>
                <w:sz w:val="24"/>
                <w:szCs w:val="24"/>
                <w:color w:val="auto"/>
              </w:rPr>
            </w:pPr>
          </w:p>
        </w:tc>
        <w:tc>
          <w:tcPr>
            <w:tcW w:w="6640" w:type="dxa"/>
            <w:vAlign w:val="bottom"/>
            <w:tcBorders>
              <w:top w:val="single" w:sz="8" w:color="0D8DD3"/>
              <w:right w:val="single" w:sz="8" w:color="auto"/>
            </w:tcBorders>
            <w:shd w:val="clear" w:color="auto" w:fill="E6F3FA"/>
          </w:tcPr>
          <w:p>
            <w:pPr>
              <w:spacing w:after="0"/>
              <w:rPr>
                <w:sz w:val="20"/>
                <w:szCs w:val="20"/>
                <w:color w:val="auto"/>
              </w:rPr>
            </w:pPr>
            <w:r>
              <w:rPr>
                <w:rFonts w:ascii="Arial" w:cs="Arial" w:eastAsia="Arial" w:hAnsi="Arial"/>
                <w:sz w:val="18"/>
                <w:szCs w:val="18"/>
                <w:color w:val="auto"/>
              </w:rPr>
              <w:t>Atopic Dermatitis Phase 2a Top-Line Data</w:t>
            </w:r>
          </w:p>
        </w:tc>
        <w:tc>
          <w:tcPr>
            <w:tcW w:w="1640" w:type="dxa"/>
            <w:vAlign w:val="bottom"/>
            <w:tcBorders>
              <w:top w:val="single" w:sz="8" w:color="0D8DD3"/>
            </w:tcBorders>
            <w:shd w:val="clear" w:color="auto" w:fill="E6F3FA"/>
          </w:tcPr>
          <w:p>
            <w:pPr>
              <w:ind w:left="300"/>
              <w:spacing w:after="0"/>
              <w:rPr>
                <w:sz w:val="20"/>
                <w:szCs w:val="20"/>
                <w:color w:val="auto"/>
              </w:rPr>
            </w:pPr>
            <w:r>
              <w:rPr>
                <w:rFonts w:ascii="Arial" w:cs="Arial" w:eastAsia="Arial" w:hAnsi="Arial"/>
                <w:sz w:val="18"/>
                <w:szCs w:val="18"/>
                <w:color w:val="auto"/>
              </w:rPr>
              <w:t>Announced</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2240" w:type="dxa"/>
            <w:vAlign w:val="bottom"/>
            <w:tcBorders>
              <w:right w:val="single" w:sz="8" w:color="auto"/>
            </w:tcBorders>
            <w:vMerge w:val="restart"/>
            <w:shd w:val="clear" w:color="auto" w:fill="E6F3FA"/>
          </w:tcPr>
          <w:p>
            <w:pPr>
              <w:ind w:left="140"/>
              <w:spacing w:after="0"/>
              <w:rPr>
                <w:sz w:val="20"/>
                <w:szCs w:val="20"/>
                <w:color w:val="auto"/>
              </w:rPr>
            </w:pPr>
            <w:r>
              <w:rPr>
                <w:rFonts w:ascii="Arial" w:cs="Arial" w:eastAsia="Arial" w:hAnsi="Arial"/>
                <w:sz w:val="18"/>
                <w:szCs w:val="18"/>
                <w:color w:val="auto"/>
              </w:rPr>
              <w:t>ANB020 (Anti-IL-33)</w:t>
            </w:r>
          </w:p>
        </w:tc>
        <w:tc>
          <w:tcPr>
            <w:tcW w:w="520" w:type="dxa"/>
            <w:vAlign w:val="bottom"/>
            <w:shd w:val="clear" w:color="auto" w:fill="E6F3FA"/>
          </w:tcPr>
          <w:p>
            <w:pPr>
              <w:spacing w:after="0"/>
              <w:rPr>
                <w:sz w:val="20"/>
                <w:szCs w:val="20"/>
                <w:color w:val="auto"/>
              </w:rPr>
            </w:pPr>
          </w:p>
        </w:tc>
        <w:tc>
          <w:tcPr>
            <w:tcW w:w="6640" w:type="dxa"/>
            <w:vAlign w:val="bottom"/>
            <w:tcBorders>
              <w:right w:val="single" w:sz="8" w:color="auto"/>
            </w:tcBorders>
            <w:shd w:val="clear" w:color="auto" w:fill="E6F3FA"/>
          </w:tcPr>
          <w:p>
            <w:pPr>
              <w:spacing w:after="0"/>
              <w:rPr>
                <w:sz w:val="20"/>
                <w:szCs w:val="20"/>
                <w:color w:val="auto"/>
              </w:rPr>
            </w:pPr>
          </w:p>
        </w:tc>
        <w:tc>
          <w:tcPr>
            <w:tcW w:w="1640" w:type="dxa"/>
            <w:vAlign w:val="bottom"/>
            <w:shd w:val="clear" w:color="auto" w:fill="E6F3FA"/>
          </w:tcPr>
          <w:p>
            <w:pPr>
              <w:ind w:left="300"/>
              <w:spacing w:after="0"/>
              <w:rPr>
                <w:sz w:val="20"/>
                <w:szCs w:val="20"/>
                <w:color w:val="auto"/>
              </w:rPr>
            </w:pPr>
            <w:r>
              <w:rPr>
                <w:rFonts w:ascii="Arial" w:cs="Arial" w:eastAsia="Arial" w:hAnsi="Arial"/>
                <w:sz w:val="18"/>
                <w:szCs w:val="18"/>
                <w:color w:val="auto"/>
              </w:rPr>
              <w:t>October 2017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2240" w:type="dxa"/>
            <w:vAlign w:val="bottom"/>
            <w:tcBorders>
              <w:right w:val="single" w:sz="8" w:color="auto"/>
            </w:tcBorders>
            <w:vMerge w:val="continue"/>
            <w:shd w:val="clear" w:color="auto" w:fill="E6F3FA"/>
          </w:tcPr>
          <w:p>
            <w:pPr>
              <w:spacing w:after="0"/>
              <w:rPr>
                <w:sz w:val="19"/>
                <w:szCs w:val="19"/>
                <w:color w:val="auto"/>
              </w:rPr>
            </w:pPr>
          </w:p>
        </w:tc>
        <w:tc>
          <w:tcPr>
            <w:tcW w:w="520" w:type="dxa"/>
            <w:vAlign w:val="bottom"/>
            <w:shd w:val="clear" w:color="auto" w:fill="E6F3FA"/>
          </w:tcPr>
          <w:p>
            <w:pPr>
              <w:spacing w:after="0"/>
              <w:rPr>
                <w:sz w:val="19"/>
                <w:szCs w:val="19"/>
                <w:color w:val="auto"/>
              </w:rPr>
            </w:pPr>
          </w:p>
        </w:tc>
        <w:tc>
          <w:tcPr>
            <w:tcW w:w="6640" w:type="dxa"/>
            <w:vAlign w:val="bottom"/>
            <w:tcBorders>
              <w:right w:val="single" w:sz="8" w:color="auto"/>
            </w:tcBorders>
            <w:shd w:val="clear" w:color="auto" w:fill="E6F3FA"/>
          </w:tcPr>
          <w:p>
            <w:pPr>
              <w:spacing w:after="0"/>
              <w:rPr>
                <w:sz w:val="20"/>
                <w:szCs w:val="20"/>
                <w:color w:val="auto"/>
              </w:rPr>
            </w:pPr>
            <w:r>
              <w:rPr>
                <w:rFonts w:ascii="Arial" w:cs="Arial" w:eastAsia="Arial" w:hAnsi="Arial"/>
                <w:sz w:val="18"/>
                <w:szCs w:val="18"/>
                <w:color w:val="auto"/>
              </w:rPr>
              <w:t>Peanut Allergy Phase 2a Top-Line Data</w:t>
            </w:r>
          </w:p>
        </w:tc>
        <w:tc>
          <w:tcPr>
            <w:tcW w:w="1640" w:type="dxa"/>
            <w:vAlign w:val="bottom"/>
            <w:shd w:val="clear" w:color="auto" w:fill="E6F3FA"/>
          </w:tcPr>
          <w:p>
            <w:pPr>
              <w:ind w:left="300"/>
              <w:spacing w:after="0"/>
              <w:rPr>
                <w:sz w:val="20"/>
                <w:szCs w:val="20"/>
                <w:color w:val="auto"/>
              </w:rPr>
            </w:pPr>
            <w:r>
              <w:rPr>
                <w:rFonts w:ascii="Arial" w:cs="Arial" w:eastAsia="Arial" w:hAnsi="Arial"/>
                <w:sz w:val="18"/>
                <w:szCs w:val="18"/>
                <w:color w:val="auto"/>
              </w:rPr>
              <w:t>Q4 2017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2240" w:type="dxa"/>
            <w:vAlign w:val="bottom"/>
            <w:tcBorders>
              <w:right w:val="single" w:sz="8" w:color="auto"/>
            </w:tcBorders>
            <w:shd w:val="clear" w:color="auto" w:fill="E6F3FA"/>
          </w:tcPr>
          <w:p>
            <w:pPr>
              <w:spacing w:after="0"/>
              <w:rPr>
                <w:sz w:val="20"/>
                <w:szCs w:val="20"/>
                <w:color w:val="auto"/>
              </w:rPr>
            </w:pPr>
          </w:p>
        </w:tc>
        <w:tc>
          <w:tcPr>
            <w:tcW w:w="520" w:type="dxa"/>
            <w:vAlign w:val="bottom"/>
            <w:shd w:val="clear" w:color="auto" w:fill="E6F3FA"/>
          </w:tcPr>
          <w:p>
            <w:pPr>
              <w:spacing w:after="0"/>
              <w:rPr>
                <w:sz w:val="20"/>
                <w:szCs w:val="20"/>
                <w:color w:val="auto"/>
              </w:rPr>
            </w:pPr>
          </w:p>
        </w:tc>
        <w:tc>
          <w:tcPr>
            <w:tcW w:w="6640" w:type="dxa"/>
            <w:vAlign w:val="bottom"/>
            <w:tcBorders>
              <w:right w:val="single" w:sz="8" w:color="auto"/>
            </w:tcBorders>
            <w:shd w:val="clear" w:color="auto" w:fill="E6F3FA"/>
          </w:tcPr>
          <w:p>
            <w:pPr>
              <w:spacing w:after="0"/>
              <w:rPr>
                <w:sz w:val="20"/>
                <w:szCs w:val="20"/>
                <w:color w:val="auto"/>
              </w:rPr>
            </w:pPr>
            <w:r>
              <w:rPr>
                <w:rFonts w:ascii="Arial" w:cs="Arial" w:eastAsia="Arial" w:hAnsi="Arial"/>
                <w:sz w:val="18"/>
                <w:szCs w:val="18"/>
                <w:color w:val="auto"/>
              </w:rPr>
              <w:t>Eosinophilic Asthma Phase 2a Top-Line Data</w:t>
            </w:r>
          </w:p>
        </w:tc>
        <w:tc>
          <w:tcPr>
            <w:tcW w:w="1640" w:type="dxa"/>
            <w:vAlign w:val="bottom"/>
            <w:shd w:val="clear" w:color="auto" w:fill="E6F3FA"/>
          </w:tcPr>
          <w:p>
            <w:pPr>
              <w:ind w:left="300"/>
              <w:spacing w:after="0"/>
              <w:rPr>
                <w:sz w:val="20"/>
                <w:szCs w:val="20"/>
                <w:color w:val="auto"/>
              </w:rPr>
            </w:pPr>
            <w:r>
              <w:rPr>
                <w:rFonts w:ascii="Arial" w:cs="Arial" w:eastAsia="Arial" w:hAnsi="Arial"/>
                <w:sz w:val="18"/>
                <w:szCs w:val="18"/>
                <w:color w:val="auto"/>
              </w:rPr>
              <w:t>H1 2018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0" w:type="dxa"/>
            <w:vAlign w:val="bottom"/>
          </w:tcPr>
          <w:p>
            <w:pPr>
              <w:spacing w:after="0"/>
              <w:rPr>
                <w:sz w:val="10"/>
                <w:szCs w:val="10"/>
                <w:color w:val="auto"/>
              </w:rPr>
            </w:pPr>
          </w:p>
        </w:tc>
        <w:tc>
          <w:tcPr>
            <w:tcW w:w="2240" w:type="dxa"/>
            <w:vAlign w:val="bottom"/>
            <w:tcBorders>
              <w:bottom w:val="single" w:sz="8" w:color="auto"/>
              <w:right w:val="single" w:sz="8" w:color="auto"/>
            </w:tcBorders>
            <w:shd w:val="clear" w:color="auto" w:fill="E6F3FA"/>
          </w:tcPr>
          <w:p>
            <w:pPr>
              <w:spacing w:after="0"/>
              <w:rPr>
                <w:sz w:val="10"/>
                <w:szCs w:val="10"/>
                <w:color w:val="auto"/>
              </w:rPr>
            </w:pPr>
          </w:p>
        </w:tc>
        <w:tc>
          <w:tcPr>
            <w:tcW w:w="520" w:type="dxa"/>
            <w:vAlign w:val="bottom"/>
            <w:tcBorders>
              <w:bottom w:val="single" w:sz="8" w:color="auto"/>
            </w:tcBorders>
            <w:shd w:val="clear" w:color="auto" w:fill="E6F3FA"/>
          </w:tcPr>
          <w:p>
            <w:pPr>
              <w:spacing w:after="0"/>
              <w:rPr>
                <w:sz w:val="10"/>
                <w:szCs w:val="10"/>
                <w:color w:val="auto"/>
              </w:rPr>
            </w:pPr>
          </w:p>
        </w:tc>
        <w:tc>
          <w:tcPr>
            <w:tcW w:w="6640" w:type="dxa"/>
            <w:vAlign w:val="bottom"/>
            <w:tcBorders>
              <w:bottom w:val="single" w:sz="8" w:color="auto"/>
              <w:right w:val="single" w:sz="8" w:color="auto"/>
            </w:tcBorders>
            <w:shd w:val="clear" w:color="auto" w:fill="E6F3FA"/>
          </w:tcPr>
          <w:p>
            <w:pPr>
              <w:spacing w:after="0"/>
              <w:rPr>
                <w:sz w:val="10"/>
                <w:szCs w:val="10"/>
                <w:color w:val="auto"/>
              </w:rPr>
            </w:pPr>
          </w:p>
        </w:tc>
        <w:tc>
          <w:tcPr>
            <w:tcW w:w="1640" w:type="dxa"/>
            <w:vAlign w:val="bottom"/>
            <w:tcBorders>
              <w:bottom w:val="single" w:sz="8" w:color="auto"/>
            </w:tcBorders>
            <w:shd w:val="clear" w:color="auto" w:fill="E6F3FA"/>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2"/>
        </w:trPr>
        <w:tc>
          <w:tcPr>
            <w:tcW w:w="200" w:type="dxa"/>
            <w:vAlign w:val="bottom"/>
          </w:tcPr>
          <w:p>
            <w:pPr>
              <w:spacing w:after="0"/>
              <w:rPr>
                <w:sz w:val="24"/>
                <w:szCs w:val="24"/>
                <w:color w:val="auto"/>
              </w:rPr>
            </w:pPr>
          </w:p>
        </w:tc>
        <w:tc>
          <w:tcPr>
            <w:tcW w:w="2240" w:type="dxa"/>
            <w:vAlign w:val="bottom"/>
            <w:tcBorders>
              <w:right w:val="single" w:sz="8" w:color="auto"/>
            </w:tcBorders>
            <w:shd w:val="clear" w:color="auto" w:fill="E6F3FA"/>
          </w:tcPr>
          <w:p>
            <w:pPr>
              <w:spacing w:after="0"/>
              <w:rPr>
                <w:sz w:val="24"/>
                <w:szCs w:val="24"/>
                <w:color w:val="auto"/>
              </w:rPr>
            </w:pPr>
          </w:p>
        </w:tc>
        <w:tc>
          <w:tcPr>
            <w:tcW w:w="520" w:type="dxa"/>
            <w:vAlign w:val="bottom"/>
            <w:shd w:val="clear" w:color="auto" w:fill="E6F3FA"/>
          </w:tcPr>
          <w:p>
            <w:pPr>
              <w:spacing w:after="0"/>
              <w:rPr>
                <w:sz w:val="24"/>
                <w:szCs w:val="24"/>
                <w:color w:val="auto"/>
              </w:rPr>
            </w:pPr>
          </w:p>
        </w:tc>
        <w:tc>
          <w:tcPr>
            <w:tcW w:w="6640" w:type="dxa"/>
            <w:vAlign w:val="bottom"/>
            <w:tcBorders>
              <w:right w:val="single" w:sz="8" w:color="auto"/>
            </w:tcBorders>
            <w:shd w:val="clear" w:color="auto" w:fill="E6F3FA"/>
          </w:tcPr>
          <w:p>
            <w:pPr>
              <w:spacing w:after="0"/>
              <w:rPr>
                <w:sz w:val="20"/>
                <w:szCs w:val="20"/>
                <w:color w:val="auto"/>
              </w:rPr>
            </w:pPr>
            <w:r>
              <w:rPr>
                <w:rFonts w:ascii="Arial" w:cs="Arial" w:eastAsia="Arial" w:hAnsi="Arial"/>
                <w:sz w:val="18"/>
                <w:szCs w:val="18"/>
                <w:color w:val="auto"/>
              </w:rPr>
              <w:t>Healthy Volunteer Phase 1 Top-Line Data</w:t>
            </w:r>
          </w:p>
        </w:tc>
        <w:tc>
          <w:tcPr>
            <w:tcW w:w="1640" w:type="dxa"/>
            <w:vAlign w:val="bottom"/>
            <w:shd w:val="clear" w:color="auto" w:fill="E6F3FA"/>
          </w:tcPr>
          <w:p>
            <w:pPr>
              <w:ind w:left="300"/>
              <w:spacing w:after="0"/>
              <w:rPr>
                <w:sz w:val="20"/>
                <w:szCs w:val="20"/>
                <w:color w:val="auto"/>
              </w:rPr>
            </w:pPr>
            <w:r>
              <w:rPr>
                <w:rFonts w:ascii="Arial" w:cs="Arial" w:eastAsia="Arial" w:hAnsi="Arial"/>
                <w:sz w:val="18"/>
                <w:szCs w:val="18"/>
                <w:color w:val="auto"/>
              </w:rPr>
              <w:t>Q4 2017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2240" w:type="dxa"/>
            <w:vAlign w:val="bottom"/>
            <w:tcBorders>
              <w:right w:val="single" w:sz="8" w:color="auto"/>
            </w:tcBorders>
            <w:vMerge w:val="restart"/>
            <w:shd w:val="clear" w:color="auto" w:fill="E6F3FA"/>
          </w:tcPr>
          <w:p>
            <w:pPr>
              <w:ind w:left="140"/>
              <w:spacing w:after="0"/>
              <w:rPr>
                <w:sz w:val="20"/>
                <w:szCs w:val="20"/>
                <w:color w:val="auto"/>
              </w:rPr>
            </w:pPr>
            <w:r>
              <w:rPr>
                <w:rFonts w:ascii="Arial" w:cs="Arial" w:eastAsia="Arial" w:hAnsi="Arial"/>
                <w:sz w:val="18"/>
                <w:szCs w:val="18"/>
                <w:color w:val="auto"/>
              </w:rPr>
              <w:t>ANB019 (anti-IL-36R)</w:t>
            </w:r>
          </w:p>
        </w:tc>
        <w:tc>
          <w:tcPr>
            <w:tcW w:w="520" w:type="dxa"/>
            <w:vAlign w:val="bottom"/>
            <w:shd w:val="clear" w:color="auto" w:fill="E6F3FA"/>
          </w:tcPr>
          <w:p>
            <w:pPr>
              <w:spacing w:after="0"/>
              <w:rPr>
                <w:sz w:val="18"/>
                <w:szCs w:val="18"/>
                <w:color w:val="auto"/>
              </w:rPr>
            </w:pPr>
          </w:p>
        </w:tc>
        <w:tc>
          <w:tcPr>
            <w:tcW w:w="6640" w:type="dxa"/>
            <w:vAlign w:val="bottom"/>
            <w:tcBorders>
              <w:right w:val="single" w:sz="8" w:color="auto"/>
            </w:tcBorders>
            <w:shd w:val="clear" w:color="auto" w:fill="E6F3FA"/>
          </w:tcPr>
          <w:p>
            <w:pPr>
              <w:spacing w:after="0"/>
              <w:rPr>
                <w:sz w:val="20"/>
                <w:szCs w:val="20"/>
                <w:color w:val="auto"/>
              </w:rPr>
            </w:pPr>
            <w:r>
              <w:rPr>
                <w:rFonts w:ascii="Arial" w:cs="Arial" w:eastAsia="Arial" w:hAnsi="Arial"/>
                <w:sz w:val="18"/>
                <w:szCs w:val="18"/>
                <w:color w:val="auto"/>
              </w:rPr>
              <w:t>GPP Phase 2 Initiation</w:t>
            </w:r>
          </w:p>
        </w:tc>
        <w:tc>
          <w:tcPr>
            <w:tcW w:w="1640" w:type="dxa"/>
            <w:vAlign w:val="bottom"/>
            <w:shd w:val="clear" w:color="auto" w:fill="E6F3FA"/>
          </w:tcPr>
          <w:p>
            <w:pPr>
              <w:ind w:left="30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2240" w:type="dxa"/>
            <w:vAlign w:val="bottom"/>
            <w:tcBorders>
              <w:right w:val="single" w:sz="8" w:color="auto"/>
            </w:tcBorders>
            <w:vMerge w:val="continue"/>
            <w:shd w:val="clear" w:color="auto" w:fill="E6F3FA"/>
          </w:tcPr>
          <w:p>
            <w:pPr>
              <w:spacing w:after="0"/>
              <w:rPr>
                <w:sz w:val="5"/>
                <w:szCs w:val="5"/>
                <w:color w:val="auto"/>
              </w:rPr>
            </w:pPr>
          </w:p>
        </w:tc>
        <w:tc>
          <w:tcPr>
            <w:tcW w:w="520" w:type="dxa"/>
            <w:vAlign w:val="bottom"/>
            <w:shd w:val="clear" w:color="auto" w:fill="E6F3FA"/>
          </w:tcPr>
          <w:p>
            <w:pPr>
              <w:spacing w:after="0"/>
              <w:rPr>
                <w:sz w:val="5"/>
                <w:szCs w:val="5"/>
                <w:color w:val="auto"/>
              </w:rPr>
            </w:pPr>
          </w:p>
        </w:tc>
        <w:tc>
          <w:tcPr>
            <w:tcW w:w="6640" w:type="dxa"/>
            <w:vAlign w:val="bottom"/>
            <w:tcBorders>
              <w:right w:val="single" w:sz="8" w:color="auto"/>
            </w:tcBorders>
            <w:vMerge w:val="restart"/>
            <w:shd w:val="clear" w:color="auto" w:fill="E6F3FA"/>
          </w:tcPr>
          <w:p>
            <w:pPr>
              <w:spacing w:after="0"/>
              <w:rPr>
                <w:sz w:val="20"/>
                <w:szCs w:val="20"/>
                <w:color w:val="auto"/>
              </w:rPr>
            </w:pPr>
            <w:r>
              <w:rPr>
                <w:rFonts w:ascii="Arial" w:cs="Arial" w:eastAsia="Arial" w:hAnsi="Arial"/>
                <w:sz w:val="18"/>
                <w:szCs w:val="18"/>
                <w:color w:val="auto"/>
              </w:rPr>
              <w:t>PPP Phase 2 Initiation</w:t>
            </w:r>
          </w:p>
        </w:tc>
        <w:tc>
          <w:tcPr>
            <w:tcW w:w="1640" w:type="dxa"/>
            <w:vAlign w:val="bottom"/>
            <w:vMerge w:val="restart"/>
            <w:shd w:val="clear" w:color="auto" w:fill="E6F3FA"/>
          </w:tcPr>
          <w:p>
            <w:pPr>
              <w:ind w:left="30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00" w:type="dxa"/>
            <w:vAlign w:val="bottom"/>
          </w:tcPr>
          <w:p>
            <w:pPr>
              <w:spacing w:after="0"/>
              <w:rPr>
                <w:sz w:val="14"/>
                <w:szCs w:val="14"/>
                <w:color w:val="auto"/>
              </w:rPr>
            </w:pPr>
          </w:p>
        </w:tc>
        <w:tc>
          <w:tcPr>
            <w:tcW w:w="2240" w:type="dxa"/>
            <w:vAlign w:val="bottom"/>
            <w:tcBorders>
              <w:right w:val="single" w:sz="8" w:color="auto"/>
            </w:tcBorders>
            <w:shd w:val="clear" w:color="auto" w:fill="E6F3FA"/>
          </w:tcPr>
          <w:p>
            <w:pPr>
              <w:spacing w:after="0"/>
              <w:rPr>
                <w:sz w:val="14"/>
                <w:szCs w:val="14"/>
                <w:color w:val="auto"/>
              </w:rPr>
            </w:pPr>
          </w:p>
        </w:tc>
        <w:tc>
          <w:tcPr>
            <w:tcW w:w="520" w:type="dxa"/>
            <w:vAlign w:val="bottom"/>
            <w:shd w:val="clear" w:color="auto" w:fill="E6F3FA"/>
          </w:tcPr>
          <w:p>
            <w:pPr>
              <w:spacing w:after="0"/>
              <w:rPr>
                <w:sz w:val="14"/>
                <w:szCs w:val="14"/>
                <w:color w:val="auto"/>
              </w:rPr>
            </w:pPr>
          </w:p>
        </w:tc>
        <w:tc>
          <w:tcPr>
            <w:tcW w:w="6640" w:type="dxa"/>
            <w:vAlign w:val="bottom"/>
            <w:tcBorders>
              <w:right w:val="single" w:sz="8" w:color="auto"/>
            </w:tcBorders>
            <w:vMerge w:val="continue"/>
            <w:shd w:val="clear" w:color="auto" w:fill="E6F3FA"/>
          </w:tcPr>
          <w:p>
            <w:pPr>
              <w:spacing w:after="0"/>
              <w:rPr>
                <w:sz w:val="14"/>
                <w:szCs w:val="14"/>
                <w:color w:val="auto"/>
              </w:rPr>
            </w:pPr>
          </w:p>
        </w:tc>
        <w:tc>
          <w:tcPr>
            <w:tcW w:w="1640" w:type="dxa"/>
            <w:vAlign w:val="bottom"/>
            <w:vMerge w:val="continue"/>
            <w:shd w:val="clear" w:color="auto" w:fill="E6F3FA"/>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0" w:type="dxa"/>
            <w:vAlign w:val="bottom"/>
          </w:tcPr>
          <w:p>
            <w:pPr>
              <w:spacing w:after="0"/>
              <w:rPr>
                <w:sz w:val="10"/>
                <w:szCs w:val="10"/>
                <w:color w:val="auto"/>
              </w:rPr>
            </w:pPr>
          </w:p>
        </w:tc>
        <w:tc>
          <w:tcPr>
            <w:tcW w:w="2240" w:type="dxa"/>
            <w:vAlign w:val="bottom"/>
            <w:tcBorders>
              <w:bottom w:val="single" w:sz="8" w:color="auto"/>
              <w:right w:val="single" w:sz="8" w:color="auto"/>
            </w:tcBorders>
            <w:shd w:val="clear" w:color="auto" w:fill="E6F3FA"/>
          </w:tcPr>
          <w:p>
            <w:pPr>
              <w:spacing w:after="0"/>
              <w:rPr>
                <w:sz w:val="10"/>
                <w:szCs w:val="10"/>
                <w:color w:val="auto"/>
              </w:rPr>
            </w:pPr>
          </w:p>
        </w:tc>
        <w:tc>
          <w:tcPr>
            <w:tcW w:w="520" w:type="dxa"/>
            <w:vAlign w:val="bottom"/>
            <w:tcBorders>
              <w:bottom w:val="single" w:sz="8" w:color="auto"/>
            </w:tcBorders>
            <w:shd w:val="clear" w:color="auto" w:fill="E6F3FA"/>
          </w:tcPr>
          <w:p>
            <w:pPr>
              <w:spacing w:after="0"/>
              <w:rPr>
                <w:sz w:val="10"/>
                <w:szCs w:val="10"/>
                <w:color w:val="auto"/>
              </w:rPr>
            </w:pPr>
          </w:p>
        </w:tc>
        <w:tc>
          <w:tcPr>
            <w:tcW w:w="6640" w:type="dxa"/>
            <w:vAlign w:val="bottom"/>
            <w:tcBorders>
              <w:bottom w:val="single" w:sz="8" w:color="auto"/>
              <w:right w:val="single" w:sz="8" w:color="auto"/>
            </w:tcBorders>
            <w:shd w:val="clear" w:color="auto" w:fill="E6F3FA"/>
          </w:tcPr>
          <w:p>
            <w:pPr>
              <w:spacing w:after="0"/>
              <w:rPr>
                <w:sz w:val="10"/>
                <w:szCs w:val="10"/>
                <w:color w:val="auto"/>
              </w:rPr>
            </w:pPr>
          </w:p>
        </w:tc>
        <w:tc>
          <w:tcPr>
            <w:tcW w:w="1640" w:type="dxa"/>
            <w:vAlign w:val="bottom"/>
            <w:tcBorders>
              <w:bottom w:val="single" w:sz="8" w:color="auto"/>
            </w:tcBorders>
            <w:shd w:val="clear" w:color="auto" w:fill="E6F3FA"/>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6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160" w:type="dxa"/>
            <w:vAlign w:val="bottom"/>
            <w:gridSpan w:val="2"/>
          </w:tcPr>
          <w:p>
            <w:pPr>
              <w:jc w:val="right"/>
              <w:ind w:right="3750"/>
              <w:spacing w:after="0"/>
              <w:rPr>
                <w:sz w:val="20"/>
                <w:szCs w:val="20"/>
                <w:color w:val="auto"/>
              </w:rPr>
            </w:pPr>
            <w:r>
              <w:rPr>
                <w:rFonts w:ascii="Arial" w:cs="Arial" w:eastAsia="Arial" w:hAnsi="Arial"/>
                <w:sz w:val="18"/>
                <w:szCs w:val="18"/>
                <w:color w:val="auto"/>
              </w:rPr>
              <w:t>7</w:t>
            </w: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2095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2095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 The key elements of our strategy include:</w:t>
      </w:r>
    </w:p>
    <w:p>
      <w:pPr>
        <w:spacing w:after="0" w:line="72" w:lineRule="exact"/>
        <w:rPr>
          <w:sz w:val="20"/>
          <w:szCs w:val="20"/>
          <w:color w:val="auto"/>
        </w:rPr>
      </w:pPr>
    </w:p>
    <w:p>
      <w:pPr>
        <w:ind w:left="840" w:hanging="211"/>
        <w:spacing w:after="0" w:line="289" w:lineRule="auto"/>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Advancing our wholly-owned lead product candidates to clinical milestones. </w:t>
      </w:r>
      <w:r>
        <w:rPr>
          <w:rFonts w:ascii="Arial" w:cs="Arial" w:eastAsia="Arial" w:hAnsi="Arial"/>
          <w:sz w:val="16"/>
          <w:szCs w:val="16"/>
          <w:color w:val="auto"/>
        </w:rPr>
        <w:t>We are conducting clinical trials to assess the safety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efficacy of our wholly-owned pipeline programs, and have completed a Phase 1 trial of ANB020 in healthy volunteers in Australia, which we believe has demonstrated favorable safety and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properties. We are conducting multiple Phase 2a trials of ANB020: top-line results from a Phase 2a trial in patients with moderate-to-severe adult atopic dermatitis were announced in October 2017; top-line data from a Phase 2a trial in patients with severe adult peanut allergy are anticipated in the fourth quarter of 2017; and top-line data from a Phase 2a trial in patients with severe adult eosinophilic asthma are anticipated during the first half of 2018. We are currently conducting, under an approved CTN, a Phase 1 clinical trial in healthy volunteers, where 48 subjects are dosed with ANB019 and 24 are dosed with placebo in single and multi-dose cohorts at various subcutaneous and intravenously administered dose levels, to assess the safety, tolerability, pharmacokinetics and pharmacodynamics of ANB019 and anticipate announcing top-line data from this trial during the fourth quarter of 2017. We subsequently plan to seek regulatory clearance to initiate Phase 2 studies of ANB019 in GPP and PPP patients during 2018.</w:t>
      </w:r>
    </w:p>
    <w:p>
      <w:pPr>
        <w:spacing w:after="0" w:line="66" w:lineRule="exact"/>
        <w:rPr>
          <w:rFonts w:ascii="Arial" w:cs="Arial" w:eastAsia="Arial" w:hAnsi="Arial"/>
          <w:sz w:val="16"/>
          <w:szCs w:val="16"/>
          <w:color w:val="auto"/>
        </w:rPr>
      </w:pPr>
    </w:p>
    <w:p>
      <w:pPr>
        <w:ind w:left="840" w:right="40" w:hanging="211"/>
        <w:spacing w:after="0" w:line="261"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Continuing to expand our proprietary pipeline by generating new product candidates using our technology platform. </w:t>
      </w:r>
      <w:r>
        <w:rPr>
          <w:rFonts w:ascii="Arial" w:cs="Arial" w:eastAsia="Arial" w:hAnsi="Arial"/>
          <w:sz w:val="18"/>
          <w:szCs w:val="18"/>
          <w:color w:val="auto"/>
        </w:rPr>
        <w:t>Using our</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SHM antibody generation platform, we are able to rapidly develop novel antibodies against biological emerging targets. Our goal is to continue expanding our wholly-owned new therapeutic antibody program pipeline by innovating one or more novel pipeline antibodies each year.</w:t>
      </w:r>
    </w:p>
    <w:p>
      <w:pPr>
        <w:spacing w:after="0" w:line="85" w:lineRule="exact"/>
        <w:rPr>
          <w:rFonts w:ascii="Arial" w:cs="Arial" w:eastAsia="Arial" w:hAnsi="Arial"/>
          <w:sz w:val="18"/>
          <w:szCs w:val="18"/>
          <w:color w:val="auto"/>
        </w:rPr>
      </w:pPr>
    </w:p>
    <w:p>
      <w:pPr>
        <w:ind w:left="840" w:right="160" w:hanging="211"/>
        <w:spacing w:after="0" w:line="277"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Identifying emerging opportunities in key therapeutic areas. </w:t>
      </w:r>
      <w:r>
        <w:rPr>
          <w:rFonts w:ascii="Arial" w:cs="Arial" w:eastAsia="Arial" w:hAnsi="Arial"/>
          <w:sz w:val="17"/>
          <w:szCs w:val="17"/>
          <w:color w:val="auto"/>
        </w:rPr>
        <w:t>We intend to remain at the forefront of discovery and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therapeutic opportunities in inflammation by understanding and translating biological breakthroughs into first-in-class therapeutic antibodies. Our approach includes translational biology assessments, such as human genetics,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initial efficacy assessment.</w:t>
      </w:r>
    </w:p>
    <w:p>
      <w:pPr>
        <w:spacing w:after="0" w:line="73" w:lineRule="exact"/>
        <w:rPr>
          <w:rFonts w:ascii="Arial" w:cs="Arial" w:eastAsia="Arial" w:hAnsi="Arial"/>
          <w:sz w:val="17"/>
          <w:szCs w:val="17"/>
          <w:color w:val="auto"/>
        </w:rPr>
      </w:pPr>
    </w:p>
    <w:p>
      <w:pPr>
        <w:ind w:left="840" w:right="260" w:hanging="211"/>
        <w:spacing w:after="0" w:line="261"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Retaining rights to strategic products in key commercial markets. </w:t>
      </w:r>
      <w:r>
        <w:rPr>
          <w:rFonts w:ascii="Arial" w:cs="Arial" w:eastAsia="Arial" w:hAnsi="Arial"/>
          <w:sz w:val="18"/>
          <w:szCs w:val="18"/>
          <w:color w:val="auto"/>
        </w:rPr>
        <w:t>We intend to retain ownership and control of our pipeline programs to</w:t>
      </w:r>
      <w:r>
        <w:rPr>
          <w:rFonts w:ascii="Arial" w:cs="Arial" w:eastAsia="Arial" w:hAnsi="Arial"/>
          <w:sz w:val="18"/>
          <w:szCs w:val="18"/>
          <w:b w:val="1"/>
          <w:bCs w:val="1"/>
          <w:color w:val="auto"/>
        </w:rPr>
        <w:t xml:space="preserve"> </w:t>
      </w:r>
      <w:r>
        <w:rPr>
          <w:rFonts w:ascii="Arial" w:cs="Arial" w:eastAsia="Arial" w:hAnsi="Arial"/>
          <w:sz w:val="18"/>
          <w:szCs w:val="18"/>
          <w:color w:val="auto"/>
        </w:rPr>
        <w:t>key preclinical and clinical data inflection points. We may build sales and marketing capabilities in the United States with a focused commercial organization. For certain programs, we plan to seek strategic collaborations that provide us with funding, infrastructure and marketing resources to advance through development and commercialization.</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Update</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While we have not finalized our full financial results for the quarter ended September 30, 2017, we expect to report that we had $116.7 million of cash and cash equivalents and investments as of September 30, 2017. This amount is preliminary, has not been audited and is subject to change upon completion of our quarterly review. Additional information and disclosures would be required for a more complete understanding of our financial position and results of operations as of September 30, 2017.</w:t>
      </w: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15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6015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Affecting Us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business is subject to a number of risks and uncertainties, including those highlighted and incorporated by reference in the section titled “Risk</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Factors” immediately following this prospectus summary. These risks include, among others, the following:</w:t>
      </w:r>
    </w:p>
    <w:p>
      <w:pPr>
        <w:spacing w:after="0" w:line="116" w:lineRule="exact"/>
        <w:rPr>
          <w:sz w:val="20"/>
          <w:szCs w:val="20"/>
          <w:color w:val="auto"/>
        </w:rPr>
      </w:pPr>
    </w:p>
    <w:p>
      <w:pPr>
        <w:jc w:val="both"/>
        <w:ind w:left="840" w:right="160" w:hanging="211"/>
        <w:spacing w:after="0" w:line="264"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86" w:lineRule="exact"/>
        <w:rPr>
          <w:rFonts w:ascii="Arial" w:cs="Arial" w:eastAsia="Arial" w:hAnsi="Arial"/>
          <w:sz w:val="18"/>
          <w:szCs w:val="18"/>
          <w:color w:val="auto"/>
        </w:rPr>
      </w:pPr>
    </w:p>
    <w:p>
      <w:pPr>
        <w:ind w:left="840" w:hanging="211"/>
        <w:spacing w:after="0" w:line="259"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only limited data regarding the safety profile of our wholly-owned product candidates when dosed in humans. Our ongoing and planned clinical trials or those of our collaborators may demonstrate limited efficacy or reveal significant adverse events, toxicities or other side effects and may result in an efficacy or safety profile that could inhibit regulatory approval or market acceptance of any of our product candidates.</w:t>
      </w:r>
    </w:p>
    <w:p>
      <w:pPr>
        <w:spacing w:after="0" w:line="92" w:lineRule="exact"/>
        <w:rPr>
          <w:rFonts w:ascii="Arial" w:cs="Arial" w:eastAsia="Arial" w:hAnsi="Arial"/>
          <w:sz w:val="18"/>
          <w:szCs w:val="18"/>
          <w:color w:val="auto"/>
        </w:rPr>
      </w:pPr>
    </w:p>
    <w:p>
      <w:pPr>
        <w:ind w:left="840" w:right="200" w:hanging="211"/>
        <w:spacing w:after="0" w:line="342" w:lineRule="auto"/>
        <w:tabs>
          <w:tab w:leader="none" w:pos="8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29" w:lineRule="exact"/>
        <w:rPr>
          <w:rFonts w:ascii="Arial" w:cs="Arial" w:eastAsia="Arial" w:hAnsi="Arial"/>
          <w:sz w:val="16"/>
          <w:szCs w:val="16"/>
          <w:color w:val="auto"/>
        </w:rPr>
      </w:pPr>
    </w:p>
    <w:p>
      <w:pPr>
        <w:ind w:left="840" w:right="240" w:hanging="211"/>
        <w:spacing w:after="0" w:line="27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successful in our efforts to use our technology platform to expand our pipeline of product candidates and develop marketable products.</w:t>
      </w:r>
    </w:p>
    <w:p>
      <w:pPr>
        <w:spacing w:after="0" w:line="75" w:lineRule="exact"/>
        <w:rPr>
          <w:rFonts w:ascii="Arial" w:cs="Arial" w:eastAsia="Arial" w:hAnsi="Arial"/>
          <w:sz w:val="18"/>
          <w:szCs w:val="18"/>
          <w:color w:val="auto"/>
        </w:rPr>
      </w:pPr>
    </w:p>
    <w:p>
      <w:pPr>
        <w:ind w:left="840" w:right="320" w:hanging="211"/>
        <w:spacing w:after="0" w:line="308"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only recently commenced clinical development of ANB019 and ANB020 and have no other history of conducting clinical trials or commercializing biotechnology products, which may make it difficult to evaluate the prospects for our future viability.</w:t>
      </w:r>
    </w:p>
    <w:p>
      <w:pPr>
        <w:spacing w:after="0" w:line="51" w:lineRule="exact"/>
        <w:rPr>
          <w:rFonts w:ascii="Arial" w:cs="Arial" w:eastAsia="Arial" w:hAnsi="Arial"/>
          <w:sz w:val="17"/>
          <w:szCs w:val="17"/>
          <w:color w:val="auto"/>
        </w:rPr>
      </w:pPr>
    </w:p>
    <w:p>
      <w:pPr>
        <w:ind w:left="840" w:right="260" w:hanging="211"/>
        <w:spacing w:after="0" w:line="27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75" w:lineRule="exact"/>
        <w:rPr>
          <w:rFonts w:ascii="Arial" w:cs="Arial" w:eastAsia="Arial" w:hAnsi="Arial"/>
          <w:sz w:val="18"/>
          <w:szCs w:val="18"/>
          <w:color w:val="auto"/>
        </w:rPr>
      </w:pPr>
    </w:p>
    <w:p>
      <w:pPr>
        <w:ind w:left="840" w:right="200" w:hanging="211"/>
        <w:spacing w:after="0" w:line="264"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86" w:lineRule="exact"/>
        <w:rPr>
          <w:rFonts w:ascii="Arial" w:cs="Arial" w:eastAsia="Arial" w:hAnsi="Arial"/>
          <w:sz w:val="18"/>
          <w:szCs w:val="18"/>
          <w:color w:val="auto"/>
        </w:rPr>
      </w:pPr>
    </w:p>
    <w:p>
      <w:pPr>
        <w:ind w:left="840" w:right="100" w:hanging="211"/>
        <w:spacing w:after="0" w:line="264"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86" w:lineRule="exact"/>
        <w:rPr>
          <w:rFonts w:ascii="Arial" w:cs="Arial" w:eastAsia="Arial" w:hAnsi="Arial"/>
          <w:sz w:val="18"/>
          <w:szCs w:val="18"/>
          <w:color w:val="auto"/>
        </w:rPr>
      </w:pPr>
    </w:p>
    <w:p>
      <w:pPr>
        <w:ind w:left="840" w:right="600" w:hanging="211"/>
        <w:spacing w:after="0" w:line="308"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1" w:lineRule="exact"/>
        <w:rPr>
          <w:rFonts w:ascii="Arial" w:cs="Arial" w:eastAsia="Arial" w:hAnsi="Arial"/>
          <w:sz w:val="17"/>
          <w:szCs w:val="17"/>
          <w:color w:val="auto"/>
        </w:rPr>
      </w:pPr>
    </w:p>
    <w:p>
      <w:pPr>
        <w:ind w:left="840" w:right="40" w:hanging="211"/>
        <w:spacing w:after="0" w:line="308"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25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2405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42405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mark “AnaptysBio” is our common law trademark. All other service marks, trademarks and trade names appearing in this prospectus are the property of their respective owners.</w:t>
      </w:r>
    </w:p>
    <w:p>
      <w:pPr>
        <w:spacing w:after="0" w:line="27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of 2012, or JOBS Act, enacted in April 2012. An “emerging growth company” may take advantage of reduced reporting requirements that are otherwise applicable to public companies. These provisions include, but are not limited to:</w:t>
      </w:r>
    </w:p>
    <w:p>
      <w:pPr>
        <w:spacing w:after="0" w:line="71" w:lineRule="exact"/>
        <w:rPr>
          <w:sz w:val="20"/>
          <w:szCs w:val="20"/>
          <w:color w:val="auto"/>
        </w:rPr>
      </w:pPr>
    </w:p>
    <w:p>
      <w:pPr>
        <w:ind w:left="840" w:right="180" w:hanging="211"/>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the Sarbanes-Oxley Act;</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53" w:lineRule="exact"/>
        <w:rPr>
          <w:rFonts w:ascii="Arial" w:cs="Arial" w:eastAsia="Arial" w:hAnsi="Arial"/>
          <w:sz w:val="16"/>
          <w:szCs w:val="16"/>
          <w:color w:val="auto"/>
        </w:rPr>
      </w:pPr>
    </w:p>
    <w:p>
      <w:pPr>
        <w:ind w:left="840" w:right="140" w:hanging="211"/>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closing of our initial public offering.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have elected to take advantage of certain of the reduced disclosure obligations in the registration statement of which this prospectus is a part and the documents incorporated herein by reference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We have irrevocably elected not to avail ourselves of this exemption and, therefore, we are subject to the same new or revised accounting standards as other public companies that are not emerging growth companies.</w:t>
      </w:r>
    </w:p>
    <w:p>
      <w:pPr>
        <w:spacing w:after="0" w:line="28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240" w:top="459" w:right="49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63157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631571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of common stock offered by us</w:t>
      </w:r>
    </w:p>
    <w:p>
      <w:pPr>
        <w:spacing w:after="0" w:line="266" w:lineRule="exact"/>
        <w:rPr>
          <w:sz w:val="20"/>
          <w:szCs w:val="20"/>
          <w:color w:val="auto"/>
        </w:rPr>
      </w:pPr>
    </w:p>
    <w:p>
      <w:pPr>
        <w:ind w:left="280" w:right="980" w:hanging="81"/>
        <w:spacing w:after="0" w:line="277" w:lineRule="auto"/>
        <w:rPr>
          <w:sz w:val="20"/>
          <w:szCs w:val="20"/>
          <w:color w:val="auto"/>
        </w:rPr>
      </w:pPr>
      <w:r>
        <w:rPr>
          <w:rFonts w:ascii="Arial" w:cs="Arial" w:eastAsia="Arial" w:hAnsi="Arial"/>
          <w:sz w:val="18"/>
          <w:szCs w:val="18"/>
          <w:color w:val="auto"/>
        </w:rPr>
        <w:t>Option to purchase additional shares to be offered by us</w:t>
      </w:r>
    </w:p>
    <w:p>
      <w:pPr>
        <w:spacing w:after="0" w:line="211"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color w:val="auto"/>
        </w:rPr>
        <w:t>Shares of common stock to be outstanding immediately after this offering</w:t>
      </w: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Nasdaq Global Select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3,000,000 shares.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450,000 shares.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23,289,907 shares (23,739,907 shares if the underwriters exercise their option to purchase additional shares in full).</w:t>
      </w:r>
    </w:p>
    <w:p>
      <w:pPr>
        <w:spacing w:after="0" w:line="19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estimate that the net proceeds from this offering will be approximately $200.1 million (or approximately $230.1 million if the underwriters exercise their option to purchase additional shares in full), based upon the assumed public offering price of $70.41 per share, the last reported sale price of our common stock on The NASDAQ Global Select Market</w:t>
      </w:r>
    </w:p>
    <w:p>
      <w:pPr>
        <w:spacing w:after="0" w:line="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on October 10, 2017, after deducting the estimated underwriting discounts and commissions and estimated offering expenses payable by us.</w:t>
      </w:r>
    </w:p>
    <w:p>
      <w:pPr>
        <w:spacing w:after="0" w:line="21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intend to use the net proceeds that we receive in this offering to fund research and development activities for our clinical development programs, our ongoing preclinical, discovery and research programs, and for working capital and other general corporate purposes. We may use a portion of the proceeds to acquire other complementary businesses or technologies, although we have no present commitments or agreements to do so. See “Use of Proceeds” for a more complete description of the intended use of proceeds from this offering.</w:t>
      </w:r>
    </w:p>
    <w:p>
      <w:pPr>
        <w:spacing w:after="0" w:line="19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You should read the “Risk Factors” section of this prospectus for a discussion of factors to consider carefully before deciding to invest in shares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“ANAB”</w:t>
      </w:r>
    </w:p>
    <w:p>
      <w:pPr>
        <w:spacing w:after="0" w:line="200" w:lineRule="exact"/>
        <w:rPr>
          <w:sz w:val="20"/>
          <w:szCs w:val="20"/>
          <w:color w:val="auto"/>
        </w:rPr>
      </w:pPr>
    </w:p>
    <w:p>
      <w:pPr>
        <w:sectPr>
          <w:pgSz w:w="11900" w:h="16838" w:orient="portrait"/>
          <w:cols w:equalWidth="0" w:num="2">
            <w:col w:w="4200" w:space="180"/>
            <w:col w:w="6840"/>
          </w:cols>
          <w:pgMar w:left="240" w:top="459" w:right="439" w:bottom="1440" w:gutter="0" w:footer="0" w:header="0"/>
          <w:type w:val="continuous"/>
        </w:sectPr>
      </w:pPr>
    </w:p>
    <w:p>
      <w:pPr>
        <w:spacing w:after="0" w:line="3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number of shares of our common stock to be outstanding after this offering is based on 20,289,907 shares of our common stock outstanding as of June 30, 2017, and excludes:</w:t>
      </w:r>
    </w:p>
    <w:p>
      <w:pPr>
        <w:spacing w:after="0" w:line="76" w:lineRule="exact"/>
        <w:rPr>
          <w:sz w:val="20"/>
          <w:szCs w:val="20"/>
          <w:color w:val="auto"/>
        </w:rPr>
      </w:pPr>
    </w:p>
    <w:p>
      <w:pPr>
        <w:ind w:left="840" w:right="340" w:hanging="211"/>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2,643,180 shares of common stock issuable upon the exercise of options outstanding as of June 30, 2017, with a weighted-average exercise price of $10.62 per share;</w:t>
      </w:r>
    </w:p>
    <w:p>
      <w:pPr>
        <w:spacing w:after="0" w:line="75" w:lineRule="exact"/>
        <w:rPr>
          <w:rFonts w:ascii="Arial" w:cs="Arial" w:eastAsia="Arial" w:hAnsi="Arial"/>
          <w:sz w:val="18"/>
          <w:szCs w:val="18"/>
          <w:color w:val="auto"/>
        </w:rPr>
      </w:pPr>
    </w:p>
    <w:p>
      <w:pPr>
        <w:ind w:left="840" w:right="280" w:hanging="211"/>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96,965 shares of common stock issuable upon the exercise of options granted after June 30, 2017, with a weighted-average exercise price of $26.77 per share;</w:t>
      </w:r>
    </w:p>
    <w:p>
      <w:pPr>
        <w:spacing w:after="0" w:line="75" w:lineRule="exact"/>
        <w:rPr>
          <w:rFonts w:ascii="Arial" w:cs="Arial" w:eastAsia="Arial" w:hAnsi="Arial"/>
          <w:sz w:val="18"/>
          <w:szCs w:val="18"/>
          <w:color w:val="auto"/>
        </w:rPr>
      </w:pPr>
    </w:p>
    <w:p>
      <w:pPr>
        <w:ind w:left="840" w:right="280" w:hanging="211"/>
        <w:spacing w:after="0" w:line="277"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198,009 shares of our common stock issuable upon exercise of warrants outstanding as of June 30, 2017, with an exercise price of $4.55 per share; and</w:t>
      </w:r>
    </w:p>
    <w:p>
      <w:pPr>
        <w:spacing w:after="0" w:line="75" w:lineRule="exact"/>
        <w:rPr>
          <w:rFonts w:ascii="Arial" w:cs="Arial" w:eastAsia="Arial" w:hAnsi="Arial"/>
          <w:sz w:val="18"/>
          <w:szCs w:val="18"/>
          <w:color w:val="auto"/>
        </w:rPr>
      </w:pPr>
    </w:p>
    <w:p>
      <w:pPr>
        <w:ind w:left="840" w:right="20" w:hanging="211"/>
        <w:spacing w:after="0" w:line="264"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1,462,014 shares of common stock reserved for future issuance under our stock-based compensation plans as of June 30, 2017, consisting of (a) 1,244,014 shares of common stock reserved for future issuance under our 2017 Equity Incentive Plan and (b) 218,000 shares of common stock reserved for future</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059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10591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60"/>
        <w:spacing w:after="0" w:line="312" w:lineRule="auto"/>
        <w:rPr>
          <w:sz w:val="20"/>
          <w:szCs w:val="20"/>
          <w:color w:val="auto"/>
        </w:rPr>
      </w:pPr>
      <w:r>
        <w:rPr>
          <w:rFonts w:ascii="Arial" w:cs="Arial" w:eastAsia="Arial" w:hAnsi="Arial"/>
          <w:sz w:val="16"/>
          <w:szCs w:val="16"/>
          <w:color w:val="auto"/>
        </w:rPr>
        <w:t>issuance under our 2017 Employee Stock Purchase Plan. Our 2017 Equity Incentive Plan and 2017 Employee Stock Purchase Plan also provide for automatic annual increases in the number of shares reserved under the plans each year, as more fully described in note 8 of the notes to our unaudited consolidated financial statements included in our Quarterly Report on Form 10-Q for the period ended June 30, 2017.</w:t>
      </w:r>
    </w:p>
    <w:p>
      <w:pPr>
        <w:spacing w:after="0" w:line="14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Except as otherwise indicated, all information in this prospectus assumes no exercise of outstanding options or warrants and no exercise of the underwriters’ option to purchase additional shares.</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067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57067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200" w:firstLine="441"/>
        <w:spacing w:after="0" w:line="288" w:lineRule="auto"/>
        <w:rPr>
          <w:sz w:val="20"/>
          <w:szCs w:val="20"/>
          <w:color w:val="auto"/>
        </w:rPr>
      </w:pPr>
      <w:r>
        <w:rPr>
          <w:rFonts w:ascii="Arial" w:cs="Arial" w:eastAsia="Arial" w:hAnsi="Arial"/>
          <w:sz w:val="16"/>
          <w:szCs w:val="16"/>
          <w:color w:val="auto"/>
        </w:rPr>
        <w:t>The summary consolidated statements of operations data presented below for the years ended December 31, 2014, 2015 and 2016 are derived from our audited financial statements incorporated by reference into this prospectus. The selected consolidated statements of operations data for the six months ended June 30, 2016 and 2017 and the summary consolidated balance sheet data as of June 30, 2017 have been derived from our unaudited consolidated financial statements incorporated by reference into this prospectus. Our unaudited consolidated financial statements have been prepared on the same basis as our audited financial statements and, in the opinion of management, reflect all adjustments, which consist only of normal recurring adjustments, necessary for the fair statement of those unaudited consolidated financial statements. The following summary consolidated financial data should be read with “Management’s Discussion and Analysis of Financial Condition and Results of Operations” and our financial statements and related notes incorporated by reference into this prospectus. Our historical results are not necessarily indicative of the results that may be expected in any future period. The summary financial data in this section are not intended to replace the financial statements and are qualified in their entirety by the financial statements and related notes incorporated by reference into this prospectus.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2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 thousands, except per share data)</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2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Consolidated Statements of Operations Data:</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24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0"/>
              <w:spacing w:after="0"/>
              <w:rPr>
                <w:sz w:val="20"/>
                <w:szCs w:val="20"/>
                <w:color w:val="auto"/>
              </w:rPr>
            </w:pPr>
            <w:r>
              <w:rPr>
                <w:rFonts w:ascii="Arial" w:cs="Arial" w:eastAsia="Arial" w:hAnsi="Arial"/>
                <w:sz w:val="18"/>
                <w:szCs w:val="18"/>
                <w:color w:val="auto"/>
              </w:rPr>
              <w:t>Collaboration revenue</w:t>
            </w:r>
          </w:p>
        </w:tc>
        <w:tc>
          <w:tcPr>
            <w:tcW w:w="1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15,838</w:t>
            </w:r>
          </w:p>
        </w:tc>
        <w:tc>
          <w:tcPr>
            <w:tcW w:w="1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17,571</w:t>
            </w:r>
          </w:p>
        </w:tc>
        <w:tc>
          <w:tcPr>
            <w:tcW w:w="2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16,684</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10,716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7,000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200"/>
              <w:spacing w:after="0"/>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560"/>
              <w:spacing w:after="0"/>
              <w:rPr>
                <w:sz w:val="20"/>
                <w:szCs w:val="20"/>
                <w:color w:val="auto"/>
              </w:rPr>
            </w:pPr>
            <w:r>
              <w:rPr>
                <w:rFonts w:ascii="Arial" w:cs="Arial" w:eastAsia="Arial" w:hAnsi="Arial"/>
                <w:sz w:val="18"/>
                <w:szCs w:val="18"/>
                <w:color w:val="auto"/>
              </w:rPr>
              <w:t>Research and development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17,304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15,419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15,140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560"/>
              <w:spacing w:after="0"/>
              <w:rPr>
                <w:sz w:val="20"/>
                <w:szCs w:val="20"/>
                <w:color w:val="auto"/>
              </w:rPr>
            </w:pPr>
            <w:r>
              <w:rPr>
                <w:rFonts w:ascii="Arial" w:cs="Arial" w:eastAsia="Arial" w:hAnsi="Arial"/>
                <w:sz w:val="18"/>
                <w:szCs w:val="18"/>
                <w:color w:val="auto"/>
              </w:rPr>
              <w:t>General and administrative</w:t>
            </w:r>
          </w:p>
        </w:tc>
        <w:tc>
          <w:tcPr>
            <w:tcW w:w="1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1100"/>
              <w:spacing w:after="0"/>
              <w:rPr>
                <w:sz w:val="20"/>
                <w:szCs w:val="20"/>
                <w:color w:val="auto"/>
              </w:rPr>
            </w:pPr>
            <w:r>
              <w:rPr>
                <w:rFonts w:ascii="Arial" w:cs="Arial" w:eastAsia="Arial" w:hAnsi="Arial"/>
                <w:sz w:val="18"/>
                <w:szCs w:val="18"/>
                <w:color w:val="auto"/>
              </w:rPr>
              <w:t>Total operating expenses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10,968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20,893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19,709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19,543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1100"/>
              <w:spacing w:after="0"/>
              <w:rPr>
                <w:sz w:val="20"/>
                <w:szCs w:val="20"/>
                <w:color w:val="auto"/>
              </w:rPr>
            </w:pPr>
            <w:r>
              <w:rPr>
                <w:rFonts w:ascii="Arial" w:cs="Arial" w:eastAsia="Arial" w:hAnsi="Arial"/>
                <w:sz w:val="18"/>
                <w:szCs w:val="18"/>
                <w:color w:val="auto"/>
              </w:rPr>
              <w:t>Income (loss) from operations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(3,322)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(3,025)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(12,543)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560"/>
              <w:spacing w:after="0"/>
              <w:rPr>
                <w:sz w:val="20"/>
                <w:szCs w:val="20"/>
                <w:color w:val="auto"/>
              </w:rPr>
            </w:pPr>
            <w:r>
              <w:rPr>
                <w:rFonts w:ascii="Arial" w:cs="Arial" w:eastAsia="Arial" w:hAnsi="Arial"/>
                <w:sz w:val="18"/>
                <w:szCs w:val="18"/>
                <w:color w:val="auto"/>
              </w:rPr>
              <w:t>Interest expense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5240" w:type="dxa"/>
            <w:vAlign w:val="bottom"/>
          </w:tcPr>
          <w:p>
            <w:pPr>
              <w:ind w:left="560"/>
              <w:spacing w:after="0"/>
              <w:rPr>
                <w:sz w:val="20"/>
                <w:szCs w:val="20"/>
                <w:color w:val="auto"/>
              </w:rPr>
            </w:pPr>
            <w:r>
              <w:rPr>
                <w:rFonts w:ascii="Arial" w:cs="Arial" w:eastAsia="Arial" w:hAnsi="Arial"/>
                <w:sz w:val="18"/>
                <w:szCs w:val="18"/>
                <w:color w:val="auto"/>
              </w:rPr>
              <w:t>Change in fair value of liability for preferred stock warrants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30"/>
        </w:trPr>
        <w:tc>
          <w:tcPr>
            <w:tcW w:w="5240" w:type="dxa"/>
            <w:vAlign w:val="bottom"/>
          </w:tcPr>
          <w:p>
            <w:pPr>
              <w:ind w:left="560"/>
              <w:spacing w:after="0"/>
              <w:rPr>
                <w:sz w:val="20"/>
                <w:szCs w:val="20"/>
                <w:color w:val="auto"/>
              </w:rPr>
            </w:pPr>
            <w:r>
              <w:rPr>
                <w:rFonts w:ascii="Arial" w:cs="Arial" w:eastAsia="Arial" w:hAnsi="Arial"/>
                <w:sz w:val="18"/>
                <w:szCs w:val="18"/>
                <w:color w:val="auto"/>
              </w:rPr>
              <w:t>Other income (expense), net</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657</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1100"/>
              <w:spacing w:after="0"/>
              <w:rPr>
                <w:sz w:val="20"/>
                <w:szCs w:val="20"/>
                <w:color w:val="auto"/>
              </w:rPr>
            </w:pPr>
            <w:r>
              <w:rPr>
                <w:rFonts w:ascii="Arial" w:cs="Arial" w:eastAsia="Arial" w:hAnsi="Arial"/>
                <w:sz w:val="18"/>
                <w:szCs w:val="18"/>
                <w:color w:val="auto"/>
              </w:rPr>
              <w:t>Total other income (expense), net</w:t>
            </w:r>
          </w:p>
        </w:tc>
        <w:tc>
          <w:tcPr>
            <w:tcW w:w="1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(1,338)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(1,234)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(1,576)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1100"/>
              <w:spacing w:after="0"/>
              <w:rPr>
                <w:sz w:val="20"/>
                <w:szCs w:val="20"/>
                <w:color w:val="auto"/>
              </w:rPr>
            </w:pPr>
            <w:r>
              <w:rPr>
                <w:rFonts w:ascii="Arial" w:cs="Arial" w:eastAsia="Arial" w:hAnsi="Arial"/>
                <w:sz w:val="18"/>
                <w:szCs w:val="18"/>
                <w:color w:val="auto"/>
              </w:rPr>
              <w:t>Income (loss) before income taxes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3,532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(5,266)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(4,259)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(14,119)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920"/>
              <w:spacing w:after="0"/>
              <w:rPr>
                <w:sz w:val="20"/>
                <w:szCs w:val="20"/>
                <w:color w:val="auto"/>
              </w:rPr>
            </w:pPr>
            <w:r>
              <w:rPr>
                <w:rFonts w:ascii="Arial" w:cs="Arial" w:eastAsia="Arial" w:hAnsi="Arial"/>
                <w:sz w:val="18"/>
                <w:szCs w:val="18"/>
                <w:color w:val="auto"/>
              </w:rPr>
              <w:t>Provision for income taxes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240" w:type="dxa"/>
            <w:vAlign w:val="bottom"/>
          </w:tcPr>
          <w:p>
            <w:pPr>
              <w:ind w:left="740"/>
              <w:spacing w:after="0"/>
              <w:rPr>
                <w:sz w:val="20"/>
                <w:szCs w:val="20"/>
                <w:color w:val="auto"/>
              </w:rPr>
            </w:pPr>
            <w:r>
              <w:rPr>
                <w:rFonts w:ascii="Arial" w:cs="Arial" w:eastAsia="Arial" w:hAnsi="Arial"/>
                <w:sz w:val="18"/>
                <w:szCs w:val="18"/>
                <w:color w:val="auto"/>
              </w:rPr>
              <w:t>Net income (loss)</w:t>
            </w:r>
          </w:p>
        </w:tc>
        <w:tc>
          <w:tcPr>
            <w:tcW w:w="1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(5,405)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(4,259)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(14,119)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0"/>
              <w:spacing w:after="0"/>
              <w:rPr>
                <w:sz w:val="20"/>
                <w:szCs w:val="20"/>
                <w:color w:val="auto"/>
              </w:rPr>
            </w:pPr>
            <w:r>
              <w:rPr>
                <w:rFonts w:ascii="Arial" w:cs="Arial" w:eastAsia="Arial" w:hAnsi="Arial"/>
                <w:sz w:val="18"/>
                <w:szCs w:val="18"/>
                <w:color w:val="auto"/>
              </w:rPr>
              <w:t>Net income (loss) attributed to participating securities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(3,300)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(1,434)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Pr>
          <w:p>
            <w:pPr>
              <w:ind w:left="200"/>
              <w:spacing w:after="0"/>
              <w:rPr>
                <w:sz w:val="20"/>
                <w:szCs w:val="20"/>
                <w:color w:val="auto"/>
              </w:rPr>
            </w:pPr>
            <w:r>
              <w:rPr>
                <w:rFonts w:ascii="Arial" w:cs="Arial" w:eastAsia="Arial" w:hAnsi="Arial"/>
                <w:sz w:val="18"/>
                <w:szCs w:val="18"/>
                <w:color w:val="auto"/>
              </w:rPr>
              <w:t>Net income (loss) attributed to common stockholders</w:t>
            </w:r>
          </w:p>
        </w:tc>
        <w:tc>
          <w:tcPr>
            <w:tcW w:w="1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(5,405)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(4,259)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(14,119)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0"/>
              <w:spacing w:after="0"/>
              <w:rPr>
                <w:sz w:val="20"/>
                <w:szCs w:val="20"/>
                <w:color w:val="auto"/>
              </w:rPr>
            </w:pPr>
            <w:r>
              <w:rPr>
                <w:rFonts w:ascii="Arial" w:cs="Arial" w:eastAsia="Arial" w:hAnsi="Arial"/>
                <w:sz w:val="18"/>
                <w:szCs w:val="18"/>
                <w:color w:val="auto"/>
              </w:rPr>
              <w:t>Unrealized loss on available for sale securities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0"/>
              <w:spacing w:after="0"/>
              <w:rPr>
                <w:sz w:val="20"/>
                <w:szCs w:val="20"/>
                <w:color w:val="auto"/>
              </w:rPr>
            </w:pPr>
            <w:r>
              <w:rPr>
                <w:rFonts w:ascii="Arial" w:cs="Arial" w:eastAsia="Arial" w:hAnsi="Arial"/>
                <w:sz w:val="18"/>
                <w:szCs w:val="18"/>
                <w:color w:val="auto"/>
              </w:rPr>
              <w:t>Other comprehensive loss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380"/>
              <w:spacing w:after="0"/>
              <w:rPr>
                <w:sz w:val="20"/>
                <w:szCs w:val="20"/>
                <w:color w:val="auto"/>
              </w:rPr>
            </w:pPr>
            <w:r>
              <w:rPr>
                <w:rFonts w:ascii="Arial" w:cs="Arial" w:eastAsia="Arial" w:hAnsi="Arial"/>
                <w:sz w:val="18"/>
                <w:szCs w:val="18"/>
                <w:color w:val="auto"/>
              </w:rPr>
              <w:t>Comprehensive income (loss)</w:t>
            </w:r>
          </w:p>
        </w:tc>
        <w:tc>
          <w:tcPr>
            <w:tcW w:w="15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(5,405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(4,259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(14,178</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00"/>
              <w:spacing w:after="0"/>
              <w:rPr>
                <w:sz w:val="20"/>
                <w:szCs w:val="20"/>
                <w:color w:val="auto"/>
              </w:rPr>
            </w:pPr>
            <w:r>
              <w:rPr>
                <w:rFonts w:ascii="Arial" w:cs="Arial" w:eastAsia="Arial" w:hAnsi="Arial"/>
                <w:sz w:val="18"/>
                <w:szCs w:val="18"/>
                <w:color w:val="auto"/>
              </w:rPr>
              <w:t>Net income (loss) per common share:(1)</w:t>
            </w: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560"/>
              <w:spacing w:after="0"/>
              <w:rPr>
                <w:sz w:val="20"/>
                <w:szCs w:val="20"/>
                <w:color w:val="auto"/>
              </w:rPr>
            </w:pPr>
            <w:r>
              <w:rPr>
                <w:rFonts w:ascii="Arial" w:cs="Arial" w:eastAsia="Arial" w:hAnsi="Arial"/>
                <w:sz w:val="18"/>
                <w:szCs w:val="18"/>
                <w:color w:val="auto"/>
              </w:rPr>
              <w:t>Basic and diluted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5240" w:type="dxa"/>
            <w:vAlign w:val="bottom"/>
          </w:tcPr>
          <w:p>
            <w:pPr>
              <w:spacing w:after="0"/>
              <w:rPr>
                <w:sz w:val="24"/>
                <w:szCs w:val="24"/>
                <w:color w:val="auto"/>
              </w:rPr>
            </w:pPr>
          </w:p>
        </w:tc>
        <w:tc>
          <w:tcPr>
            <w:tcW w:w="1540" w:type="dxa"/>
            <w:vAlign w:val="bottom"/>
          </w:tcPr>
          <w:p>
            <w:pPr>
              <w:jc w:val="right"/>
              <w:ind w:right="89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4462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444627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6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40" w:type="dxa"/>
            <w:vAlign w:val="bottom"/>
            <w:gridSpan w:val="2"/>
            <w:vMerge w:val="continue"/>
          </w:tcPr>
          <w:p>
            <w:pPr>
              <w:spacing w:after="0"/>
              <w:rPr>
                <w:sz w:val="12"/>
                <w:szCs w:val="12"/>
                <w:color w:val="auto"/>
              </w:rPr>
            </w:pPr>
          </w:p>
        </w:tc>
        <w:tc>
          <w:tcPr>
            <w:tcW w:w="5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gridSpan w:val="2"/>
          </w:tcPr>
          <w:p>
            <w:pPr>
              <w:jc w:val="center"/>
              <w:ind w:left="204"/>
              <w:spacing w:after="0" w:line="142"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2"/>
                <w:szCs w:val="12"/>
                <w:color w:val="auto"/>
              </w:rPr>
            </w:pPr>
          </w:p>
        </w:tc>
        <w:tc>
          <w:tcPr>
            <w:tcW w:w="5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580" w:type="dxa"/>
            <w:vAlign w:val="bottom"/>
          </w:tcPr>
          <w:p>
            <w:pPr>
              <w:jc w:val="right"/>
              <w:ind w:right="6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0"/>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outstanding:(1)</w:t>
            </w:r>
          </w:p>
        </w:tc>
        <w:tc>
          <w:tcPr>
            <w:tcW w:w="5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64"/>
        </w:trPr>
        <w:tc>
          <w:tcPr>
            <w:tcW w:w="684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560" w:type="dxa"/>
            <w:vAlign w:val="bottom"/>
          </w:tcPr>
          <w:p>
            <w:pPr>
              <w:jc w:val="right"/>
              <w:spacing w:after="0"/>
              <w:rPr>
                <w:sz w:val="20"/>
                <w:szCs w:val="20"/>
                <w:color w:val="auto"/>
              </w:rPr>
            </w:pPr>
            <w:r>
              <w:rPr>
                <w:rFonts w:ascii="Arial" w:cs="Arial" w:eastAsia="Arial" w:hAnsi="Arial"/>
                <w:sz w:val="18"/>
                <w:szCs w:val="18"/>
                <w:color w:val="auto"/>
              </w:rPr>
              <w:t>2,481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2,551</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2,632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w w:val="83"/>
              </w:rPr>
              <w:t>17,797</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360"/>
              <w:spacing w:after="0"/>
              <w:rPr>
                <w:sz w:val="20"/>
                <w:szCs w:val="20"/>
                <w:color w:val="auto"/>
              </w:rPr>
            </w:pPr>
            <w:r>
              <w:rPr>
                <w:rFonts w:ascii="Arial" w:cs="Arial" w:eastAsia="Arial" w:hAnsi="Arial"/>
                <w:sz w:val="18"/>
                <w:szCs w:val="18"/>
                <w:color w:val="auto"/>
              </w:rPr>
              <w:t>Diluted</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2"/>
            <w:vMerge w:val="continue"/>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28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3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28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3"/>
              </w:rPr>
              <w:t>17,797</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tcBorders>
              <w:bottom w:val="single" w:sz="8" w:color="auto"/>
            </w:tcBorders>
          </w:tcPr>
          <w:p>
            <w:pPr>
              <w:spacing w:after="0"/>
              <w:rPr>
                <w:sz w:val="11"/>
                <w:szCs w:val="11"/>
                <w:color w:val="auto"/>
              </w:rPr>
            </w:pPr>
          </w:p>
        </w:tc>
        <w:tc>
          <w:tcPr>
            <w:tcW w:w="3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120" w:hanging="424"/>
        <w:spacing w:after="0" w:line="264"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Note 2 to our audited consolidated financial statements incorporated by reference in this prospectus for an explanation of the method used to calculate basic and diluted net income (loss) per common share and the weighted-average number of shares used in the computation of the per share amounts.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jc w:val="center"/>
              <w:ind w:right="698"/>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June 30, 2017</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19"/>
        </w:trPr>
        <w:tc>
          <w:tcPr>
            <w:tcW w:w="6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20" w:type="dxa"/>
            <w:vAlign w:val="bottom"/>
          </w:tcPr>
          <w:p>
            <w:pPr>
              <w:spacing w:after="0"/>
              <w:rPr>
                <w:sz w:val="10"/>
                <w:szCs w:val="10"/>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Actual</w:t>
            </w:r>
          </w:p>
        </w:tc>
        <w:tc>
          <w:tcPr>
            <w:tcW w:w="1300" w:type="dxa"/>
            <w:vAlign w:val="bottom"/>
          </w:tcPr>
          <w:p>
            <w:pPr>
              <w:jc w:val="right"/>
              <w:ind w:right="298"/>
              <w:spacing w:after="0" w:line="119" w:lineRule="exact"/>
              <w:rPr>
                <w:sz w:val="20"/>
                <w:szCs w:val="20"/>
                <w:color w:val="auto"/>
              </w:rPr>
            </w:pPr>
            <w:r>
              <w:rPr>
                <w:rFonts w:ascii="Arial" w:cs="Arial" w:eastAsia="Arial" w:hAnsi="Arial"/>
                <w:sz w:val="13"/>
                <w:szCs w:val="13"/>
                <w:b w:val="1"/>
                <w:bCs w:val="1"/>
                <w:color w:val="auto"/>
              </w:rPr>
              <w:t>As</w:t>
            </w:r>
          </w:p>
        </w:tc>
        <w:tc>
          <w:tcPr>
            <w:tcW w:w="0" w:type="dxa"/>
            <w:vAlign w:val="bottom"/>
          </w:tcPr>
          <w:p>
            <w:pPr>
              <w:spacing w:after="0"/>
              <w:rPr>
                <w:sz w:val="1"/>
                <w:szCs w:val="1"/>
                <w:color w:val="auto"/>
              </w:rPr>
            </w:pPr>
          </w:p>
        </w:tc>
      </w:tr>
      <w:tr>
        <w:trPr>
          <w:trHeight w:val="171"/>
        </w:trPr>
        <w:tc>
          <w:tcPr>
            <w:tcW w:w="6280" w:type="dxa"/>
            <w:vAlign w:val="bottom"/>
            <w:vMerge w:val="continue"/>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Adjusted(1)(2)</w:t>
            </w:r>
          </w:p>
        </w:tc>
        <w:tc>
          <w:tcPr>
            <w:tcW w:w="0" w:type="dxa"/>
            <w:vAlign w:val="bottom"/>
          </w:tcPr>
          <w:p>
            <w:pPr>
              <w:spacing w:after="0"/>
              <w:rPr>
                <w:sz w:val="1"/>
                <w:szCs w:val="1"/>
                <w:color w:val="auto"/>
              </w:rPr>
            </w:pPr>
          </w:p>
        </w:tc>
      </w:tr>
      <w:tr>
        <w:trPr>
          <w:trHeight w:val="182"/>
        </w:trPr>
        <w:tc>
          <w:tcPr>
            <w:tcW w:w="6280" w:type="dxa"/>
            <w:vAlign w:val="bottom"/>
          </w:tcPr>
          <w:p>
            <w:pPr>
              <w:spacing w:after="0" w:line="182" w:lineRule="exact"/>
              <w:rPr>
                <w:sz w:val="20"/>
                <w:szCs w:val="20"/>
                <w:color w:val="auto"/>
              </w:rPr>
            </w:pPr>
            <w:r>
              <w:rPr>
                <w:rFonts w:ascii="Arial" w:cs="Arial" w:eastAsia="Arial" w:hAnsi="Arial"/>
                <w:sz w:val="18"/>
                <w:szCs w:val="18"/>
                <w:b w:val="1"/>
                <w:bCs w:val="1"/>
                <w:color w:val="auto"/>
              </w:rPr>
              <w:t>Consolidated Balance Sheet Data:</w:t>
            </w:r>
          </w:p>
        </w:tc>
        <w:tc>
          <w:tcPr>
            <w:tcW w:w="2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3400" w:type="dxa"/>
            <w:vAlign w:val="bottom"/>
            <w:gridSpan w:val="2"/>
          </w:tcPr>
          <w:p>
            <w:pPr>
              <w:jc w:val="right"/>
              <w:ind w:right="28"/>
              <w:spacing w:after="0"/>
              <w:rPr>
                <w:sz w:val="20"/>
                <w:szCs w:val="20"/>
                <w:color w:val="auto"/>
              </w:rPr>
            </w:pPr>
            <w:r>
              <w:rPr>
                <w:rFonts w:ascii="Arial" w:cs="Arial" w:eastAsia="Arial" w:hAnsi="Arial"/>
                <w:sz w:val="18"/>
                <w:szCs w:val="18"/>
                <w:color w:val="auto"/>
              </w:rPr>
              <w:t>$106,359</w:t>
            </w:r>
          </w:p>
        </w:tc>
        <w:tc>
          <w:tcPr>
            <w:tcW w:w="1300" w:type="dxa"/>
            <w:vAlign w:val="bottom"/>
          </w:tcPr>
          <w:p>
            <w:pPr>
              <w:jc w:val="right"/>
              <w:spacing w:after="0"/>
              <w:rPr>
                <w:sz w:val="20"/>
                <w:szCs w:val="20"/>
                <w:color w:val="auto"/>
              </w:rPr>
            </w:pPr>
            <w:r>
              <w:rPr>
                <w:rFonts w:ascii="Arial" w:cs="Arial" w:eastAsia="Arial" w:hAnsi="Arial"/>
                <w:sz w:val="18"/>
                <w:szCs w:val="18"/>
                <w:color w:val="auto"/>
              </w:rPr>
              <w:t>$   306,415</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Total assets</w:t>
            </w:r>
          </w:p>
        </w:tc>
        <w:tc>
          <w:tcPr>
            <w:tcW w:w="3400" w:type="dxa"/>
            <w:vAlign w:val="bottom"/>
            <w:gridSpan w:val="2"/>
          </w:tcPr>
          <w:p>
            <w:pPr>
              <w:jc w:val="right"/>
              <w:ind w:right="28"/>
              <w:spacing w:after="0"/>
              <w:rPr>
                <w:sz w:val="20"/>
                <w:szCs w:val="20"/>
                <w:color w:val="auto"/>
              </w:rPr>
            </w:pPr>
            <w:r>
              <w:rPr>
                <w:rFonts w:ascii="Arial" w:cs="Arial" w:eastAsia="Arial" w:hAnsi="Arial"/>
                <w:sz w:val="18"/>
                <w:szCs w:val="18"/>
                <w:color w:val="auto"/>
              </w:rPr>
              <w:t>130,409</w:t>
            </w:r>
          </w:p>
        </w:tc>
        <w:tc>
          <w:tcPr>
            <w:tcW w:w="1300" w:type="dxa"/>
            <w:vAlign w:val="bottom"/>
          </w:tcPr>
          <w:p>
            <w:pPr>
              <w:jc w:val="right"/>
              <w:spacing w:after="0"/>
              <w:rPr>
                <w:sz w:val="20"/>
                <w:szCs w:val="20"/>
                <w:color w:val="auto"/>
              </w:rPr>
            </w:pPr>
            <w:r>
              <w:rPr>
                <w:rFonts w:ascii="Arial" w:cs="Arial" w:eastAsia="Arial" w:hAnsi="Arial"/>
                <w:sz w:val="18"/>
                <w:szCs w:val="18"/>
                <w:color w:val="auto"/>
              </w:rPr>
              <w:t>330,465</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Notes payable, net of current portion</w:t>
            </w:r>
          </w:p>
        </w:tc>
        <w:tc>
          <w:tcPr>
            <w:tcW w:w="3400" w:type="dxa"/>
            <w:vAlign w:val="bottom"/>
            <w:gridSpan w:val="2"/>
          </w:tcPr>
          <w:p>
            <w:pPr>
              <w:jc w:val="right"/>
              <w:ind w:right="28"/>
              <w:spacing w:after="0"/>
              <w:rPr>
                <w:sz w:val="20"/>
                <w:szCs w:val="20"/>
                <w:color w:val="auto"/>
              </w:rPr>
            </w:pPr>
            <w:r>
              <w:rPr>
                <w:rFonts w:ascii="Arial" w:cs="Arial" w:eastAsia="Arial" w:hAnsi="Arial"/>
                <w:sz w:val="18"/>
                <w:szCs w:val="18"/>
                <w:color w:val="auto"/>
              </w:rPr>
              <w:t>10,987</w:t>
            </w:r>
          </w:p>
        </w:tc>
        <w:tc>
          <w:tcPr>
            <w:tcW w:w="1300" w:type="dxa"/>
            <w:vAlign w:val="bottom"/>
          </w:tcPr>
          <w:p>
            <w:pPr>
              <w:jc w:val="right"/>
              <w:spacing w:after="0"/>
              <w:rPr>
                <w:sz w:val="20"/>
                <w:szCs w:val="20"/>
                <w:color w:val="auto"/>
              </w:rPr>
            </w:pPr>
            <w:r>
              <w:rPr>
                <w:rFonts w:ascii="Arial" w:cs="Arial" w:eastAsia="Arial" w:hAnsi="Arial"/>
                <w:sz w:val="18"/>
                <w:szCs w:val="18"/>
                <w:color w:val="auto"/>
              </w:rPr>
              <w:t>10,987</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400" w:type="dxa"/>
            <w:vAlign w:val="bottom"/>
            <w:gridSpan w:val="2"/>
          </w:tcPr>
          <w:p>
            <w:pPr>
              <w:jc w:val="right"/>
              <w:ind w:right="28"/>
              <w:spacing w:after="0"/>
              <w:rPr>
                <w:sz w:val="20"/>
                <w:szCs w:val="20"/>
                <w:color w:val="auto"/>
              </w:rPr>
            </w:pPr>
            <w:r>
              <w:rPr>
                <w:rFonts w:ascii="Arial" w:cs="Arial" w:eastAsia="Arial" w:hAnsi="Arial"/>
                <w:sz w:val="18"/>
                <w:szCs w:val="18"/>
                <w:color w:val="auto"/>
              </w:rPr>
              <w:t>109,175</w:t>
            </w:r>
          </w:p>
        </w:tc>
        <w:tc>
          <w:tcPr>
            <w:tcW w:w="1300" w:type="dxa"/>
            <w:vAlign w:val="bottom"/>
          </w:tcPr>
          <w:p>
            <w:pPr>
              <w:jc w:val="right"/>
              <w:spacing w:after="0"/>
              <w:rPr>
                <w:sz w:val="20"/>
                <w:szCs w:val="20"/>
                <w:color w:val="auto"/>
              </w:rPr>
            </w:pPr>
            <w:r>
              <w:rPr>
                <w:rFonts w:ascii="Arial" w:cs="Arial" w:eastAsia="Arial" w:hAnsi="Arial"/>
                <w:sz w:val="18"/>
                <w:szCs w:val="18"/>
                <w:color w:val="auto"/>
              </w:rPr>
              <w:t>309,231</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620" w:right="80" w:hanging="424"/>
        <w:spacing w:after="0" w:line="288"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as adjusted balance sheet data give effect to the sale of 3,000,000 shares of common stock by us in this offering, based on an assumed public offering price of $70.41 per share, the last reported sale price of our common stock on The NASDAQ Global Select Market on October 10, 2017, after deducting the estimated underwriting discounts and commissions and estimated offering expenses payable by us.</w:t>
      </w:r>
    </w:p>
    <w:p>
      <w:pPr>
        <w:ind w:left="620" w:right="140" w:hanging="424"/>
        <w:spacing w:after="0" w:line="269"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Each $1.00 increase (decrease) in the assumed public offering price of $70.41 per share, the last reported sale price of our common stock on The NASDAQ Global Select Market on October 10, 2017, would increase (decrease) each of our as adjusted cash, cash equivalents, short-term investments, total assets and total stockholders’ equity by approximately $2.8 million, assuming that the number of shares offered by us remains the same and after deducting the estimated underwriting discounts and commissions. Similarly, each increase (decrease) of one million shares in the number of shares offered by us would increase (decrease) each of our as adjusted cash, cash equivalents, short-term investments, total assets and total stockholders’ equity by approximately $66.7 million, assuming the assumed public offering price remains the same and after deducting the estimated underwriting discounts and commissions.</w:t>
      </w: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described in Part II, Item 1A of our Quarterly Report on Form 10-Q for the period ended June 30, 2017 and Part I, Item 1A of our Annual Report on Form 10-K for the year ended December 31, 2016, together with all of the other information contained in or incorporated by reference into this prospectus. We cannot assure you that any of the events discussed herein or therein will not occur. These events could have a material and adverse impact on our business, results of operations, financial condition and cash flows. If that were to happen, the trading price of our common stock could decline, and you could lose all or part of your investment.</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this Offering</w:t>
      </w:r>
    </w:p>
    <w:p>
      <w:pPr>
        <w:spacing w:after="0" w:line="22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management will have broad discretion over the use of the proceeds we receive in this offering and might not apply the proceeds in ways that increase the value of your investment.</w:t>
      </w:r>
    </w:p>
    <w:p>
      <w:pPr>
        <w:spacing w:after="0" w:line="58" w:lineRule="exact"/>
        <w:rPr>
          <w:sz w:val="20"/>
          <w:szCs w:val="20"/>
          <w:color w:val="auto"/>
        </w:rPr>
      </w:pPr>
    </w:p>
    <w:p>
      <w:pPr>
        <w:ind w:right="200" w:firstLine="456"/>
        <w:spacing w:after="0" w:line="270" w:lineRule="auto"/>
        <w:rPr>
          <w:sz w:val="20"/>
          <w:szCs w:val="20"/>
          <w:color w:val="auto"/>
        </w:rPr>
      </w:pPr>
      <w:r>
        <w:rPr>
          <w:rFonts w:ascii="Arial" w:cs="Arial" w:eastAsia="Arial" w:hAnsi="Arial"/>
          <w:sz w:val="17"/>
          <w:szCs w:val="17"/>
          <w:color w:val="auto"/>
        </w:rPr>
        <w:t>Our management will have broad discretion to use the net proceeds from this offering, including for any of the purposes described in the section entitled “Use of Proceeds,” and you will be relying on the judgment of our management regarding the application of these proceeds. You will not have the opportunity to influence our decisions on how to use the proceeds, and we may not apply the net proceeds of this offering in ways that increase the value of your investment.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intend to invest the net proceeds from this offering in marketable securities that may include investment-grade interest-bearing securities, money market accounts, certificates of deposit, commercial paper and guaranteed obligations of the U.S. government.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purchase our common stock in this offering, you will incur immediate and substantial dilution in the book value of your shares.</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You will suffer immediate and substantial dilution in the net tangible book value of our common stock you purchase in this offering. Assuming a public offering price of $70.41 per share, the last reported sale price of our common stock on The NASDAQ Global Select Market on October 10, 2017, purchasers of common stock in this offering will experience immediate dilution of $57.13 per share in net tangible book value of our common stock. In the past, we issued options, warrants and other securities to acquire common stock at prices below the public offering price. To the extent these outstanding securities are ultimately exercised, or we issue equity or convertible debt securities in the future at a price less than the public offering price, investors purchasing common stock in this offering will sustain further dilution. See “Dilution” for a more detailed description of the dilution to new investors in the offering.</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This prospectus and the documents incorporated by reference into this prospectus, including the sections entitled “Prospectus Summary,” “Risk Factors,” “Use of Proceeds,” “Management’s Discussion and Analysis of Financial Condition and Results of Operations,” and “Business”, contains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7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forward-looking statements in this prospectus and the documents incorporated by reference into this prospectus include, among other things, statements about:</w:t>
      </w:r>
    </w:p>
    <w:p>
      <w:pPr>
        <w:spacing w:after="0" w:line="76"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30" w:lineRule="exact"/>
        <w:rPr>
          <w:rFonts w:ascii="Arial" w:cs="Arial" w:eastAsia="Arial" w:hAnsi="Arial"/>
          <w:sz w:val="18"/>
          <w:szCs w:val="18"/>
          <w:color w:val="auto"/>
        </w:rPr>
      </w:pPr>
    </w:p>
    <w:p>
      <w:pPr>
        <w:ind w:left="660" w:right="400" w:hanging="20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candidates ANB020 for patients with severe allergic and atopic diseases and ANB019 for patients with GPP and PPP;</w:t>
      </w:r>
    </w:p>
    <w:p>
      <w:pPr>
        <w:spacing w:after="0" w:line="75" w:lineRule="exact"/>
        <w:rPr>
          <w:rFonts w:ascii="Arial" w:cs="Arial" w:eastAsia="Arial" w:hAnsi="Arial"/>
          <w:sz w:val="18"/>
          <w:szCs w:val="18"/>
          <w:color w:val="auto"/>
        </w:rPr>
      </w:pPr>
    </w:p>
    <w:p>
      <w:pPr>
        <w:ind w:left="660" w:right="360" w:hanging="206"/>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likelihood that the clinical data generated in any study we are performing or plan to perform in a non-U.S. jurisdiction will be subsequently accepted by the FDA and its foreign regulatory authorities outside of the jurisdiction where the study was being performed;</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30" w:lineRule="exact"/>
        <w:rPr>
          <w:rFonts w:ascii="Arial" w:cs="Arial" w:eastAsia="Arial" w:hAnsi="Arial"/>
          <w:sz w:val="18"/>
          <w:szCs w:val="18"/>
          <w:color w:val="auto"/>
        </w:rPr>
      </w:pPr>
    </w:p>
    <w:p>
      <w:pPr>
        <w:ind w:left="660" w:right="40" w:hanging="206"/>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51" w:lineRule="exact"/>
        <w:rPr>
          <w:rFonts w:ascii="Arial" w:cs="Arial" w:eastAsia="Arial" w:hAnsi="Arial"/>
          <w:sz w:val="17"/>
          <w:szCs w:val="17"/>
          <w:color w:val="auto"/>
        </w:rPr>
      </w:pPr>
    </w:p>
    <w:p>
      <w:pPr>
        <w:ind w:left="660" w:hanging="20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ANB020 and ANB019 and our other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developments in the United States, the United Kingdom, Australia and other foreign countries;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130" w:lineRule="exact"/>
        <w:rPr>
          <w:rFonts w:ascii="Arial" w:cs="Arial" w:eastAsia="Arial" w:hAnsi="Arial"/>
          <w:sz w:val="18"/>
          <w:szCs w:val="18"/>
          <w:color w:val="auto"/>
        </w:rPr>
      </w:pPr>
    </w:p>
    <w:p>
      <w:pPr>
        <w:ind w:left="660" w:right="460" w:hanging="20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or incorporated by reference in “Risk Factors” and elsewhere in this prospectus.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7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17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You should read this prospectus, the documents incorporated by reference into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Unless otherwise indicated, information contained in or incorporated by reference into this prospectus concerning our industry and the markets in which we operate, including our general expectations and market position, market opportunity, and market size, is based on information from various sources and on assumptions that we have made that are based on those data and other similar sources and on our knowledge of the markets for our products. This information involves a number of assumptions and limitations, and you are cautioned not to give undue weight to such estimates. While we believe the market position, market opportunity and market size information included in or incorporated by reference into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in the documents incorporated by reference into this prospectus. These and other factors could cause results to differ materially from those expressed in the estimates made by the independent parties and by us.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estimate that the net proceeds from our sale of 3,000,000 shares of common stock in this offering at an assumed public offering price of $70.41 per share, the last reported sale price of our common stock on The NASDAQ Global Select Market on October 10, 2017, after deducting the estimated underwriting discounts and commissions and estimated offering expenses payable by us, will be approximately $200.1 million, or $230.1 million if the underwriters exercise their option to purchase additional shares in full.</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 $1.00 increase (decrease) in the assumed public offering price would increase (decrease) the net proceeds to us from this offering by $2.8 million, assuming the number of shares offered by us, remains the same, and after deducting the estimated underwriting discounts and commissions. Similarly, each increase or decrease of one million in the number of shares of common stock offered by us would increase (decrease) the net proceeds that we receive from this offering by $66.7 million, assuming that the assumed public offering price remains the same and after deducting the estimated underwriting discounts and commissions and estimated offering expenses payable by us.</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currently intend to use the net proceeds we receive from this offering, together with our existing cash, cash equivalents and investments, to fund research and development activities for our clinical development programs, including, but not limited to, our ongoing and planned clinical trials for ANB020 and ANB019, including related manufacturing costs, and our ongoing preclinical, discovery and research programs, and for working capital and other general corporate purposes.</w:t>
      </w:r>
    </w:p>
    <w:p>
      <w:pPr>
        <w:spacing w:after="0" w:line="187"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Based on our planned use of the net proceeds, we estimate such funds, together with our existing cash, cash equivalents and investments, will be sufficient for us to fund our operating expenses and capital expenditure requirements through at least the next 24 months.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expected use of the net proceeds from this offering represents our intentions based upon our current plans and business conditions. As of the date of this prospectus, we cannot predict with any certainty all of the particular uses for the net proceeds or the amounts that we will actually spend on the uses set forth above. We may use a portion of the net proceeds for the acquisition of, or investment in, technologies, solutions or businesses that complement our business, although we have no present commitments or agreements to do so.</w:t>
      </w:r>
    </w:p>
    <w:p>
      <w:pPr>
        <w:spacing w:after="0" w:line="187"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The amounts and timing of our clinical expenditures and the extent of clinical development may vary significantly depending on numerous factors, including the status, results and timing of our current and planned preclinical studies and clinical trials, product approval process with the FDA and other regulatory agencies, our current collaborations and any new collaborations we may enter into with third parties and any unforeseen cash needs. As a result, our management will retain broad discretion over the allocation of the net proceeds from this offering.</w:t>
      </w:r>
    </w:p>
    <w:p>
      <w:pPr>
        <w:spacing w:after="0" w:line="171"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47"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Pending their use as described above, we intend to invest the net proceeds from this offering in short term and long-term, investment-grade interest-bearing securities such as money market accounts, certificates of deposit, commercial paper and guaranteed obligations of the U.S. government.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MARKET PRICE OF OUR COMMON STOCK</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common stock has been listed on The NASDAQ Global Select Market under the symbol “ANAB” since January 25, 2017. Prior to that date, there was no public trading market for our common stock. The following table sets forth for the periods indicated the high and low sale prices per share of our common stock as reported on The NASDAQ Global Select Market for the periods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Fiscal Year 2017</w:t>
            </w:r>
          </w:p>
        </w:tc>
        <w:tc>
          <w:tcPr>
            <w:tcW w:w="344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High</w:t>
            </w:r>
          </w:p>
        </w:tc>
        <w:tc>
          <w:tcPr>
            <w:tcW w:w="1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182"/>
        </w:trPr>
        <w:tc>
          <w:tcPr>
            <w:tcW w:w="6540" w:type="dxa"/>
            <w:vAlign w:val="bottom"/>
            <w:vMerge w:val="continue"/>
          </w:tcPr>
          <w:p>
            <w:pPr>
              <w:spacing w:after="0"/>
              <w:rPr>
                <w:sz w:val="15"/>
                <w:szCs w:val="15"/>
                <w:color w:val="auto"/>
              </w:rPr>
            </w:pPr>
          </w:p>
        </w:tc>
        <w:tc>
          <w:tcPr>
            <w:tcW w:w="34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First Quarter (beginning January 25, 2017)</w:t>
            </w:r>
          </w:p>
        </w:tc>
        <w:tc>
          <w:tcPr>
            <w:tcW w:w="4140" w:type="dxa"/>
            <w:vAlign w:val="bottom"/>
            <w:gridSpan w:val="3"/>
          </w:tcPr>
          <w:p>
            <w:pPr>
              <w:jc w:val="center"/>
              <w:ind w:left="3150"/>
              <w:spacing w:after="0"/>
              <w:rPr>
                <w:sz w:val="20"/>
                <w:szCs w:val="20"/>
                <w:color w:val="auto"/>
              </w:rPr>
            </w:pPr>
            <w:r>
              <w:rPr>
                <w:rFonts w:ascii="Arial" w:cs="Arial" w:eastAsia="Arial" w:hAnsi="Arial"/>
                <w:sz w:val="18"/>
                <w:szCs w:val="18"/>
                <w:color w:val="auto"/>
                <w:w w:val="90"/>
              </w:rPr>
              <w:t>$29.96</w:t>
            </w:r>
          </w:p>
        </w:tc>
        <w:tc>
          <w:tcPr>
            <w:tcW w:w="6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$15.17</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Second Quarter</w:t>
            </w:r>
          </w:p>
        </w:tc>
        <w:tc>
          <w:tcPr>
            <w:tcW w:w="4140" w:type="dxa"/>
            <w:vAlign w:val="bottom"/>
            <w:gridSpan w:val="3"/>
          </w:tcPr>
          <w:p>
            <w:pPr>
              <w:jc w:val="center"/>
              <w:ind w:left="3150"/>
              <w:spacing w:after="0"/>
              <w:rPr>
                <w:sz w:val="20"/>
                <w:szCs w:val="20"/>
                <w:color w:val="auto"/>
              </w:rPr>
            </w:pPr>
            <w:r>
              <w:rPr>
                <w:rFonts w:ascii="Arial" w:cs="Arial" w:eastAsia="Arial" w:hAnsi="Arial"/>
                <w:sz w:val="18"/>
                <w:szCs w:val="18"/>
                <w:color w:val="auto"/>
                <w:w w:val="90"/>
              </w:rPr>
              <w:t>$28.40</w:t>
            </w:r>
          </w:p>
        </w:tc>
        <w:tc>
          <w:tcPr>
            <w:tcW w:w="6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$18.15</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Third Quarter</w:t>
            </w:r>
          </w:p>
        </w:tc>
        <w:tc>
          <w:tcPr>
            <w:tcW w:w="4140" w:type="dxa"/>
            <w:vAlign w:val="bottom"/>
            <w:gridSpan w:val="3"/>
          </w:tcPr>
          <w:p>
            <w:pPr>
              <w:jc w:val="center"/>
              <w:ind w:left="3150"/>
              <w:spacing w:after="0"/>
              <w:rPr>
                <w:sz w:val="20"/>
                <w:szCs w:val="20"/>
                <w:color w:val="auto"/>
              </w:rPr>
            </w:pPr>
            <w:r>
              <w:rPr>
                <w:rFonts w:ascii="Arial" w:cs="Arial" w:eastAsia="Arial" w:hAnsi="Arial"/>
                <w:sz w:val="18"/>
                <w:szCs w:val="18"/>
                <w:color w:val="auto"/>
                <w:w w:val="90"/>
              </w:rPr>
              <w:t>$37.62</w:t>
            </w:r>
          </w:p>
        </w:tc>
        <w:tc>
          <w:tcPr>
            <w:tcW w:w="6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$20.12</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Fourth Quarter (through October 10, 2017)</w:t>
            </w:r>
          </w:p>
        </w:tc>
        <w:tc>
          <w:tcPr>
            <w:tcW w:w="4140" w:type="dxa"/>
            <w:vAlign w:val="bottom"/>
            <w:gridSpan w:val="3"/>
          </w:tcPr>
          <w:p>
            <w:pPr>
              <w:jc w:val="center"/>
              <w:ind w:left="3150"/>
              <w:spacing w:after="0"/>
              <w:rPr>
                <w:sz w:val="20"/>
                <w:szCs w:val="20"/>
                <w:color w:val="auto"/>
              </w:rPr>
            </w:pPr>
            <w:r>
              <w:rPr>
                <w:rFonts w:ascii="Arial" w:cs="Arial" w:eastAsia="Arial" w:hAnsi="Arial"/>
                <w:sz w:val="18"/>
                <w:szCs w:val="18"/>
                <w:color w:val="auto"/>
                <w:w w:val="90"/>
              </w:rPr>
              <w:t>$70.48</w:t>
            </w:r>
          </w:p>
        </w:tc>
        <w:tc>
          <w:tcPr>
            <w:tcW w:w="6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$34.56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On October 10, 2017, the last reported sale price of our common stock on The NASDAQ Global Select Market was $70.41 per share. As of June 30, 2017, we had 95 registered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under the terms of our current credit facility, we are prohibited from paying cash dividends without the consent of Silicon Valley Bank.</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cash equivalents and short-term investments and capitalization as of June 30, 2017 on:</w:t>
      </w:r>
    </w:p>
    <w:p>
      <w:pPr>
        <w:spacing w:after="0" w:line="131"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actual basis; and</w:t>
      </w:r>
    </w:p>
    <w:p>
      <w:pPr>
        <w:spacing w:after="0" w:line="130" w:lineRule="exact"/>
        <w:rPr>
          <w:rFonts w:ascii="Arial" w:cs="Arial" w:eastAsia="Arial" w:hAnsi="Arial"/>
          <w:sz w:val="18"/>
          <w:szCs w:val="18"/>
          <w:color w:val="auto"/>
        </w:rPr>
      </w:pPr>
    </w:p>
    <w:p>
      <w:pPr>
        <w:jc w:val="both"/>
        <w:ind w:left="660" w:right="100" w:hanging="206"/>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as adjusted basis, giving effect to the sale of 3,000,000 shares of common stock by us in this offering, based on an assumed public offering price of $70.41 October 10, 2017, after deducting the estimated underwriting discounts and commissions and estimated offering expenses payable by us.</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as adjusted information set forth in the table below is illustrative only and will be adjusted based on the actual public offering price and other terms of this offering determined at pricing.</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You should read this table together with “Management’s Discussion and Analysis of Financial Condition and Results of Operations” and our audited and unaudited consolidated financial statements and related notes incorporated by reference into this prospectus.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1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0"/>
              </w:rPr>
              <w:t>As of June 30, 2017</w:t>
            </w:r>
          </w:p>
        </w:tc>
        <w:tc>
          <w:tcPr>
            <w:tcW w:w="0" w:type="dxa"/>
            <w:vAlign w:val="bottom"/>
          </w:tcPr>
          <w:p>
            <w:pPr>
              <w:spacing w:after="0"/>
              <w:rPr>
                <w:sz w:val="1"/>
                <w:szCs w:val="1"/>
                <w:color w:val="auto"/>
              </w:rPr>
            </w:pPr>
          </w:p>
        </w:tc>
      </w:tr>
      <w:tr>
        <w:trPr>
          <w:trHeight w:val="171"/>
        </w:trPr>
        <w:tc>
          <w:tcPr>
            <w:tcW w:w="9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par value data)</w:t>
            </w: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3"/>
          </w:tcPr>
          <w:p>
            <w:pPr>
              <w:jc w:val="right"/>
              <w:ind w:right="628"/>
              <w:spacing w:after="0" w:line="142" w:lineRule="exact"/>
              <w:rPr>
                <w:sz w:val="20"/>
                <w:szCs w:val="20"/>
                <w:color w:val="auto"/>
              </w:rPr>
            </w:pPr>
            <w:r>
              <w:rPr>
                <w:rFonts w:ascii="Arial" w:cs="Arial" w:eastAsia="Arial" w:hAnsi="Arial"/>
                <w:sz w:val="14"/>
                <w:szCs w:val="14"/>
                <w:b w:val="1"/>
                <w:bCs w:val="1"/>
                <w:color w:val="auto"/>
              </w:rPr>
              <w:t>Actual</w:t>
            </w: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As Adjusted(1)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16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106,359</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306,415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color w:val="auto"/>
              </w:rPr>
              <w:t>Notes payable, net of current portion</w:t>
            </w:r>
          </w:p>
        </w:tc>
        <w:tc>
          <w:tcPr>
            <w:tcW w:w="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1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10,987</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10,987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Deferred rent, net of current portion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ind w:left="360"/>
              <w:spacing w:after="0"/>
              <w:rPr>
                <w:sz w:val="20"/>
                <w:szCs w:val="20"/>
                <w:color w:val="auto"/>
              </w:rPr>
            </w:pPr>
            <w:r>
              <w:rPr>
                <w:rFonts w:ascii="Arial" w:cs="Arial" w:eastAsia="Arial" w:hAnsi="Arial"/>
                <w:sz w:val="18"/>
                <w:szCs w:val="18"/>
                <w:color w:val="auto"/>
                <w:w w:val="97"/>
              </w:rPr>
              <w:t>Preferred Stock, $0.001 par value; 10,000,000 shares authorized, no shares issued or outstanding, actual and as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ind w:left="540"/>
              <w:spacing w:after="0"/>
              <w:rPr>
                <w:sz w:val="20"/>
                <w:szCs w:val="20"/>
                <w:color w:val="auto"/>
              </w:rPr>
            </w:pPr>
            <w:r>
              <w:rPr>
                <w:rFonts w:ascii="Arial" w:cs="Arial" w:eastAsia="Arial" w:hAnsi="Arial"/>
                <w:sz w:val="18"/>
                <w:szCs w:val="18"/>
                <w:color w:val="auto"/>
              </w:rPr>
              <w:t>adjusted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jc w:val="right"/>
              <w:ind w:right="56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60" w:type="dxa"/>
            <w:vAlign w:val="bottom"/>
            <w:gridSpan w:val="2"/>
          </w:tcPr>
          <w:p>
            <w:pPr>
              <w:ind w:left="360"/>
              <w:spacing w:after="0"/>
              <w:rPr>
                <w:sz w:val="20"/>
                <w:szCs w:val="20"/>
                <w:color w:val="auto"/>
              </w:rPr>
            </w:pPr>
            <w:r>
              <w:rPr>
                <w:rFonts w:ascii="Arial" w:cs="Arial" w:eastAsia="Arial" w:hAnsi="Arial"/>
                <w:sz w:val="18"/>
                <w:szCs w:val="18"/>
                <w:color w:val="auto"/>
                <w:w w:val="93"/>
              </w:rPr>
              <w:t>Common stock, $0.001 par value; 500,000,000 shares authorized, 20,289,907 shares issued and outstanding, actual;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ind w:left="540"/>
              <w:spacing w:after="0"/>
              <w:rPr>
                <w:sz w:val="20"/>
                <w:szCs w:val="20"/>
                <w:color w:val="auto"/>
              </w:rPr>
            </w:pPr>
            <w:r>
              <w:rPr>
                <w:rFonts w:ascii="Arial" w:cs="Arial" w:eastAsia="Arial" w:hAnsi="Arial"/>
                <w:sz w:val="18"/>
                <w:szCs w:val="18"/>
                <w:color w:val="auto"/>
              </w:rPr>
              <w:t>500,000,000 shares authorized, 23,289,907 shares issued and outstanding, as adjusted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160" w:type="dxa"/>
            <w:vAlign w:val="bottom"/>
            <w:gridSpan w:val="2"/>
          </w:tcPr>
          <w:p>
            <w:pPr>
              <w:ind w:left="360"/>
              <w:spacing w:after="0"/>
              <w:rPr>
                <w:sz w:val="20"/>
                <w:szCs w:val="20"/>
                <w:color w:val="auto"/>
              </w:rPr>
            </w:pPr>
            <w:r>
              <w:rPr>
                <w:rFonts w:ascii="Arial" w:cs="Arial" w:eastAsia="Arial" w:hAnsi="Arial"/>
                <w:sz w:val="18"/>
                <w:szCs w:val="18"/>
                <w:color w:val="auto"/>
              </w:rPr>
              <w:t>Additional paid 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178,297</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378,350</w:t>
            </w:r>
          </w:p>
        </w:tc>
        <w:tc>
          <w:tcPr>
            <w:tcW w:w="0" w:type="dxa"/>
            <w:vAlign w:val="bottom"/>
          </w:tcPr>
          <w:p>
            <w:pPr>
              <w:spacing w:after="0"/>
              <w:rPr>
                <w:sz w:val="1"/>
                <w:szCs w:val="1"/>
                <w:color w:val="auto"/>
              </w:rPr>
            </w:pPr>
          </w:p>
        </w:tc>
      </w:tr>
      <w:tr>
        <w:trPr>
          <w:trHeight w:val="216"/>
        </w:trPr>
        <w:tc>
          <w:tcPr>
            <w:tcW w:w="916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3"/>
          </w:tcPr>
          <w:p>
            <w:pPr>
              <w:jc w:val="right"/>
              <w:ind w:right="428"/>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916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gridSpan w:val="3"/>
          </w:tcPr>
          <w:p>
            <w:pPr>
              <w:jc w:val="right"/>
              <w:ind w:right="428"/>
              <w:spacing w:after="0"/>
              <w:rPr>
                <w:sz w:val="20"/>
                <w:szCs w:val="20"/>
                <w:color w:val="auto"/>
              </w:rPr>
            </w:pPr>
            <w:r>
              <w:rPr>
                <w:rFonts w:ascii="Arial" w:cs="Arial" w:eastAsia="Arial" w:hAnsi="Arial"/>
                <w:sz w:val="18"/>
                <w:szCs w:val="18"/>
                <w:color w:val="auto"/>
                <w:w w:val="95"/>
              </w:rPr>
              <w:t>(69,083)</w:t>
            </w:r>
          </w:p>
        </w:tc>
        <w:tc>
          <w:tcPr>
            <w:tcW w:w="2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(69,083)</w:t>
            </w:r>
          </w:p>
        </w:tc>
        <w:tc>
          <w:tcPr>
            <w:tcW w:w="0" w:type="dxa"/>
            <w:vAlign w:val="bottom"/>
          </w:tcPr>
          <w:p>
            <w:pPr>
              <w:spacing w:after="0"/>
              <w:rPr>
                <w:sz w:val="1"/>
                <w:szCs w:val="1"/>
                <w:color w:val="auto"/>
              </w:rPr>
            </w:pPr>
          </w:p>
        </w:tc>
      </w:tr>
      <w:tr>
        <w:trPr>
          <w:trHeight w:val="230"/>
        </w:trPr>
        <w:tc>
          <w:tcPr>
            <w:tcW w:w="9160" w:type="dxa"/>
            <w:vAlign w:val="bottom"/>
            <w:gridSpan w:val="2"/>
          </w:tcPr>
          <w:p>
            <w:pPr>
              <w:ind w:left="720"/>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109,175</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309,231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160" w:type="dxa"/>
            <w:vAlign w:val="bottom"/>
            <w:gridSpan w:val="2"/>
          </w:tcPr>
          <w:p>
            <w:pPr>
              <w:ind w:left="108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120,330</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320,386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80" w:type="dxa"/>
            <w:vAlign w:val="bottom"/>
            <w:tcBorders>
              <w:bottom w:val="single" w:sz="8" w:color="auto"/>
            </w:tcBorders>
          </w:tcPr>
          <w:p>
            <w:pPr>
              <w:spacing w:after="0"/>
              <w:rPr>
                <w:sz w:val="11"/>
                <w:szCs w:val="11"/>
                <w:color w:val="auto"/>
              </w:rPr>
            </w:pPr>
          </w:p>
        </w:tc>
        <w:tc>
          <w:tcPr>
            <w:tcW w:w="6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00" w:hanging="452"/>
        <w:spacing w:after="0" w:line="272"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Each $1.00 increase (decrease) in the assumed offering price of $70.41 per share, the last reported sale price of our common stock on The NASDAQ Global Select Market on October 10, 2017, would increase (decrease) each of our as adjusted cash, cash equivalents and short-term investments, additional paid-in capital, total stockholders’ equity and total capitalization by approximately $2.8 million, assuming that the number of shares offered by us remains the same and after deducting estimated underwriting discounts and commissions. Similarly, each increase (decrease) of one million shares in the number of shares offered by us would increase (decrease) each of our as adjusted cash, cash equivalents and short-term investments, additional paid-in capital, total stockholders’ equity and total capitalization by approximately $66.7 million, assuming the assumed offering price remains the same and after deducting the estimated underwriting discounts and commissions.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to be outstanding after this offering is based on 20,289,907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excludes:</w:t>
      </w:r>
    </w:p>
    <w:p>
      <w:pPr>
        <w:spacing w:after="0" w:line="116" w:lineRule="exact"/>
        <w:rPr>
          <w:sz w:val="20"/>
          <w:szCs w:val="20"/>
          <w:color w:val="auto"/>
        </w:rPr>
      </w:pPr>
    </w:p>
    <w:p>
      <w:pPr>
        <w:ind w:left="660" w:right="80" w:hanging="206"/>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2,643,180 shares of common stock issuable upon the exercise of options outstanding as of June 30, 2017, with a weighted-average exercise price of $10.62 per share;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40" w:hanging="206"/>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96,965 shares of common stock issuable upon the exercise of options granted after June 30, 2017, with a weighted-average exercise price of $26.77 per share;</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198,009 shares of our common stock issuable upon exercise of warrants for shares of common stock that were outstanding as of June 30, 2017, with an exercise price of $4.55 per share; and</w:t>
      </w:r>
    </w:p>
    <w:p>
      <w:pPr>
        <w:spacing w:after="0" w:line="75" w:lineRule="exact"/>
        <w:rPr>
          <w:rFonts w:ascii="Arial" w:cs="Arial" w:eastAsia="Arial" w:hAnsi="Arial"/>
          <w:sz w:val="18"/>
          <w:szCs w:val="18"/>
          <w:color w:val="auto"/>
        </w:rPr>
      </w:pPr>
    </w:p>
    <w:p>
      <w:pPr>
        <w:ind w:left="660" w:right="60" w:hanging="206"/>
        <w:spacing w:after="0" w:line="273"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1,462,014 shares of common stock reserved for future issuance under our stock-based compensation plans, consisting of (a) 1,244,014 shares of common stock reserved for future issuance under our 2017 Equity Incentive Plan and (b) 218,000 shares of common stock reserved for future issuance under our 2017 Employee Stock Purchase Plan. Our 2017 Equity Incentive Plan and 2017 Employee Stock Purchase Plan also provide for automatic annual increases in the number of shares reserved under the plans each year, as more fully described in the section “Executive Compensation—Employee Benefit and Stock Plans” of our Quarterly Report on Form 10-Q for the period ended June 30, 2017 and our Annual Report on Form 10-K for the year ended December 31, 2016.</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If you invest in our common stock, your interest will be diluted to the extent of the difference between the amount per share paid by purchasers of shares of common stock in this offering and the as adjusted net tangible book value per share of common stock immediately after this offering.</w:t>
      </w:r>
    </w:p>
    <w:p>
      <w:pPr>
        <w:spacing w:after="0" w:line="12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of June 30, 2017, our net tangible book value was approximately $109.2 million, or $5.38 per share of common stock. Our net tangible book value per share represents the amount of our total tangible assets reduced by the amount of our total liabilities and divided by the total number of shares of our common stock outstanding as of June 30, 2017.</w:t>
      </w:r>
    </w:p>
    <w:p>
      <w:pPr>
        <w:spacing w:after="0" w:line="18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After giving effect to our sale in this offering of 3,000,000 shares of our common stock at an assumed offering price of $70.41 per share, the last reported sale price of our common stock on The NASDAQ Global Select Market on October 10, 2017, and after deducting the estimated underwriting discounts and commissions and estimated offering expenses payable by us, our net tangible book value as of June 30, 2017 would have been approximately $309.2 million, or $13.28 per share of common stock. This represents an immediate increase in net tangible book value of $7.90 per share to our existing stockholders and an immediate dilution of $57.13 per share to investors purchasing shares in this offering,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Assumed offering price per share</w:t>
            </w:r>
          </w:p>
        </w:tc>
        <w:tc>
          <w:tcPr>
            <w:tcW w:w="1320" w:type="dxa"/>
            <w:vAlign w:val="bottom"/>
            <w:gridSpan w:val="5"/>
          </w:tcPr>
          <w:p>
            <w:pPr>
              <w:jc w:val="right"/>
              <w:ind w:right="20"/>
              <w:spacing w:after="0"/>
              <w:rPr>
                <w:sz w:val="20"/>
                <w:szCs w:val="20"/>
                <w:color w:val="auto"/>
              </w:rPr>
            </w:pPr>
            <w:r>
              <w:rPr>
                <w:rFonts w:ascii="Arial" w:cs="Arial" w:eastAsia="Arial" w:hAnsi="Arial"/>
                <w:sz w:val="18"/>
                <w:szCs w:val="18"/>
                <w:color w:val="auto"/>
              </w:rPr>
              <w:t>$70.41</w:t>
            </w:r>
          </w:p>
        </w:tc>
      </w:tr>
      <w:tr>
        <w:trPr>
          <w:trHeight w:val="216"/>
        </w:trPr>
        <w:tc>
          <w:tcPr>
            <w:tcW w:w="1006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 June 30, 2017</w:t>
            </w:r>
          </w:p>
        </w:tc>
        <w:tc>
          <w:tcPr>
            <w:tcW w:w="800" w:type="dxa"/>
            <w:vAlign w:val="bottom"/>
            <w:gridSpan w:val="2"/>
          </w:tcPr>
          <w:p>
            <w:pPr>
              <w:jc w:val="right"/>
              <w:ind w:right="290"/>
              <w:spacing w:after="0"/>
              <w:rPr>
                <w:sz w:val="20"/>
                <w:szCs w:val="20"/>
                <w:color w:val="auto"/>
              </w:rPr>
            </w:pPr>
            <w:r>
              <w:rPr>
                <w:rFonts w:ascii="Arial" w:cs="Arial" w:eastAsia="Arial" w:hAnsi="Arial"/>
                <w:sz w:val="18"/>
                <w:szCs w:val="18"/>
                <w:color w:val="auto"/>
                <w:w w:val="88"/>
              </w:rPr>
              <w:t>$5.38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0060" w:type="dxa"/>
            <w:vAlign w:val="bottom"/>
          </w:tcPr>
          <w:p>
            <w:pPr>
              <w:ind w:left="360"/>
              <w:spacing w:after="0"/>
              <w:rPr>
                <w:sz w:val="20"/>
                <w:szCs w:val="20"/>
                <w:color w:val="auto"/>
              </w:rPr>
            </w:pPr>
            <w:r>
              <w:rPr>
                <w:rFonts w:ascii="Arial" w:cs="Arial" w:eastAsia="Arial" w:hAnsi="Arial"/>
                <w:sz w:val="18"/>
                <w:szCs w:val="18"/>
                <w:color w:val="auto"/>
              </w:rPr>
              <w:t>Increase in net tangible book value per share attributable to new investors</w:t>
            </w:r>
          </w:p>
        </w:tc>
        <w:tc>
          <w:tcPr>
            <w:tcW w:w="800" w:type="dxa"/>
            <w:vAlign w:val="bottom"/>
            <w:gridSpan w:val="2"/>
          </w:tcPr>
          <w:p>
            <w:pPr>
              <w:jc w:val="right"/>
              <w:ind w:right="290"/>
              <w:spacing w:after="0"/>
              <w:rPr>
                <w:sz w:val="20"/>
                <w:szCs w:val="20"/>
                <w:color w:val="auto"/>
              </w:rPr>
            </w:pPr>
            <w:r>
              <w:rPr>
                <w:rFonts w:ascii="Arial" w:cs="Arial" w:eastAsia="Arial" w:hAnsi="Arial"/>
                <w:sz w:val="18"/>
                <w:szCs w:val="18"/>
                <w:color w:val="auto"/>
              </w:rPr>
              <w:t>7.90</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420" w:type="dxa"/>
            <w:vAlign w:val="bottom"/>
            <w:tcBorders>
              <w:top w:val="single" w:sz="8" w:color="auto"/>
            </w:tcBorders>
          </w:tcPr>
          <w:p>
            <w:pPr>
              <w:spacing w:after="0"/>
              <w:rPr>
                <w:sz w:val="19"/>
                <w:szCs w:val="19"/>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13.28</w:t>
            </w: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Dilution per share to investors in this offering</w:t>
            </w:r>
          </w:p>
        </w:tc>
        <w:tc>
          <w:tcPr>
            <w:tcW w:w="8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57.13</w:t>
            </w:r>
          </w:p>
        </w:tc>
        <w:tc>
          <w:tcPr>
            <w:tcW w:w="20" w:type="dxa"/>
            <w:vAlign w:val="bottom"/>
            <w:tcBorders>
              <w:bottom w:val="single" w:sz="8" w:color="auto"/>
            </w:tcBorders>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 $1.00 increase (decrease) in the assumed public offering price of $70.41 per share, the last reported sale price of our common stock on The NASDAQ Global Select Market on October 10, 2017, would increase (decrease) our net tangible book value, as adjusted to give effect to this offering, by $0.12 per share and the dilution in as adjusted net tangible book value per share to new investors in this offering by $0.88 per share, assuming the number of shares offered by us, as set forth on the cover page of this prospectus, remains the same, and after deducting the estimated underwriting discounts and commissions and estimated offering expenses payable by us. Similarly, each increase of one million shares in the number of shares offered by us in this offering would increase our as adjusted net tangible book value per share, and decrease the dilution per share to investors in this offering, by $2.20 per share. Each decrease of one million shares in the number of shares offered by us would decrease our as adjusted net tangible book value per share, and increase the dilution per share to investors in this offering, by $2.40 per share.</w:t>
      </w:r>
    </w:p>
    <w:p>
      <w:pPr>
        <w:spacing w:after="0" w:line="179"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If the underwriters exercise their option in full to purchase additional shares, the net tangible book value per share of our common stock after giving effect to this offering would be $14.29 per share, and the dilution in net tangible book value per share to investors in this offering would be $56.12 per share.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to be outstanding after this offering is based on 20,289,907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excludes:</w:t>
      </w:r>
    </w:p>
    <w:p>
      <w:pPr>
        <w:spacing w:after="0" w:line="116" w:lineRule="exact"/>
        <w:rPr>
          <w:sz w:val="20"/>
          <w:szCs w:val="20"/>
          <w:color w:val="auto"/>
        </w:rPr>
      </w:pPr>
    </w:p>
    <w:p>
      <w:pPr>
        <w:ind w:left="660" w:right="60" w:hanging="206"/>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2,643,180 shares of common stock issuable upon the exercise of options outstanding as of June 30, 2017, with a weighted-average exercise price of $10.62 per share;</w:t>
      </w:r>
    </w:p>
    <w:p>
      <w:pPr>
        <w:spacing w:after="0" w:line="75"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96,965 shares of common stock issuable upon the exercise of options granted after June 30, 2017, with a weighted-average exercise price of $26.77 per share;</w:t>
      </w:r>
    </w:p>
    <w:p>
      <w:pPr>
        <w:spacing w:after="0" w:line="75"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198,009 shares of our common stock issuable upon exercise of warrants for shares of common stock that were outstanding as of June 30, 2017, with an exercise price of $4.55 per share;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00" w:hanging="206"/>
        <w:spacing w:after="0" w:line="273"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1,462,014 shares of common stock reserved for future issuance under our stock-based compensation plans, consisting of (a) 1,244,014 shares of common stock reserved for future issuance under our 2017 Equity Incentive Plan and (b) 218,000 shares of common stock reserved for future issuance under our 2017 Employee Stock Purchase Plan. Our 2017 Equity Incentive Plan and 2017 Employee Stock Purchase Plan also provide for automatic annual increases in the number of shares reserved under the plans each year, as more fully described in the section “Executive Compensation—Employee Benefit and Stock Plans” of our Quarterly Report on Form 10-Q for the period ended June 30, 2017 and our Annual Report on Form 10-K for the year ended December 31, 2016.</w:t>
      </w:r>
    </w:p>
    <w:p>
      <w:pPr>
        <w:spacing w:after="0" w:line="17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To the extent that options or warrants outstanding as of June 30, 2017 have been or may be exercised, or we issue new options or warrants,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describe below transactions and series of similar transactions since January 1, 2014 to which we were a party or will be a party, in which:</w:t>
      </w:r>
    </w:p>
    <w:p>
      <w:pPr>
        <w:spacing w:after="0" w:line="142"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660" w:right="380" w:hanging="206"/>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or any member of the immediate family of the foregoing persons, had or will have a direct or indirect material interest.</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to which we have been or will be a party other than compensation arrangements, which are described where required under the section entitled “Executive Compensation” in our Annual Report on Form 10-K for the year ended December 31, 2016.</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Equity Financings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Series C-1 Preferred Stock Financing</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April 2014, we issued an aggregate of 474,001 shares of our Series C-1 convertible preferred stock at a purchase price of $4.55 per share, in exchange for the cancellation of secured convertible promissory notes originally issued in July 2013, which as of April 2014 had an aggregate principal and unpaid interest of $2.2 million.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summarizes the Series C-1 convertible preferred stock issued to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Shares of</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Series C-1</w:t>
            </w:r>
          </w:p>
        </w:tc>
        <w:tc>
          <w:tcPr>
            <w:tcW w:w="120" w:type="dxa"/>
            <w:vAlign w:val="bottom"/>
          </w:tcPr>
          <w:p>
            <w:pPr>
              <w:spacing w:after="0"/>
              <w:rPr>
                <w:sz w:val="12"/>
                <w:szCs w:val="12"/>
                <w:color w:val="auto"/>
              </w:rPr>
            </w:pPr>
          </w:p>
        </w:tc>
        <w:tc>
          <w:tcPr>
            <w:tcW w:w="6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Preferred</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8"/>
        </w:trPr>
        <w:tc>
          <w:tcPr>
            <w:tcW w:w="9480" w:type="dxa"/>
            <w:vAlign w:val="bottom"/>
            <w:gridSpan w:val="2"/>
            <w:vMerge w:val="continue"/>
          </w:tcPr>
          <w:p>
            <w:pPr>
              <w:spacing w:after="0"/>
              <w:rPr>
                <w:sz w:val="15"/>
                <w:szCs w:val="15"/>
                <w:color w:val="auto"/>
              </w:rPr>
            </w:pPr>
          </w:p>
        </w:tc>
        <w:tc>
          <w:tcPr>
            <w:tcW w:w="11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5"/>
                <w:szCs w:val="15"/>
                <w:color w:val="auto"/>
              </w:rPr>
            </w:pPr>
          </w:p>
        </w:tc>
        <w:tc>
          <w:tcPr>
            <w:tcW w:w="620" w:type="dxa"/>
            <w:vAlign w:val="bottom"/>
          </w:tcPr>
          <w:p>
            <w:pPr>
              <w:jc w:val="right"/>
              <w:ind w:right="136"/>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13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7"/>
              </w:rPr>
              <w:t>Entities affiliated</w:t>
            </w:r>
          </w:p>
        </w:tc>
        <w:tc>
          <w:tcPr>
            <w:tcW w:w="8180" w:type="dxa"/>
            <w:vAlign w:val="bottom"/>
          </w:tcPr>
          <w:p>
            <w:pPr>
              <w:spacing w:after="0" w:line="189" w:lineRule="exact"/>
              <w:rPr>
                <w:sz w:val="20"/>
                <w:szCs w:val="20"/>
                <w:color w:val="auto"/>
              </w:rPr>
            </w:pPr>
            <w:r>
              <w:rPr>
                <w:rFonts w:ascii="Arial" w:cs="Arial" w:eastAsia="Arial" w:hAnsi="Arial"/>
                <w:sz w:val="18"/>
                <w:szCs w:val="18"/>
                <w:color w:val="auto"/>
              </w:rPr>
              <w:t>with Frazier Healthcare(1)</w:t>
            </w:r>
          </w:p>
        </w:tc>
        <w:tc>
          <w:tcPr>
            <w:tcW w:w="7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195,751</w:t>
            </w:r>
          </w:p>
        </w:tc>
        <w:tc>
          <w:tcPr>
            <w:tcW w:w="380" w:type="dxa"/>
            <w:vAlign w:val="bottom"/>
          </w:tcPr>
          <w:p>
            <w:pPr>
              <w:spacing w:after="0"/>
              <w:rPr>
                <w:sz w:val="16"/>
                <w:szCs w:val="16"/>
                <w:color w:val="auto"/>
              </w:rPr>
            </w:pPr>
          </w:p>
        </w:tc>
        <w:tc>
          <w:tcPr>
            <w:tcW w:w="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2"/>
              </w:rPr>
              <w:t>890,670</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Novo A/S(2)</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195,751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890,670</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Alloy Ventures 2005, L.P.</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77,320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351,810</w:t>
            </w:r>
          </w:p>
        </w:tc>
        <w:tc>
          <w:tcPr>
            <w:tcW w:w="0" w:type="dxa"/>
            <w:vAlign w:val="bottom"/>
          </w:tcPr>
          <w:p>
            <w:pPr>
              <w:spacing w:after="0"/>
              <w:rPr>
                <w:sz w:val="1"/>
                <w:szCs w:val="1"/>
                <w:color w:val="auto"/>
              </w:rPr>
            </w:pPr>
          </w:p>
        </w:tc>
      </w:tr>
      <w:tr>
        <w:trPr>
          <w:trHeight w:val="230"/>
        </w:trPr>
        <w:tc>
          <w:tcPr>
            <w:tcW w:w="9480" w:type="dxa"/>
            <w:vAlign w:val="bottom"/>
            <w:gridSpan w:val="2"/>
          </w:tcPr>
          <w:p>
            <w:pPr>
              <w:spacing w:after="0"/>
              <w:rPr>
                <w:sz w:val="20"/>
                <w:szCs w:val="20"/>
                <w:color w:val="auto"/>
              </w:rPr>
            </w:pPr>
            <w:r>
              <w:rPr>
                <w:rFonts w:ascii="Arial" w:cs="Arial" w:eastAsia="Arial" w:hAnsi="Arial"/>
                <w:sz w:val="18"/>
                <w:szCs w:val="18"/>
                <w:color w:val="auto"/>
              </w:rPr>
              <w:t>Hamza Suria(3)</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right="180" w:hanging="452"/>
        <w:spacing w:after="0" w:line="274"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Represents shares held by Frazier Healthcare V, L.P., an affiliate of Frazier Healthcare Ventures. Dr. Topper, a member of our Board of Directors, is a General Partner of Frazier Healthcare and may be deemed to have voting and investment power with respect to these shares.</w:t>
      </w:r>
    </w:p>
    <w:p>
      <w:pPr>
        <w:ind w:left="460" w:right="44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 Aynechi, a former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21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Each share of our Series C-1 convertible preferred stock converted automatically into one share of our common stock upon the closing of our initial public offering. The purchasers of our Series C-1 convertible preferred stock are entitled to specified registration rights, as described under “Description of Capital Stock—Registration Rights.”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Series D Preferred Stock Financing</w:t>
      </w:r>
    </w:p>
    <w:p>
      <w:pPr>
        <w:spacing w:after="0" w:line="229"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July 2015, we sold an aggregate of 5,490,973 shares of our Series D convertible preferred stock at a purchase price of $7.42 per share, for an aggregate cash purchase price of $40.8 million.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summarizes the Series D convertible preferred stock purchased by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Shares 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Series 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8"/>
        </w:trPr>
        <w:tc>
          <w:tcPr>
            <w:tcW w:w="9240" w:type="dxa"/>
            <w:vAlign w:val="bottom"/>
            <w:gridSpan w:val="2"/>
            <w:vMerge w:val="continue"/>
          </w:tcPr>
          <w:p>
            <w:pPr>
              <w:spacing w:after="0"/>
              <w:rPr>
                <w:sz w:val="15"/>
                <w:szCs w:val="15"/>
                <w:color w:val="auto"/>
              </w:rPr>
            </w:pPr>
          </w:p>
        </w:tc>
        <w:tc>
          <w:tcPr>
            <w:tcW w:w="10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89"/>
        </w:trPr>
        <w:tc>
          <w:tcPr>
            <w:tcW w:w="13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7"/>
              </w:rPr>
              <w:t>Entities affiliated</w:t>
            </w:r>
          </w:p>
        </w:tc>
        <w:tc>
          <w:tcPr>
            <w:tcW w:w="7940" w:type="dxa"/>
            <w:vAlign w:val="bottom"/>
          </w:tcPr>
          <w:p>
            <w:pPr>
              <w:spacing w:after="0" w:line="189" w:lineRule="exact"/>
              <w:rPr>
                <w:sz w:val="20"/>
                <w:szCs w:val="20"/>
                <w:color w:val="auto"/>
              </w:rPr>
            </w:pPr>
            <w:r>
              <w:rPr>
                <w:rFonts w:ascii="Arial" w:cs="Arial" w:eastAsia="Arial" w:hAnsi="Arial"/>
                <w:sz w:val="18"/>
                <w:szCs w:val="18"/>
                <w:color w:val="auto"/>
              </w:rPr>
              <w:t>with Biotechnology Value Fund, L.P</w:t>
            </w:r>
          </w:p>
        </w:tc>
        <w:tc>
          <w:tcPr>
            <w:tcW w:w="8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9"/>
              </w:rPr>
              <w:t>1,010,600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4"/>
              </w:rPr>
              <w:t>7,503,111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HBM Healthcare Investments (Cayman) Ltd</w:t>
            </w:r>
          </w:p>
        </w:tc>
        <w:tc>
          <w:tcPr>
            <w:tcW w:w="820" w:type="dxa"/>
            <w:vAlign w:val="bottom"/>
          </w:tcPr>
          <w:p>
            <w:pPr>
              <w:jc w:val="right"/>
              <w:spacing w:after="0"/>
              <w:rPr>
                <w:sz w:val="20"/>
                <w:szCs w:val="20"/>
                <w:color w:val="auto"/>
              </w:rPr>
            </w:pPr>
            <w:r>
              <w:rPr>
                <w:rFonts w:ascii="Arial" w:cs="Arial" w:eastAsia="Arial" w:hAnsi="Arial"/>
                <w:sz w:val="18"/>
                <w:szCs w:val="18"/>
                <w:color w:val="auto"/>
              </w:rPr>
              <w:t>942,835</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6,999,999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Entities affiliated with Frazier Healthcare(1)</w:t>
            </w:r>
          </w:p>
        </w:tc>
        <w:tc>
          <w:tcPr>
            <w:tcW w:w="820" w:type="dxa"/>
            <w:vAlign w:val="bottom"/>
          </w:tcPr>
          <w:p>
            <w:pPr>
              <w:jc w:val="right"/>
              <w:spacing w:after="0"/>
              <w:rPr>
                <w:sz w:val="20"/>
                <w:szCs w:val="20"/>
                <w:color w:val="auto"/>
              </w:rPr>
            </w:pPr>
            <w:r>
              <w:rPr>
                <w:rFonts w:ascii="Arial" w:cs="Arial" w:eastAsia="Arial" w:hAnsi="Arial"/>
                <w:sz w:val="18"/>
                <w:szCs w:val="18"/>
                <w:color w:val="auto"/>
              </w:rPr>
              <w:t>942,835</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6,999,999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Novo A/S(2)</w:t>
            </w:r>
          </w:p>
        </w:tc>
        <w:tc>
          <w:tcPr>
            <w:tcW w:w="820" w:type="dxa"/>
            <w:vAlign w:val="bottom"/>
          </w:tcPr>
          <w:p>
            <w:pPr>
              <w:jc w:val="right"/>
              <w:spacing w:after="0"/>
              <w:rPr>
                <w:sz w:val="20"/>
                <w:szCs w:val="20"/>
                <w:color w:val="auto"/>
              </w:rPr>
            </w:pPr>
            <w:r>
              <w:rPr>
                <w:rFonts w:ascii="Arial" w:cs="Arial" w:eastAsia="Arial" w:hAnsi="Arial"/>
                <w:sz w:val="18"/>
                <w:szCs w:val="18"/>
                <w:color w:val="auto"/>
              </w:rPr>
              <w:t>673,454</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Nicholas B. Lydon, Ph.D., FRS(3)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67,345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499,999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Carol G. Gallagher, Pharm.D.(4)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21,439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159,174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Robert E. Hoffman(5)</w:t>
            </w:r>
          </w:p>
        </w:tc>
        <w:tc>
          <w:tcPr>
            <w:tcW w:w="820" w:type="dxa"/>
            <w:vAlign w:val="bottom"/>
          </w:tcPr>
          <w:p>
            <w:pPr>
              <w:jc w:val="right"/>
              <w:spacing w:after="0"/>
              <w:rPr>
                <w:sz w:val="20"/>
                <w:szCs w:val="20"/>
                <w:color w:val="auto"/>
              </w:rPr>
            </w:pPr>
            <w:r>
              <w:rPr>
                <w:rFonts w:ascii="Arial" w:cs="Arial" w:eastAsia="Arial" w:hAnsi="Arial"/>
                <w:sz w:val="18"/>
                <w:szCs w:val="18"/>
                <w:color w:val="auto"/>
              </w:rPr>
              <w:t>6,734</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49,999</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Hamza Suria(6)</w:t>
            </w:r>
          </w:p>
        </w:tc>
        <w:tc>
          <w:tcPr>
            <w:tcW w:w="820" w:type="dxa"/>
            <w:vAlign w:val="bottom"/>
          </w:tcPr>
          <w:p>
            <w:pPr>
              <w:jc w:val="right"/>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Marco Londei, M.D.(7)</w:t>
            </w:r>
          </w:p>
        </w:tc>
        <w:tc>
          <w:tcPr>
            <w:tcW w:w="820" w:type="dxa"/>
            <w:vAlign w:val="bottom"/>
          </w:tcPr>
          <w:p>
            <w:pPr>
              <w:jc w:val="right"/>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56"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shares held by Frazier Healthcare VII, L.P. and Frazier Healthcare VII-A, L.P., both affiliates of Frazier Healthcare. Dr. Topper, a member of our Board of Directors, is a General Partner of Frazier Healthcare and may be deemed to have voting and investment power with respect to these shares.</w:t>
      </w:r>
    </w:p>
    <w:p>
      <w:pPr>
        <w:ind w:left="460" w:right="42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 Aynechi, a former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 Lydon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 Gallagher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Hoffman is our former Chief Financial Officer.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 Londei is our Chief Medical Officer.</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Each share of our Series D convertible preferred stock converted automatically into one share of our common stock upon the closing of our initial public offering. The purchasers of our Series D convertible preferred stock are entitled to specified registration rights, as described below under “Description of Capital Stock—Registration Rights.”</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Participation in our Initial Public Offering</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Certain of our principal stockholders and their affiliated entities, including stockholders affiliated with certain of our directors, purchased an aggregate of 1,316,666 shares of our common stock in our initial public offering on January 31, 2017 at the initial public offering price of $15.00 per share. The following table summarizes common stock purchased by members of our board of directors and entities who held more than 5% of our outstanding capital stock at the time of the purchase: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Number of</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740" w:type="dxa"/>
            <w:vAlign w:val="bottom"/>
            <w:vMerge w:val="restart"/>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Purchased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8740" w:type="dxa"/>
            <w:vAlign w:val="bottom"/>
            <w:vMerge w:val="continue"/>
          </w:tcPr>
          <w:p>
            <w:pPr>
              <w:spacing w:after="0"/>
              <w:rPr>
                <w:sz w:val="15"/>
                <w:szCs w:val="15"/>
                <w:color w:val="auto"/>
              </w:rPr>
            </w:pPr>
          </w:p>
        </w:tc>
        <w:tc>
          <w:tcPr>
            <w:tcW w:w="88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89"/>
        </w:trPr>
        <w:tc>
          <w:tcPr>
            <w:tcW w:w="9120" w:type="dxa"/>
            <w:vAlign w:val="bottom"/>
            <w:gridSpan w:val="2"/>
          </w:tcPr>
          <w:p>
            <w:pPr>
              <w:spacing w:after="0" w:line="189" w:lineRule="exact"/>
              <w:rPr>
                <w:sz w:val="20"/>
                <w:szCs w:val="20"/>
                <w:color w:val="auto"/>
              </w:rPr>
            </w:pPr>
            <w:r>
              <w:rPr>
                <w:rFonts w:ascii="Arial" w:cs="Arial" w:eastAsia="Arial" w:hAnsi="Arial"/>
                <w:sz w:val="18"/>
                <w:szCs w:val="18"/>
                <w:color w:val="auto"/>
              </w:rPr>
              <w:t>Entities affiliated with Biotechnology Value Fund(1)</w:t>
            </w:r>
          </w:p>
        </w:tc>
        <w:tc>
          <w:tcPr>
            <w:tcW w:w="8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850,000</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3"/>
              </w:rPr>
              <w:t>12,750,000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Entities affiliated with Frazier Healthcare(2)</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400,000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Novo A/S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Nicholas B. Lydon, Ph.D.,FRS(3)</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16,666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249,990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1,316,666</w:t>
            </w:r>
          </w:p>
        </w:tc>
        <w:tc>
          <w:tcPr>
            <w:tcW w:w="3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19,749,990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8865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4" w:lineRule="exact"/>
        <w:rPr>
          <w:sz w:val="20"/>
          <w:szCs w:val="20"/>
          <w:color w:val="auto"/>
        </w:rPr>
      </w:pPr>
    </w:p>
    <w:p>
      <w:pPr>
        <w:ind w:left="460" w:right="360" w:hanging="452"/>
        <w:spacing w:after="0" w:line="30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Consists of 414,373 shares purchased by Biotechnology Value Fund, L.P., 269,019 shares purchased by Biotechnology Value Fund II, L.P., 74,064 shares purchased by Biotechnology Value Trading Fund OS, L.P. and 92,544 shares purchased by MSI BVF SPV LLC.</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hanging="452"/>
        <w:spacing w:after="0" w:line="256"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311,291 shares purchased by Frazier Healthcare VII, L.P and 88,709 shares purchased by Frazier Healthcare VII-A, L.P. Dr. Topper, a member of our Board of Directors, is a General Partner of Frazier Healthcare and may be deemed to have voting and investment power with respect to these shares.</w:t>
      </w: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 Lydon is a member of our Board of Directors.</w:t>
      </w: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22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have entered into an amended and restated investors’ rights agreement with certain holders of our convertible preferred stock, including entities with which certain of our directors are affiliated. These stockholders are entitled to rights with respect to the registration of their shares. For a description of these registration rights, see “Description of Capital Stock—Registration Rights.”</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 restated bylaws also require us to advance expenses incurred by our directors and officers.</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adopted a written related person transactions policy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August 31, 2017, and as adjusted to reflect the sale of common stock in this offering, for:</w:t>
      </w:r>
    </w:p>
    <w:p>
      <w:pPr>
        <w:spacing w:after="0" w:line="76"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Applicable percentage ownership is based on 20,469,570 shares of common stock outstanding as of August 31, 2017. For purposes of the table below, we have assumed that 3,000,000 shares of common stock will be issued by us in this public offering.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August 31, 2017. We did not deem these shares outstanding, however, for the purpose of computing the percentage ownership of any other person. Unless otherwise indicated, the address of each beneficial owner listed in the table below is c/o AnaptysBio, Inc., 10421 Pacific Center Court, Suite 200, San Diego, California 92121.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160" w:type="dxa"/>
            <w:vAlign w:val="bottom"/>
            <w:gridSpan w:val="4"/>
          </w:tcPr>
          <w:p>
            <w:pPr>
              <w:ind w:left="160"/>
              <w:spacing w:after="0"/>
              <w:rPr>
                <w:sz w:val="20"/>
                <w:szCs w:val="20"/>
                <w:color w:val="auto"/>
              </w:rPr>
            </w:pPr>
            <w:r>
              <w:rPr>
                <w:rFonts w:ascii="Arial" w:cs="Arial" w:eastAsia="Arial" w:hAnsi="Arial"/>
                <w:sz w:val="14"/>
                <w:szCs w:val="14"/>
                <w:b w:val="1"/>
                <w:bCs w:val="1"/>
                <w:color w:val="auto"/>
              </w:rPr>
              <w:t>Beneficial Ownership</w:t>
            </w:r>
          </w:p>
        </w:tc>
        <w:tc>
          <w:tcPr>
            <w:tcW w:w="17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71"/>
        </w:trPr>
        <w:tc>
          <w:tcPr>
            <w:tcW w:w="7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160" w:type="dxa"/>
            <w:vAlign w:val="bottom"/>
            <w:gridSpan w:val="4"/>
          </w:tcPr>
          <w:p>
            <w:pPr>
              <w:ind w:left="160"/>
              <w:spacing w:after="0"/>
              <w:rPr>
                <w:sz w:val="20"/>
                <w:szCs w:val="20"/>
                <w:color w:val="auto"/>
              </w:rPr>
            </w:pPr>
            <w:r>
              <w:rPr>
                <w:rFonts w:ascii="Arial" w:cs="Arial" w:eastAsia="Arial" w:hAnsi="Arial"/>
                <w:sz w:val="14"/>
                <w:szCs w:val="14"/>
                <w:b w:val="1"/>
                <w:bCs w:val="1"/>
                <w:color w:val="auto"/>
              </w:rPr>
              <w:t>Prior to this Offering</w:t>
            </w:r>
          </w:p>
        </w:tc>
        <w:tc>
          <w:tcPr>
            <w:tcW w:w="17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After this Offering</w:t>
            </w:r>
          </w:p>
        </w:tc>
        <w:tc>
          <w:tcPr>
            <w:tcW w:w="0" w:type="dxa"/>
            <w:vAlign w:val="bottom"/>
          </w:tcPr>
          <w:p>
            <w:pPr>
              <w:spacing w:after="0"/>
              <w:rPr>
                <w:sz w:val="1"/>
                <w:szCs w:val="1"/>
                <w:color w:val="auto"/>
              </w:rPr>
            </w:pPr>
          </w:p>
        </w:tc>
      </w:tr>
      <w:tr>
        <w:trPr>
          <w:trHeight w:val="149"/>
        </w:trPr>
        <w:tc>
          <w:tcPr>
            <w:tcW w:w="7420" w:type="dxa"/>
            <w:vAlign w:val="bottom"/>
            <w:gridSpan w:val="2"/>
            <w:vMerge w:val="continue"/>
          </w:tcPr>
          <w:p>
            <w:pPr>
              <w:spacing w:after="0"/>
              <w:rPr>
                <w:sz w:val="12"/>
                <w:szCs w:val="12"/>
                <w:color w:val="auto"/>
              </w:rPr>
            </w:pPr>
          </w:p>
        </w:tc>
        <w:tc>
          <w:tcPr>
            <w:tcW w:w="116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Percent</w:t>
            </w:r>
          </w:p>
        </w:tc>
        <w:tc>
          <w:tcPr>
            <w:tcW w:w="52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Percent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6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b w:val="1"/>
                <w:bCs w:val="1"/>
                <w:i w:val="1"/>
                <w:iCs w:val="1"/>
                <w:color w:val="auto"/>
              </w:rPr>
              <w:t>5% Stockholders</w:t>
            </w:r>
            <w:r>
              <w:rPr>
                <w:rFonts w:ascii="Arial" w:cs="Arial" w:eastAsia="Arial" w:hAnsi="Arial"/>
                <w:sz w:val="18"/>
                <w:szCs w:val="18"/>
                <w:color w:val="auto"/>
              </w:rPr>
              <w:t>:</w:t>
            </w:r>
          </w:p>
        </w:tc>
        <w:tc>
          <w:tcPr>
            <w:tcW w:w="58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Entities affiliated with Frazier Healthcare</w:t>
            </w:r>
            <w:r>
              <w:rPr>
                <w:rFonts w:ascii="Arial" w:cs="Arial" w:eastAsia="Arial" w:hAnsi="Arial"/>
                <w:sz w:val="15"/>
                <w:szCs w:val="15"/>
                <w:color w:val="auto"/>
              </w:rPr>
              <w:t>(1)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3,688,447</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18.0%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3,688,447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Novo Holdings A/S</w:t>
            </w:r>
            <w:r>
              <w:rPr>
                <w:rFonts w:ascii="Arial" w:cs="Arial" w:eastAsia="Arial" w:hAnsi="Arial"/>
                <w:sz w:val="15"/>
                <w:szCs w:val="15"/>
                <w:color w:val="auto"/>
              </w:rPr>
              <w:t>(2)</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1,936,604</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9.5</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1,936,604</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Alloy Ventures 2005, L.P.</w:t>
            </w:r>
            <w:r>
              <w:rPr>
                <w:rFonts w:ascii="Arial" w:cs="Arial" w:eastAsia="Arial" w:hAnsi="Arial"/>
                <w:sz w:val="15"/>
                <w:szCs w:val="15"/>
                <w:color w:val="auto"/>
              </w:rPr>
              <w:t>(3)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1,282,485</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6.3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1,282,485</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Entities affiliated with Biotechnology Value Fund, L.P.</w:t>
            </w:r>
            <w:r>
              <w:rPr>
                <w:rFonts w:ascii="Arial" w:cs="Arial" w:eastAsia="Arial" w:hAnsi="Arial"/>
                <w:sz w:val="15"/>
                <w:szCs w:val="15"/>
                <w:color w:val="auto"/>
              </w:rPr>
              <w:t>(4)</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1,904,600</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9.3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1,904,600</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Hamza Suria</w:t>
            </w:r>
            <w:r>
              <w:rPr>
                <w:rFonts w:ascii="Arial" w:cs="Arial" w:eastAsia="Arial" w:hAnsi="Arial"/>
                <w:sz w:val="15"/>
                <w:szCs w:val="15"/>
                <w:color w:val="auto"/>
              </w:rPr>
              <w:t>(5)</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562,330</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2.7</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562,330</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(6)</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212,938</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212,938</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Matthew Moyle Ph.D.</w:t>
            </w:r>
            <w:r>
              <w:rPr>
                <w:rFonts w:ascii="Arial" w:cs="Arial" w:eastAsia="Arial" w:hAnsi="Arial"/>
                <w:sz w:val="15"/>
                <w:szCs w:val="15"/>
                <w:color w:val="auto"/>
              </w:rPr>
              <w:t>(7)</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49,411</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49,411</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Carol G. Gallagher, Pharm.D.</w:t>
            </w:r>
            <w:r>
              <w:rPr>
                <w:rFonts w:ascii="Arial" w:cs="Arial" w:eastAsia="Arial" w:hAnsi="Arial"/>
                <w:sz w:val="15"/>
                <w:szCs w:val="15"/>
                <w:color w:val="auto"/>
              </w:rPr>
              <w:t>(8)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162,018</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162,018</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Nicholas B. Lydon, Ph.D., FRS</w:t>
            </w:r>
            <w:r>
              <w:rPr>
                <w:rFonts w:ascii="Arial" w:cs="Arial" w:eastAsia="Arial" w:hAnsi="Arial"/>
                <w:sz w:val="15"/>
                <w:szCs w:val="15"/>
                <w:color w:val="auto"/>
              </w:rPr>
              <w:t>(9)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335,118</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1.6</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335,118</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Hollings Renton</w:t>
            </w:r>
            <w:r>
              <w:rPr>
                <w:rFonts w:ascii="Arial" w:cs="Arial" w:eastAsia="Arial" w:hAnsi="Arial"/>
                <w:sz w:val="15"/>
                <w:szCs w:val="15"/>
                <w:color w:val="auto"/>
              </w:rPr>
              <w:t>(10)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51,156</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51,156</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John Schmid</w:t>
            </w:r>
            <w:r>
              <w:rPr>
                <w:rFonts w:ascii="Arial" w:cs="Arial" w:eastAsia="Arial" w:hAnsi="Arial"/>
                <w:sz w:val="15"/>
                <w:szCs w:val="15"/>
                <w:color w:val="auto"/>
              </w:rPr>
              <w:t>(11)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42,337</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42,337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James A. Schoeneck</w:t>
            </w:r>
            <w:r>
              <w:rPr>
                <w:rFonts w:ascii="Arial" w:cs="Arial" w:eastAsia="Arial" w:hAnsi="Arial"/>
                <w:sz w:val="15"/>
                <w:szCs w:val="15"/>
                <w:color w:val="auto"/>
              </w:rPr>
              <w:t>(12)</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42,337</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42,337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James N. Topper, M.D., Ph.D.</w:t>
            </w:r>
            <w:r>
              <w:rPr>
                <w:rFonts w:ascii="Arial" w:cs="Arial" w:eastAsia="Arial" w:hAnsi="Arial"/>
                <w:sz w:val="15"/>
                <w:szCs w:val="15"/>
                <w:color w:val="auto"/>
              </w:rPr>
              <w:t>(1)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3,688,447</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18.0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3,688,447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J. Anthony Ware, M.D.</w:t>
            </w:r>
            <w:r>
              <w:rPr>
                <w:rFonts w:ascii="Arial" w:cs="Arial" w:eastAsia="Arial" w:hAnsi="Arial"/>
                <w:sz w:val="15"/>
                <w:szCs w:val="15"/>
                <w:color w:val="auto"/>
              </w:rPr>
              <w:t>(13)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1,588</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1,588</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(11 persons)</w:t>
            </w:r>
            <w:r>
              <w:rPr>
                <w:rFonts w:ascii="Arial" w:cs="Arial" w:eastAsia="Arial" w:hAnsi="Arial"/>
                <w:sz w:val="15"/>
                <w:szCs w:val="15"/>
                <w:color w:val="auto"/>
              </w:rPr>
              <w:t>(14)</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5,147,680</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23.9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5,147,680</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23" w:lineRule="exact"/>
        <w:rPr>
          <w:sz w:val="20"/>
          <w:szCs w:val="20"/>
          <w:color w:val="auto"/>
        </w:rPr>
      </w:pPr>
    </w:p>
    <w:p>
      <w:pPr>
        <w:ind w:left="460" w:right="160" w:hanging="452"/>
        <w:spacing w:after="0" w:line="277" w:lineRule="auto"/>
        <w:tabs>
          <w:tab w:leader="none" w:pos="4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Schedule 13-D filed by Frazier Healthcare V, L.P. on February 10, 2017. Consists of (a) 2,345,612 shares of common stock held directly by Frazier Healthcare V, L.P., (b) 1,045,031 shares of common stock held directly by Frazier Healthcare VII, L.P., (c) 297,804 shares of common stock held directly by Frazier Healthcare VII-A, L.P.. The general partner of Frazier Healthcare V, L.P. is FHM V, L.P., a Delaware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limited partnership. The general partner of FHM V, L.P. is FHM V, LLC, a Delaware limited liability company. The general partner of Frazier Healthcare VII, L.P. and Frazier Healthcare VII-A, L.P. is FHM VII, L.P., a Delaware limited partnership. The general partner of FHM VII, L.P. is FHM VII, LLC, a Delaware limited liability company. Dr. Topper, a member of our Board of Directors, Alan Frazier, Nader Naini, Nathan Every and Patrick Heron are members of FHM V, LLC and FHM VII, LLC and may be deemed to share voting and investment power with respect to the shares held by FHM V, LLC and FHM VII, LLC. The address of Frazier Healthcare is 601 Union, Two Union Square, Suite 3200, Seattle WA 98101.</w:t>
      </w:r>
    </w:p>
    <w:p>
      <w:pPr>
        <w:spacing w:after="0" w:line="2" w:lineRule="exact"/>
        <w:rPr>
          <w:sz w:val="20"/>
          <w:szCs w:val="20"/>
          <w:color w:val="auto"/>
        </w:rPr>
      </w:pPr>
    </w:p>
    <w:p>
      <w:pPr>
        <w:ind w:left="460" w:right="2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Form 4 filed by Novo Holdings A/S on August 21, 2017. Consists of (a) 1,936,604 shares of common stock held directly by Novo Holdings A/S. The board of directors of Novo A/S, which is currently comprised of Sten Scheibye, Gôran Ando, Jeppe Christiansen, Steen Riisgaard and Per Wold-Olsen, has shared voting and investment power with respect to these shares and may exercise such control only with the support of a majority of the board. As such, no individual member of the board is deemed to hold any beneficiary ownership in these shares. The address of Novo A/S is Tuborg Havnevej 19, 2900 Hellerup, Denmark.</w:t>
      </w:r>
    </w:p>
    <w:p>
      <w:pPr>
        <w:spacing w:after="0" w:line="2" w:lineRule="exact"/>
        <w:rPr>
          <w:rFonts w:ascii="Arial" w:cs="Arial" w:eastAsia="Arial" w:hAnsi="Arial"/>
          <w:sz w:val="18"/>
          <w:szCs w:val="18"/>
          <w:color w:val="auto"/>
        </w:rPr>
      </w:pPr>
    </w:p>
    <w:p>
      <w:pPr>
        <w:ind w:left="460" w:right="200" w:hanging="452"/>
        <w:spacing w:after="0" w:line="281"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1,282,485 shares of common stock held directly by Alloy Ventures 2005, L.P. The general partner of Alloy Ventures 2005, L.P. is Alloy Ventures 2005, LLC. The managing members of Alloy Ventures 2005, LLC are Craig Taylor, Doug Kelly John Shoch, Dan Rubin and Tony Di Bona.</w:t>
      </w:r>
    </w:p>
    <w:p>
      <w:pPr>
        <w:spacing w:after="0" w:line="1" w:lineRule="exact"/>
        <w:rPr>
          <w:rFonts w:ascii="Arial" w:cs="Arial" w:eastAsia="Arial" w:hAnsi="Arial"/>
          <w:sz w:val="16"/>
          <w:szCs w:val="16"/>
          <w:color w:val="auto"/>
        </w:rPr>
      </w:pPr>
    </w:p>
    <w:p>
      <w:pPr>
        <w:ind w:left="460" w:right="40" w:hanging="452"/>
        <w:spacing w:after="0" w:line="265"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Schedule 13-G filed by Biotechnology Value Fund L.P. on January 26, 2017. Consists of (a) 907,116 shares of common stock held directly by Biotechnology Value Fund, L.P., (b) 551,019 shares of common stock directly by Biotechnology Value Fund II, L.P., (c) 74,064 shares of common stock held directly by Trading Fund OS and (d) 372,401 shares of common stock held directly in the Partners Managed Accounts.</w:t>
      </w:r>
    </w:p>
    <w:p>
      <w:pPr>
        <w:ind w:left="460" w:right="10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(a) 4,998 shares of common stock held directly by Mr. Suria and (b) 557,332 shares of common stock issuable to Mr. Suria upon the exercise of stock options that are exercisable within 60 days of August 31, 2017, of which 102,499 shares were unvested but were early exercisable, as of 60 days after August 31, 2017.</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(a) 2,020 shares of common stock held directly by Dr. Londei and (b) 210,918 shares of common stock issuable to Dr. Londei upon the exercise of stock options that are exercisable within 60 days of August 31, 2017, of which 40,241 shares were unvested but were early exercisable, as of 60 days after August 31, 2017.</w:t>
      </w:r>
    </w:p>
    <w:p>
      <w:pPr>
        <w:spacing w:after="0" w:line="1"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Moyle resigned as our Chief Scientific Officer effective July 21, 2017. Consists of (a) 30,000 shares of common stock held directly by Mr. Moyle and (b) 19,411 shares of common stock issuable to Mr. Moyle upon the exercise of stock options that are exercisable within 60 days of August 31, 2017.</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(a) 64,296 shares of common stock held directly by Dr. Gallagher and (b) 97,722 shares of common stock issuable to Dr. Gallagher upon the exercise of stock options that are exercisable within 60 days of August 31, 2017.</w:t>
      </w:r>
    </w:p>
    <w:p>
      <w:pPr>
        <w:ind w:left="460" w:right="80" w:hanging="452"/>
        <w:spacing w:after="0" w:line="281"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(a) 287,623 shares of common stock held directly by Dr. Lydon, (b) 16,483 shares of common stock issuable upon the exercise of a warrant held directly by Dr. Lydon and (c) 31,012 shares of common stock issuable to Dr. Lydon upon the exercise of stock options that are exercisable within 60 days of August 31, 2017, of which 2,134 shares were unvested but were early exercisable, as of 60 days after August 31, 2017.</w:t>
      </w:r>
    </w:p>
    <w:p>
      <w:pPr>
        <w:spacing w:after="0" w:line="2"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51,156 shares of common stock issuable to Mr. Renton upon the exercise of stock options that are exercisable within 60 days of August 31, 2017, of which 11,652 shares were unvested but were early exercisable, as of 60 days after August 31, 2017.</w:t>
      </w:r>
    </w:p>
    <w:p>
      <w:pPr>
        <w:ind w:left="460" w:right="8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42,337 shares of common stock issuable to Mr. Schmid upon the exercise of stock options that are exercisable within 60 days of August 31, 2017, of which 12,275 shares were unvested but were early exercisable, as of 60 days after August 31, 2017.</w:t>
      </w:r>
    </w:p>
    <w:p>
      <w:pPr>
        <w:ind w:left="460" w:right="680" w:hanging="452"/>
        <w:spacing w:after="0" w:line="290" w:lineRule="auto"/>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Represents 42,337 shares of common stock issuable to Mr. Schoeneck upon the exercise of stock options that are exercisable within 60 days of August 31, 2017, of which 15,288 shares were unvested but were early exercisable, as of 60 days after August 31, 2017.</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hanging="452"/>
        <w:spacing w:after="0" w:line="25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1,588 shares of common stock issuable to Mr. Ware upon the exercise of stock options that are exercisable within 60 days of August 31, 2017.</w:t>
      </w:r>
    </w:p>
    <w:p>
      <w:pPr>
        <w:spacing w:after="0" w:line="1" w:lineRule="exact"/>
        <w:rPr>
          <w:rFonts w:ascii="Arial" w:cs="Arial" w:eastAsia="Arial" w:hAnsi="Arial"/>
          <w:sz w:val="18"/>
          <w:szCs w:val="18"/>
          <w:color w:val="auto"/>
        </w:rPr>
      </w:pPr>
    </w:p>
    <w:p>
      <w:pPr>
        <w:ind w:left="460" w:right="40" w:hanging="452"/>
        <w:spacing w:after="0" w:line="30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shares beneficially owned by our executive officers and directors. Consists of (a) 4,077,384 shares of common stock, (b) 16,483 shares of common stock issuable upon the exercise of warrants and (b) 1,053,813 shares of common stock issuable upon the exercise of stock options that are exercisable within 60 days of August 31, 2017, of which 184,089 shares were unvested but early exercisable, as of 60 days after August 31, 2017.</w:t>
      </w:r>
    </w:p>
    <w:p>
      <w:pPr>
        <w:spacing w:after="0" w:line="15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Dominic G. Piscitelli commenced his employment with us as our Chief Financial Officer in January 2017. As of August 31, 2017, Mr. Piscitelli held options to purchase 245,241 shares of our common stock, none of which are exercisable within 60 days of August 31, 2017.</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60"/>
          </w:cols>
          <w:pgMar w:left="24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Our authorized capital stock consists of 500,000,000 shares of common stock, $0.001 par value per share, and 10,000,000 shares of undesignated preferred stock, $0.001 par value per share. The following description summarizes the most important terms of our capital stock. Because it is only a summary, it does not contain all the information that may be important to you.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188"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As of June 30, 2017, there were 20,289,907 shares of our common stock issued, held by approximately 95 stockholders of record, and no shares of our preferred stock outstanding. Our board of directors is authorized, without stockholder approval, to issue additional shares of our capital stock.</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Rights</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holders of a majority of the shares of our common stock can elect all of our directors. Our restated certificate of incorporation establishes a classified board of directors, divided into three classes with staggered three-year terms. Only one class of directors is elected at each annual meeting of our stockholders, with the other classes continuing for the remainder of their respective three-year terms.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Preemptive or Similar Rights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to Receive Liquidation Distributions</w:t>
      </w:r>
    </w:p>
    <w:p>
      <w:pPr>
        <w:spacing w:after="0" w:line="229"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board of directors is authorized, subject to limitations prescribed by Delaware law, to issue preferred stock in one or more series, to establish from time to time the number of shares to be included in each series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fix the designation, powers, preferences and rights of the shares of each series and any of their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2017, we had outstanding warrants to purchase an aggregate of 198,009 shares of our common stock, with an exercise price of $4.55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As of June 30, 2017, we had outstanding options to purchase an aggregate of 2,643,180 shares of our common stock, with a weighted-average exercise price of $10.62. Subsequent to June 30, 2017, we granted stock options to purchase 96,965 shares of common stock, with a weighted-average exercise price of $26.77 per share.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Pursuant to the terms of our Amended and Restated Investor Rights Agreement, the holders of approximately 9,240,026 shares of our common stock are entitled to rights with respect to the registration of these shares under the Securities Act, as described below. We refer to these shares collectively as registrable securities.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Demand Registration Rights</w:t>
      </w:r>
    </w:p>
    <w:p>
      <w:pPr>
        <w:spacing w:after="0" w:line="22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At any point, the holders of at least a majority of the then-outstanding registrable securities may make a written request to us for the registration of any of the registrable securities under the Securities Act. Within 30 days of such request, we are obligated to provide written notice of such request to all stockholders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total period of not more than 60 days if our board of directors determines in its good faith judgment that it would be seriously detrimental to us and our stockholders for such registration statement to be effected at such time.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S-3 Registration Rights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 holder of then-outstanding registrable securities can request that we register all or part of their shares on Form S-3 if we are eligible to file a registration statement on Form S-3 and if the aggregate price to the public of the shares offered is at least $2,000,000. The stockholders may only require us to effect two registration statements on Form S-3 in a 12-month period. We may postpone taking action with respect to such filing once during any 12-month period for a total cumulative period of not more than 90 days if our board of directors determines in its good faith judgment that the filing would be materially detrimental to us and our stockholders.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Piggyback Registration Rights</w:t>
      </w:r>
    </w:p>
    <w:p>
      <w:pPr>
        <w:spacing w:after="0" w:line="2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this offering, holders of registrable securities were entitled to, and the necessary percentage of holders waived, their rights to notice of this offering and to include their registrable securities in this offering. If we register any of our securities for public sale in another offering, holders of registrable securities will have the right to include their shares in the registration statement. However, this right does not apply to a registration relating to employee benefit plans, a registration relating to a corporate reorganization or a registration of only common stock issuable upon conversion of debt securities that are also being registered. We have the right to terminate any registration we have initiated before the effective date of such registration, whether or not any holder has elected to include registrable securities in such registration. The underwriters of any underwritten offering will have the right to limit the number of shares registered by these holders if they determine in good faith that marketing factors require limitation, in which case the number of shares to be registered will be apportioned pro rata among these holders, according to the total amount of securities entitled to be included by each holder, or in a manner mutually agreed upon by the holders. However, in any underwriting not in connection with an initial public offering, the number of shares to be registered by these holders cannot be reduced below 30% of the total shares covered by the registration statement.</w:t>
      </w:r>
    </w:p>
    <w:p>
      <w:pPr>
        <w:spacing w:after="0" w:line="27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Expenses of Registration Rights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generally will pay all expenses, other than underwriting discounts and commissions.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Expiration of Registration Rights</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registration rights described above will expire, with respect to any particular holder of these rights, on the earlier of the fifth anniversary of the closing of our initial public offering, a merger, consolidation, sale or disposition of our company or a sale by a holder of equity securities representing at least a majority of the voting power of our company, or when that holder can sell all of its registrable securities in a three-month period without restriction under Rule 144 of the Securities Act.</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provisions of Delaware law, our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Delaware Law</w:t>
      </w:r>
    </w:p>
    <w:p>
      <w:pPr>
        <w:spacing w:after="0" w:line="22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87" w:lineRule="exact"/>
        <w:rPr>
          <w:sz w:val="20"/>
          <w:szCs w:val="20"/>
          <w:color w:val="auto"/>
        </w:rPr>
      </w:pPr>
    </w:p>
    <w:p>
      <w:pPr>
        <w:ind w:left="660" w:right="500" w:hanging="206"/>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660" w:right="140" w:hanging="206"/>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at the time the transaction commenced, excluding for purposes of determining the voting stock outstanding, but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80" w:right="60"/>
        <w:spacing w:after="0" w:line="264" w:lineRule="auto"/>
        <w:rPr>
          <w:sz w:val="20"/>
          <w:szCs w:val="20"/>
          <w:color w:val="auto"/>
        </w:rPr>
      </w:pPr>
      <w:r>
        <w:rPr>
          <w:rFonts w:ascii="Arial" w:cs="Arial" w:eastAsia="Arial" w:hAnsi="Arial"/>
          <w:sz w:val="18"/>
          <w:szCs w:val="18"/>
          <w:color w:val="auto"/>
        </w:rPr>
        <w:t>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87" w:lineRule="exact"/>
        <w:rPr>
          <w:sz w:val="20"/>
          <w:szCs w:val="20"/>
          <w:color w:val="auto"/>
        </w:rPr>
      </w:pPr>
    </w:p>
    <w:p>
      <w:pPr>
        <w:ind w:left="660" w:hanging="206"/>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Restated Certificate of Incorporation and Restated Bylaw Provisions</w:t>
      </w:r>
    </w:p>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restated certificate of incorporation and our restated bylaws include a number of provisions that could deter hostile takeovers or delay or prevent changes in control of our company, including the following:</w:t>
      </w:r>
    </w:p>
    <w:p>
      <w:pPr>
        <w:spacing w:after="0" w:line="76" w:lineRule="exact"/>
        <w:rPr>
          <w:sz w:val="20"/>
          <w:szCs w:val="20"/>
          <w:color w:val="auto"/>
        </w:rPr>
      </w:pPr>
    </w:p>
    <w:p>
      <w:pPr>
        <w:ind w:left="660" w:right="140" w:hanging="206"/>
        <w:spacing w:after="0" w:line="276"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restated certificate of incorporation and restated bylaws authorize only our board of directors to fill vacant</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77" w:lineRule="exact"/>
        <w:rPr>
          <w:rFonts w:ascii="Arial" w:cs="Arial" w:eastAsia="Arial" w:hAnsi="Arial"/>
          <w:sz w:val="17"/>
          <w:szCs w:val="17"/>
          <w:color w:val="auto"/>
        </w:rPr>
      </w:pPr>
    </w:p>
    <w:p>
      <w:pPr>
        <w:jc w:val="both"/>
        <w:ind w:left="660" w:right="20" w:hanging="206"/>
        <w:spacing w:after="0" w:line="286"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Classified Board. </w:t>
      </w:r>
      <w:r>
        <w:rPr>
          <w:rFonts w:ascii="Arial" w:cs="Arial" w:eastAsia="Arial" w:hAnsi="Arial"/>
          <w:sz w:val="17"/>
          <w:szCs w:val="17"/>
          <w:color w:val="auto"/>
        </w:rPr>
        <w:t>Our restated certificate of incorporation and restated bylaws provide that our board is classified into three classes of directors, each</w:t>
      </w:r>
      <w:r>
        <w:rPr>
          <w:rFonts w:ascii="Arial" w:cs="Arial" w:eastAsia="Arial" w:hAnsi="Arial"/>
          <w:sz w:val="17"/>
          <w:szCs w:val="17"/>
          <w:i w:val="1"/>
          <w:iCs w:val="1"/>
          <w:color w:val="auto"/>
        </w:rPr>
        <w:t xml:space="preserve"> </w:t>
      </w:r>
      <w:r>
        <w:rPr>
          <w:rFonts w:ascii="Arial" w:cs="Arial" w:eastAsia="Arial" w:hAnsi="Arial"/>
          <w:sz w:val="17"/>
          <w:szCs w:val="17"/>
          <w:color w:val="auto"/>
        </w:rPr>
        <w:t>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70" w:lineRule="exact"/>
        <w:rPr>
          <w:rFonts w:ascii="Arial" w:cs="Arial" w:eastAsia="Arial" w:hAnsi="Arial"/>
          <w:sz w:val="17"/>
          <w:szCs w:val="17"/>
          <w:color w:val="auto"/>
        </w:rPr>
      </w:pPr>
    </w:p>
    <w:p>
      <w:pPr>
        <w:ind w:left="660" w:right="20" w:hanging="206"/>
        <w:spacing w:after="0" w:line="272"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Stockholder Action; Special Meetings of Stockholders. </w:t>
      </w:r>
      <w:r>
        <w:rPr>
          <w:rFonts w:ascii="Arial" w:cs="Arial" w:eastAsia="Arial" w:hAnsi="Arial"/>
          <w:sz w:val="17"/>
          <w:szCs w:val="17"/>
          <w:color w:val="auto"/>
        </w:rPr>
        <w:t>Our restated certificate of incorporation provides that our stockholders may not take action by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83" w:lineRule="exact"/>
        <w:rPr>
          <w:rFonts w:ascii="Arial" w:cs="Arial" w:eastAsia="Arial" w:hAnsi="Arial"/>
          <w:sz w:val="17"/>
          <w:szCs w:val="17"/>
          <w:color w:val="auto"/>
        </w:rPr>
      </w:pPr>
    </w:p>
    <w:p>
      <w:pPr>
        <w:ind w:left="660" w:right="260" w:hanging="206"/>
        <w:spacing w:after="0" w:line="25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restated bylaws provide advance notice procedures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340"/>
        <w:spacing w:after="0" w:line="308" w:lineRule="auto"/>
        <w:rPr>
          <w:sz w:val="20"/>
          <w:szCs w:val="20"/>
          <w:color w:val="auto"/>
        </w:rPr>
      </w:pPr>
      <w:r>
        <w:rPr>
          <w:rFonts w:ascii="Arial" w:cs="Arial" w:eastAsia="Arial" w:hAnsi="Arial"/>
          <w:sz w:val="17"/>
          <w:szCs w:val="17"/>
          <w:color w:val="auto"/>
        </w:rPr>
        <w:t>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52" w:lineRule="exact"/>
        <w:rPr>
          <w:sz w:val="20"/>
          <w:szCs w:val="20"/>
          <w:color w:val="auto"/>
        </w:rPr>
      </w:pPr>
    </w:p>
    <w:p>
      <w:pPr>
        <w:jc w:val="both"/>
        <w:ind w:left="660" w:right="400" w:hanging="206"/>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the right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a corporation’s certificate of incorporation provides otherwise. Our restated certificate of incorporation and restated bylaws do not provide for cumulative voting.</w:t>
      </w:r>
    </w:p>
    <w:p>
      <w:pPr>
        <w:spacing w:after="0" w:line="86" w:lineRule="exact"/>
        <w:rPr>
          <w:rFonts w:ascii="Arial" w:cs="Arial" w:eastAsia="Arial" w:hAnsi="Arial"/>
          <w:sz w:val="18"/>
          <w:szCs w:val="18"/>
          <w:color w:val="auto"/>
        </w:rPr>
      </w:pPr>
    </w:p>
    <w:p>
      <w:pPr>
        <w:ind w:left="660" w:right="300" w:hanging="206"/>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restated certificate of incorporation provides that stockholders may remove directors only for cause and</w:t>
      </w:r>
      <w:r>
        <w:rPr>
          <w:rFonts w:ascii="Arial" w:cs="Arial" w:eastAsia="Arial" w:hAnsi="Arial"/>
          <w:sz w:val="18"/>
          <w:szCs w:val="18"/>
          <w:i w:val="1"/>
          <w:iCs w:val="1"/>
          <w:color w:val="auto"/>
        </w:rPr>
        <w:t xml:space="preserve"> </w:t>
      </w:r>
      <w:r>
        <w:rPr>
          <w:rFonts w:ascii="Arial" w:cs="Arial" w:eastAsia="Arial" w:hAnsi="Arial"/>
          <w:sz w:val="18"/>
          <w:szCs w:val="18"/>
          <w:color w:val="auto"/>
        </w:rPr>
        <w:t>only by the affirmative vote of the holders of at least two-thirds of our outstanding common stock.</w:t>
      </w:r>
    </w:p>
    <w:p>
      <w:pPr>
        <w:spacing w:after="0" w:line="75" w:lineRule="exact"/>
        <w:rPr>
          <w:rFonts w:ascii="Arial" w:cs="Arial" w:eastAsia="Arial" w:hAnsi="Arial"/>
          <w:sz w:val="18"/>
          <w:szCs w:val="18"/>
          <w:color w:val="auto"/>
        </w:rPr>
      </w:pPr>
    </w:p>
    <w:p>
      <w:pPr>
        <w:ind w:left="660" w:right="220" w:hanging="206"/>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provisions in our restated certificate of incorporation would require approval by</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at least two-thirds of our outstanding common stock.</w:t>
      </w:r>
    </w:p>
    <w:p>
      <w:pPr>
        <w:spacing w:after="0" w:line="75" w:lineRule="exact"/>
        <w:rPr>
          <w:rFonts w:ascii="Arial" w:cs="Arial" w:eastAsia="Arial" w:hAnsi="Arial"/>
          <w:sz w:val="18"/>
          <w:szCs w:val="18"/>
          <w:color w:val="auto"/>
        </w:rPr>
      </w:pPr>
    </w:p>
    <w:p>
      <w:pPr>
        <w:ind w:left="660" w:hanging="206"/>
        <w:spacing w:after="0" w:line="279"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 issue up to</w:t>
      </w:r>
      <w:r>
        <w:rPr>
          <w:rFonts w:ascii="Arial" w:cs="Arial" w:eastAsia="Arial" w:hAnsi="Arial"/>
          <w:sz w:val="17"/>
          <w:szCs w:val="17"/>
          <w:i w:val="1"/>
          <w:iCs w:val="1"/>
          <w:color w:val="auto"/>
        </w:rPr>
        <w:t xml:space="preserve"> </w:t>
      </w:r>
      <w:r>
        <w:rPr>
          <w:rFonts w:ascii="Arial" w:cs="Arial" w:eastAsia="Arial" w:hAnsi="Arial"/>
          <w:sz w:val="17"/>
          <w:szCs w:val="17"/>
          <w:color w:val="auto"/>
        </w:rPr>
        <w:t>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76" w:lineRule="exact"/>
        <w:rPr>
          <w:rFonts w:ascii="Arial" w:cs="Arial" w:eastAsia="Arial" w:hAnsi="Arial"/>
          <w:sz w:val="17"/>
          <w:szCs w:val="17"/>
          <w:color w:val="auto"/>
        </w:rPr>
      </w:pPr>
    </w:p>
    <w:p>
      <w:pPr>
        <w:ind w:left="660" w:hanging="206"/>
        <w:spacing w:after="0" w:line="25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Our restated certificate of incorporation provides that the Court of Chancery of the State of Delaware will be the exclusive forum</w:t>
      </w:r>
      <w:r>
        <w:rPr>
          <w:rFonts w:ascii="Arial" w:cs="Arial" w:eastAsia="Arial" w:hAnsi="Arial"/>
          <w:sz w:val="18"/>
          <w:szCs w:val="18"/>
          <w:i w:val="1"/>
          <w:iCs w:val="1"/>
          <w:color w:val="auto"/>
        </w:rPr>
        <w:t xml:space="preserve"> </w:t>
      </w:r>
      <w:r>
        <w:rPr>
          <w:rFonts w:ascii="Arial" w:cs="Arial" w:eastAsia="Arial" w:hAnsi="Arial"/>
          <w:sz w:val="18"/>
          <w:szCs w:val="18"/>
          <w:color w:val="auto"/>
        </w:rPr>
        <w:t>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and Trust Company, LLC. The transfer agent’s address is 6201 15th Avenue, Brooklyn, New York 11219, and its telephone number is (800) 937-5449.</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section summarizes the material U.S. federal income tax considerations relating to the acquisition, ownership and disposition of our common stock acquired in this offering by “non-U.S. holders” (as defined below). This summary does not provide a complete analysis of all potential U.S. federal income tax considerations relating thereto. The information provided below is based upon provisions of the Internal Revenue Code of 1986, as amended, or the Code, Treasury regulations promulgated thereunder, administrative rulings and judicial decisions currently in effect. These authorities may change at any time, possibly retroactively, or the Internal Revenue Service, or IRS, might interpret the existing authorities differently. In either case, the tax considerations of owning or disposing of our common stock could differ from those described below. As a result, we cannot assure you that the tax consequences described in this discussion will not be challenged by the IRS or will be sustained by a court if challenged by the IRS.</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summary does not address the tax considerations arising under the laws of any non-U.S., state or local jurisdiction, or under U.S. federal gift and estate tax laws, except to the limited extent provided below. In addition, this discussion does not address tax considerations applicable to an investor’s particular circumstances or to investors that may be subject to special tax rules, including, without limitation:</w:t>
      </w:r>
    </w:p>
    <w:p>
      <w:pPr>
        <w:spacing w:after="0" w:line="87"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partnerships or other entities treated as partnerships or pass-through entities for U.S. federal tax purposes (or investors in such entities);</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Medicare contribution tax on net investment income;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tax-exempt organizations or tax-qualified retirement plans;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persons who hold our common stock as a position in a hedging transaction, “straddle,” “conversion transaction” or other risk reduction transaction;</w:t>
      </w:r>
    </w:p>
    <w:p>
      <w:pPr>
        <w:spacing w:after="0" w:line="153" w:lineRule="exact"/>
        <w:rPr>
          <w:rFonts w:ascii="Arial" w:cs="Arial" w:eastAsia="Arial" w:hAnsi="Arial"/>
          <w:sz w:val="16"/>
          <w:szCs w:val="16"/>
          <w:color w:val="auto"/>
        </w:rPr>
      </w:pPr>
    </w:p>
    <w:p>
      <w:pPr>
        <w:ind w:left="660" w:right="160" w:hanging="206"/>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if a partnership or entity classified as a partnership or other pass-through entity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summary does not address tax considerations applicable to partnerships that hold our common stock, and partners in such partnerships should consult their tax advisors.</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INVESTORS CONSIDERING THE PURCHASE OF OUR COMMON STOCK SHOULD CONSULT THEIR OWN TAX ADVISORS REGARDING THE APPLICATION OF THE U.S. FEDERAL INCOME AND ESTATE TAX LAWS TO THEIR PARTICULAR SITUATIONS AND THE CONSEQUENCES OF FOREIGN, STATE OR LOCAL LAWS, AND TAX TREATIES.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Non-U.S. Holder Defined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summary, a “non-U.S. holder” is any beneficial owner of our common stock, other than a partnership, that is not:</w:t>
      </w:r>
    </w:p>
    <w:p>
      <w:pPr>
        <w:spacing w:after="0" w:line="131"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any state therein or the District of Columbia;</w:t>
      </w:r>
    </w:p>
    <w:p>
      <w:pPr>
        <w:spacing w:after="0" w:line="75"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trust if it (i) is subject to the primary supervision of a U.S. court and one of more U.S. persons have authority to control all substantial decisions of the trust or (ii) has a valid election in effect under the applicable Treasury regulations to be treated as a U.S. person;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estate whose income is subject to U.S. income tax regardless of source.</w:t>
      </w:r>
    </w:p>
    <w:p>
      <w:pPr>
        <w:spacing w:after="0" w:line="225"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6"/>
          <w:szCs w:val="16"/>
          <w:color w:val="auto"/>
        </w:rPr>
        <w:t>If you are a non-U.S. citizen who is an individual,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Resident aliens are subject to U.S. federal income tax as if they were U.S. citizens.</w:t>
      </w:r>
    </w:p>
    <w:p>
      <w:pPr>
        <w:spacing w:after="0" w:line="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Such an individual is urged to consult his or her own tax advisor regarding the U.S. federal income tax consequences of the ownership or disposition of our common stock.</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“—Sale of Common Stock.”</w:t>
      </w:r>
    </w:p>
    <w:p>
      <w:pPr>
        <w:spacing w:after="0" w:line="1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 Form W-8BEN or Form W-8BEN-E (or any successor of such forms) or appropriate substitute form to us or our paying agent. If the non-U.S.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corporate non-U.S. holders that are effectively connected with a U.S. trade or business of the corporate non-U.S. holder may also be subject to a branch profits tax at a rate of 30% or such lower rate as may be specified by an applicable tax treaty.</w:t>
      </w:r>
    </w:p>
    <w:p>
      <w:pPr>
        <w:spacing w:after="0" w:line="17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See also the section below titled “—Foreign Account Tax Compliance Act” for additional withholding rules that may apply to dividends paid to certain foreign financial institutions or non-financial foreign entities.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 of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discussions below regarding Backup Withholding and Information Reporting and the Foreign Account Tax Compliance Act,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holders will generally not be subject to U.S. federal income tax on any gains realized on the sale, exchange or other disposition of our common stock unless:</w:t>
      </w:r>
    </w:p>
    <w:p>
      <w:pPr>
        <w:spacing w:after="0" w:line="139" w:lineRule="exact"/>
        <w:rPr>
          <w:sz w:val="20"/>
          <w:szCs w:val="20"/>
          <w:color w:val="auto"/>
        </w:rPr>
      </w:pPr>
    </w:p>
    <w:p>
      <w:pPr>
        <w:jc w:val="both"/>
        <w:ind w:left="660" w:right="140" w:hanging="206"/>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86" w:lineRule="exact"/>
        <w:rPr>
          <w:rFonts w:ascii="Arial" w:cs="Arial" w:eastAsia="Arial" w:hAnsi="Arial"/>
          <w:sz w:val="18"/>
          <w:szCs w:val="18"/>
          <w:color w:val="auto"/>
        </w:rPr>
      </w:pPr>
    </w:p>
    <w:p>
      <w:pPr>
        <w:ind w:left="660" w:right="60" w:hanging="206"/>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92" w:lineRule="exact"/>
        <w:rPr>
          <w:rFonts w:ascii="Arial" w:cs="Arial" w:eastAsia="Arial" w:hAnsi="Arial"/>
          <w:sz w:val="18"/>
          <w:szCs w:val="18"/>
          <w:color w:val="auto"/>
        </w:rPr>
      </w:pPr>
    </w:p>
    <w:p>
      <w:pPr>
        <w:ind w:left="660" w:hanging="206"/>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rules of the Foreign Investment in Real Property Tax Act, or FIRPTA, treat the gain as effectively connected with a U.S. trade or business.</w:t>
      </w:r>
    </w:p>
    <w:p>
      <w:pPr>
        <w:spacing w:after="0" w:line="23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become a USRPHC, gain realized by a Non U.S. Holder on a disposition of our common stock will not be subject to U.S. federal income tax so long as (1) the Non U.S. Holder owned, directly, indirectly or constructively, no more than five percent of our common stock at all times within the shorter of (i) the five year period preceding the disposition or (ii) the holder’s holding period and (2) our common stock is regularly traded on an established securities market.</w:t>
      </w:r>
    </w:p>
    <w:p>
      <w:pPr>
        <w:spacing w:after="0" w:line="18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The branch profits tax rate is 30%, although an applicable income tax treaty between the United States and the non-U.S. holder’s country of residence might provide for a lower rate.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Federal Estate Tax</w:t>
      </w:r>
    </w:p>
    <w:p>
      <w:pPr>
        <w:spacing w:after="0" w:line="229"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own tax advisors regarding the U.S. federal estate tax consequences of the ownership or disposition of our common stock.</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Code and the Treasury regulations require those who make specified payments to report the payments to the IRS. Among the specified payments are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or failing to report interest or dividends on his returns. The backup withholding tax rate is currently 28%. The backup withholding rules do not apply to payments to corporations, whether domestic or foreign, provided they establish such exemption.</w:t>
      </w:r>
    </w:p>
    <w:p>
      <w:pPr>
        <w:spacing w:after="0" w:line="16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Payments to non-U.S. holders of dividends on common stock generally will not be subject to backup withholding, and payments of proceeds made to non-U.S. holders by a broker upon a sale of common stock will not be subject to information reporting or backup withholding, in each case so long as the non-U.S. holder certifies its nonresident status (and we or our paying agent do not have actual knowledge or reason to know the holder is a U.S. person or that the conditions of any other exemption are not, in fact, satisfied) or otherwise establishes an exemption. The certification procedures to claim treaty benefits described under “—Dividends” will generally satisfy the certification requirements necessary to avoid the backup withholding tax. We must report annually to the IRS any dividends paid to each non-U.S. holder and the tax withheld, if any, with respect to these dividends. Copies of these reports may be made available to tax authorities in the country where the non-U.S. holder resides.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Treasury regulations, the payment of proceeds from the disposition of shares of our common stock by a non-U.S. holder made to or through a U.S. office of a broker generally will be subject to information reporting and backup withholding unless the beneficial owner certifies, under penalties of perjury, among other things, its status as a non-U.S. holder (and the broker does not have actual knowledge or reason to know the holder is a U.S.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Information reporting, but not backup withholding, will apply to a payment of proceeds, even if that payment is made outside of the United States, if you sell our common stock through a non-U.S. office of a broker that is:</w:t>
      </w:r>
    </w:p>
    <w:p>
      <w:pPr>
        <w:spacing w:after="0" w:line="95" w:lineRule="exact"/>
        <w:rPr>
          <w:sz w:val="20"/>
          <w:szCs w:val="20"/>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U.S. person (including a foreign branch or office of such person);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foreign person 50% or more of whose gross income from certain periods is effectively connected with a U.S. trade or business; or</w:t>
      </w:r>
    </w:p>
    <w:p>
      <w:pPr>
        <w:spacing w:after="0" w:line="130" w:lineRule="exact"/>
        <w:rPr>
          <w:rFonts w:ascii="Arial" w:cs="Arial" w:eastAsia="Arial" w:hAnsi="Arial"/>
          <w:sz w:val="18"/>
          <w:szCs w:val="18"/>
          <w:color w:val="auto"/>
        </w:rPr>
      </w:pPr>
    </w:p>
    <w:p>
      <w:pPr>
        <w:ind w:left="660" w:right="140" w:hanging="206"/>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broker has documentary evidence that the beneficial owner is a non-U.S. holder and certain other conditions are satisfied, or the beneficial owner otherwise establishes an exemption (and the broker has no actual knowledge or reason to know to the contrary).</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Backup withholding is not an additional tax. Any amounts withheld from a payment to a holder of common stock under the backup withholding rules can be credited against any U.S. federal income tax liability of the holder and may entitle the holder to a refund, provided that the required information is furnished to the IRS in a timely manner.</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Account Tax Compliance Act</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 U.S. federal withholding tax of 30% may apply to dividends and the gross proceeds of a disposition of our common stock paid to a foreign financial institution (as specifically defined by the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This U.S. federal withholding tax of 30% will also apply to dividends and the gross proceeds of a disposition of our common stock paid to a non-financial foreign entity unless such entity provides the withholding agent with either a certification that it does not have any substantial direct or indirect U.S. owners or provides information regarding direct and indirect U.S. owners of the entity. The 30% federal withholding tax described in this paragraph cannot be reduced under an income tax treaty with the United States or by providing an IRS Form W-8BEN or similar documentation. The withholding tax described above will not apply if the foreign financial institution or non-financial foreign entity otherwise qualifies for an exemption from the rules. Under certain circumstances, a non-U.S. holder might be eligible for refunds or credits of such taxes. Holders should consult with their own tax advisors regarding the possible implications of the withholding described herein. Foreign financial institutions located in jurisdictions that have an intergovernmental agreement with the United States governing FATCA may be subject to different rules.</w:t>
      </w:r>
    </w:p>
    <w:p>
      <w:pPr>
        <w:spacing w:after="0" w:line="18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withholding provisions described above generally will apply to proceeds from a sale or other disposition of common stock if such sale or other disposition occurs on or after January 1, 2019 and currently apply to payments of dividends on our common stock.</w:t>
      </w:r>
    </w:p>
    <w:p>
      <w:pPr>
        <w:spacing w:after="0" w:line="17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EACH PROSPECTIVE INVESTOR SHOULD CONSULT ITS OWN TAX ADVISOR REGARDING THE PARTICULAR U.S. FEDERAL, STATE, LOCAL AND FOREIGN TAX CONSEQUENCES OF PURCHASING, HOLDING AND DISPOSING OF OUR COMMON STOCK, INCLUDING THE CONSEQUENCES OF ANY PROPOSED CHANGE IN APPLICABLE LAWS.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74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4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100" w:type="dxa"/>
            <w:vAlign w:val="bottom"/>
          </w:tcPr>
          <w:p>
            <w:pPr>
              <w:ind w:left="3620"/>
              <w:spacing w:after="0"/>
              <w:rPr>
                <w:sz w:val="20"/>
                <w:szCs w:val="20"/>
                <w:color w:val="auto"/>
              </w:rPr>
            </w:pPr>
            <w:r>
              <w:rPr>
                <w:rFonts w:ascii="Arial" w:cs="Arial" w:eastAsia="Arial" w:hAnsi="Arial"/>
                <w:sz w:val="18"/>
                <w:szCs w:val="18"/>
                <w:b w:val="1"/>
                <w:bCs w:val="1"/>
                <w:color w:val="auto"/>
              </w:rPr>
              <w:t>UNDERWRITING</w:t>
            </w:r>
          </w:p>
        </w:tc>
        <w:tc>
          <w:tcPr>
            <w:tcW w:w="3480" w:type="dxa"/>
            <w:vAlign w:val="bottom"/>
          </w:tcPr>
          <w:p>
            <w:pPr>
              <w:spacing w:after="0"/>
              <w:rPr>
                <w:sz w:val="24"/>
                <w:szCs w:val="24"/>
                <w:color w:val="auto"/>
              </w:rPr>
            </w:pPr>
          </w:p>
        </w:tc>
      </w:tr>
      <w:tr>
        <w:trPr>
          <w:trHeight w:val="432"/>
        </w:trPr>
        <w:tc>
          <w:tcPr>
            <w:tcW w:w="7460" w:type="dxa"/>
            <w:vAlign w:val="bottom"/>
            <w:gridSpan w:val="2"/>
          </w:tcPr>
          <w:p>
            <w:pPr>
              <w:ind w:left="460"/>
              <w:spacing w:after="0"/>
              <w:rPr>
                <w:sz w:val="20"/>
                <w:szCs w:val="20"/>
                <w:color w:val="auto"/>
              </w:rPr>
            </w:pPr>
            <w:r>
              <w:rPr>
                <w:rFonts w:ascii="Arial" w:cs="Arial" w:eastAsia="Arial" w:hAnsi="Arial"/>
                <w:sz w:val="18"/>
                <w:szCs w:val="18"/>
                <w:color w:val="auto"/>
                <w:w w:val="95"/>
              </w:rPr>
              <w:t>Under the terms and subject to the conditions contained in an underwriting agreement dated</w:t>
            </w:r>
          </w:p>
        </w:tc>
        <w:tc>
          <w:tcPr>
            <w:tcW w:w="3480" w:type="dxa"/>
            <w:vAlign w:val="bottom"/>
          </w:tcPr>
          <w:p>
            <w:pPr>
              <w:ind w:left="380"/>
              <w:spacing w:after="0"/>
              <w:rPr>
                <w:sz w:val="20"/>
                <w:szCs w:val="20"/>
                <w:color w:val="auto"/>
              </w:rPr>
            </w:pPr>
            <w:r>
              <w:rPr>
                <w:rFonts w:ascii="Arial" w:cs="Arial" w:eastAsia="Arial" w:hAnsi="Arial"/>
                <w:sz w:val="18"/>
                <w:szCs w:val="18"/>
                <w:color w:val="auto"/>
                <w:w w:val="89"/>
              </w:rPr>
              <w:t>, we have agreed to sell to the underwriters</w:t>
            </w:r>
          </w:p>
        </w:tc>
      </w:tr>
    </w:tbl>
    <w:p>
      <w:pPr>
        <w:ind w:right="1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named below, for whom Credit Suisse Securities (USA) LLC, Jefferies LLC and Stifel, Nicolaus &amp; Company, Incorporated are acting as representatives, the following respective numbers of shares of common stock:</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880" w:type="dxa"/>
            <w:vAlign w:val="bottom"/>
          </w:tcPr>
          <w:p>
            <w:pPr>
              <w:ind w:left="18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58"/>
        </w:trPr>
        <w:tc>
          <w:tcPr>
            <w:tcW w:w="10480" w:type="dxa"/>
            <w:vAlign w:val="bottom"/>
            <w:gridSpan w:val="2"/>
            <w:vMerge w:val="continue"/>
          </w:tcPr>
          <w:p>
            <w:pPr>
              <w:spacing w:after="0"/>
              <w:rPr>
                <w:sz w:val="13"/>
                <w:szCs w:val="13"/>
                <w:color w:val="auto"/>
              </w:rPr>
            </w:pPr>
          </w:p>
        </w:tc>
        <w:tc>
          <w:tcPr>
            <w:tcW w:w="88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of Shares</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80" w:type="dxa"/>
            <w:vAlign w:val="bottom"/>
            <w:gridSpan w:val="2"/>
          </w:tcPr>
          <w:p>
            <w:pPr>
              <w:spacing w:after="0" w:line="176" w:lineRule="exact"/>
              <w:rPr>
                <w:sz w:val="20"/>
                <w:szCs w:val="20"/>
                <w:color w:val="auto"/>
              </w:rPr>
            </w:pPr>
            <w:r>
              <w:rPr>
                <w:rFonts w:ascii="Arial" w:cs="Arial" w:eastAsia="Arial" w:hAnsi="Arial"/>
                <w:sz w:val="18"/>
                <w:szCs w:val="18"/>
                <w:color w:val="auto"/>
              </w:rPr>
              <w:t>Credit Suisse Securities (USA) LLC</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7"/>
              </w:rPr>
              <w:t>3,000,000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underwriting agreement provides that the underwriters are obligated to purchase all the shares of common stock in the offering if any are purchased, other than those shares covered by the option to purchase additional shares described below. The underwriting agreement also provides that if an underwriter defaults the purchase commitments of non-defaulting underwriters may be increased or the offering may be terminated.</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have granted to the underwriters a 30-day option to purchase on a pro rata basis up to 450,000 additional shares at the public offering price less the underwriting discounts and commissions.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shares of common stock initially at the public offering price on the cover page of this prospectus and to selling</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group members at that price less a selling concession of $ per share. The underwriters and selling group members may allow a discount of $ per share on sales to other broker/dealers. After the public offering the underwriters may change the public offering price and concession and discount to broker/dealers.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we will pay: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2120" w:type="dxa"/>
            <w:vAlign w:val="bottom"/>
            <w:gridSpan w:val="4"/>
          </w:tcPr>
          <w:p>
            <w:pPr>
              <w:ind w:left="560"/>
              <w:spacing w:after="0"/>
              <w:rPr>
                <w:sz w:val="20"/>
                <w:szCs w:val="20"/>
                <w:color w:val="auto"/>
              </w:rPr>
            </w:pPr>
            <w:r>
              <w:rPr>
                <w:rFonts w:ascii="Arial" w:cs="Arial" w:eastAsia="Arial" w:hAnsi="Arial"/>
                <w:sz w:val="14"/>
                <w:szCs w:val="14"/>
                <w:b w:val="1"/>
                <w:bCs w:val="1"/>
                <w:color w:val="auto"/>
              </w:rPr>
              <w:t>Per Share</w:t>
            </w:r>
          </w:p>
        </w:tc>
        <w:tc>
          <w:tcPr>
            <w:tcW w:w="660" w:type="dxa"/>
            <w:vAlign w:val="bottom"/>
          </w:tcPr>
          <w:p>
            <w:pPr>
              <w:spacing w:after="0"/>
              <w:rPr>
                <w:sz w:val="14"/>
                <w:szCs w:val="14"/>
                <w:color w:val="auto"/>
              </w:rPr>
            </w:pPr>
          </w:p>
        </w:tc>
        <w:tc>
          <w:tcPr>
            <w:tcW w:w="1040" w:type="dxa"/>
            <w:vAlign w:val="bottom"/>
            <w:gridSpan w:val="2"/>
          </w:tcPr>
          <w:p>
            <w:pPr>
              <w:jc w:val="right"/>
              <w:ind w:right="626"/>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9"/>
        </w:trPr>
        <w:tc>
          <w:tcPr>
            <w:tcW w:w="754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Without</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400" w:type="dxa"/>
            <w:vAlign w:val="bottom"/>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3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Option to</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Option to</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Option to</w:t>
            </w: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 to</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Purchase</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Purchase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9"/>
        </w:trPr>
        <w:tc>
          <w:tcPr>
            <w:tcW w:w="754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Additional</w:t>
            </w:r>
          </w:p>
        </w:tc>
        <w:tc>
          <w:tcPr>
            <w:tcW w:w="3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171"/>
        </w:trPr>
        <w:tc>
          <w:tcPr>
            <w:tcW w:w="7540" w:type="dxa"/>
            <w:vAlign w:val="bottom"/>
            <w:vMerge w:val="restart"/>
          </w:tcPr>
          <w:p>
            <w:pPr>
              <w:spacing w:after="0"/>
              <w:rPr>
                <w:sz w:val="20"/>
                <w:szCs w:val="20"/>
                <w:color w:val="auto"/>
              </w:rPr>
            </w:pPr>
            <w:r>
              <w:rPr>
                <w:rFonts w:ascii="Arial" w:cs="Arial" w:eastAsia="Arial" w:hAnsi="Arial"/>
                <w:sz w:val="18"/>
                <w:szCs w:val="18"/>
                <w:color w:val="auto"/>
              </w:rPr>
              <w:t>Underwriting Discounts and Commissions paid by us</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Shares</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Shares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24"/>
        </w:trPr>
        <w:tc>
          <w:tcPr>
            <w:tcW w:w="7540" w:type="dxa"/>
            <w:vAlign w:val="bottom"/>
            <w:vMerge w:val="continue"/>
          </w:tcPr>
          <w:p>
            <w:pPr>
              <w:spacing w:after="0"/>
              <w:rPr>
                <w:sz w:val="19"/>
                <w:szCs w:val="19"/>
                <w:color w:val="auto"/>
              </w:rPr>
            </w:pPr>
          </w:p>
        </w:tc>
        <w:tc>
          <w:tcPr>
            <w:tcW w:w="660" w:type="dxa"/>
            <w:vAlign w:val="bottom"/>
            <w:tcBorders>
              <w:top w:val="single" w:sz="8" w:color="auto"/>
            </w:tcBorders>
          </w:tcPr>
          <w:p>
            <w:pPr>
              <w:jc w:val="right"/>
              <w:ind w:right="486"/>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ind w:right="508"/>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ind w:right="508"/>
              <w:spacing w:after="0"/>
              <w:rPr>
                <w:sz w:val="20"/>
                <w:szCs w:val="20"/>
                <w:color w:val="auto"/>
              </w:rPr>
            </w:pPr>
            <w:r>
              <w:rPr>
                <w:rFonts w:ascii="Arial" w:cs="Arial" w:eastAsia="Arial" w:hAnsi="Arial"/>
                <w:sz w:val="15"/>
                <w:szCs w:val="15"/>
                <w:color w:val="auto"/>
                <w:w w:val="71"/>
              </w:rPr>
              <w:t>$</w:t>
            </w:r>
          </w:p>
        </w:tc>
        <w:tc>
          <w:tcPr>
            <w:tcW w:w="380" w:type="dxa"/>
            <w:vAlign w:val="bottom"/>
          </w:tcPr>
          <w:p>
            <w:pPr>
              <w:spacing w:after="0"/>
              <w:rPr>
                <w:sz w:val="19"/>
                <w:szCs w:val="19"/>
                <w:color w:val="auto"/>
              </w:rPr>
            </w:pPr>
          </w:p>
        </w:tc>
        <w:tc>
          <w:tcPr>
            <w:tcW w:w="660" w:type="dxa"/>
            <w:vAlign w:val="bottom"/>
            <w:tcBorders>
              <w:top w:val="single" w:sz="8" w:color="auto"/>
            </w:tcBorders>
          </w:tcPr>
          <w:p>
            <w:pPr>
              <w:jc w:val="right"/>
              <w:ind w:right="486"/>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estimate that our out of pocket expenses for this offering will be approximately $434,060. We have also agreed to reimburse the underwriters for up to $35,000 for their FINRA counsel fee. In accordance with FINRA Rule 5110, this reimbursed fee is deemed underwriting compensation for this offering. In addition, the underwriters have agreed to reimburse us for certain expenses.</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and our executive officers and directors (other than Dr. Lydon) have agreed with the underwriters that, for a period of 90 days after the date of this prospectus, and Dr. Lydon and entities affiliated with Frazier Healthcare have agreed with the underwriters that, for a period of 60 days after the date of this prospectus, subject to certain exceptions, we and they will not (1) offer, sell, pledge, contract to sell, sell any option or contract to purchase, purchase any option or contract to sell, grant any option, right or warrant to purchase, lend, or otherwise transfer or dispose of (or enter into any transaction which is designed to, or might reasonably be expected to, result in the disposition), directly or indirectly, including the filing (or participation in the filing) with the SEC of a registration statement under the Securities Act to register, any shares of our common stock or any securities convertible into or exercisable or exchangeable for our common stock or warrants or other rights to acquire shares of our common stock of which such officer, director or holder is now, or may in the future become, the beneficial owner (within the meaning of Rule 13d-3 under the Exchange Act), or (2) enter into 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46"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swap or other derivatives transaction that transfers to another, in whole or in part, directly or indirectly, any of the economic benefits or risks of ownership of such common stock, securities, warrants or other rights to acquire common stock, whether any such transaction described in clause (1) or (2) above is to be settled by delivery of common stock or other securities, in cash or otherwise, or (3) publicly disclose the intention to enter into any transaction described in clause (1) or (2) above, except with the prior written consent of Credit Suisse Securities (USA) LLC.</w:t>
      </w:r>
    </w:p>
    <w:p>
      <w:pPr>
        <w:spacing w:after="0" w:line="17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restrictions on our executive officers and directors and their affiliates above do not apply to the following, subject to certain limitations set forth in the lock-up agreements:</w:t>
      </w:r>
    </w:p>
    <w:p>
      <w:pPr>
        <w:spacing w:after="0" w:line="76" w:lineRule="exact"/>
        <w:rPr>
          <w:sz w:val="20"/>
          <w:szCs w:val="20"/>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of securities as a bona fide gift;</w:t>
      </w:r>
    </w:p>
    <w:p>
      <w:pPr>
        <w:spacing w:after="0" w:line="130"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or dispositions of securities to any trust for the direct or indirect benefit of the lock-up signatory or any member of the immediate family of the lock-up signatory;</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of securities to affiliates;</w:t>
      </w:r>
    </w:p>
    <w:p>
      <w:pPr>
        <w:spacing w:after="0" w:line="130" w:lineRule="exact"/>
        <w:rPr>
          <w:rFonts w:ascii="Arial" w:cs="Arial" w:eastAsia="Arial" w:hAnsi="Arial"/>
          <w:sz w:val="18"/>
          <w:szCs w:val="18"/>
          <w:color w:val="auto"/>
        </w:rPr>
      </w:pPr>
    </w:p>
    <w:p>
      <w:pPr>
        <w:ind w:left="660" w:right="260" w:hanging="206"/>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of securities by will, other testamentary document or intestate succession to the legal representative, heir, beneficiary or a member of the immediate family of the lock-up signatory;</w:t>
      </w:r>
    </w:p>
    <w:p>
      <w:pPr>
        <w:spacing w:after="0" w:line="75" w:lineRule="exact"/>
        <w:rPr>
          <w:rFonts w:ascii="Arial" w:cs="Arial" w:eastAsia="Arial" w:hAnsi="Arial"/>
          <w:sz w:val="18"/>
          <w:szCs w:val="18"/>
          <w:color w:val="auto"/>
        </w:rPr>
      </w:pPr>
    </w:p>
    <w:p>
      <w:pPr>
        <w:ind w:left="660" w:right="120" w:hanging="206"/>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or dispositions of shares of our common stock or securities convertible or exchangeable into shares of our common stock acquired in open market purchases after the closing of this offering;</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entry into any trading plan established pursuant to Rule 10b5-1 under the Exchange Act;</w:t>
      </w:r>
    </w:p>
    <w:p>
      <w:pPr>
        <w:spacing w:after="0" w:line="130"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exercise of options, warrants or other rights to acquire shares of common stock in accordance with their terms pursuant to an employee benefit plan, option, warrant or other right;</w:t>
      </w:r>
    </w:p>
    <w:p>
      <w:pPr>
        <w:spacing w:after="0" w:line="75" w:lineRule="exact"/>
        <w:rPr>
          <w:rFonts w:ascii="Arial" w:cs="Arial" w:eastAsia="Arial" w:hAnsi="Arial"/>
          <w:sz w:val="18"/>
          <w:szCs w:val="18"/>
          <w:color w:val="auto"/>
        </w:rPr>
      </w:pPr>
    </w:p>
    <w:p>
      <w:pPr>
        <w:ind w:left="660" w:right="340" w:hanging="206"/>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pursuant to a court order or settlement agreement related to the distribution of assets in connection with the dissolution of a marriage or civil union;</w:t>
      </w:r>
    </w:p>
    <w:p>
      <w:pPr>
        <w:spacing w:after="0" w:line="75"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to us pursuant to agreements under which we have the option to repurchase such shares or a right of first refusal with respect to transfers of such shares upon termination of service of the lock-up signatory;</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by certain stockholders of shares purchased in this offering; or</w:t>
      </w:r>
    </w:p>
    <w:p>
      <w:pPr>
        <w:spacing w:after="0" w:line="130" w:lineRule="exact"/>
        <w:rPr>
          <w:rFonts w:ascii="Arial" w:cs="Arial" w:eastAsia="Arial" w:hAnsi="Arial"/>
          <w:sz w:val="18"/>
          <w:szCs w:val="18"/>
          <w:color w:val="auto"/>
        </w:rPr>
      </w:pPr>
    </w:p>
    <w:p>
      <w:pPr>
        <w:jc w:val="both"/>
        <w:ind w:left="660" w:right="100" w:hanging="206"/>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transfers of shares of our common stock or any security convertible into or exercisable or exchangeable for common stock pursuant to a liquidation, tender offer, merger, consolidation or similar transaction that results in all of our stockholders having the right to exchange their securities for cash, securities or other property.</w:t>
      </w:r>
    </w:p>
    <w:p>
      <w:pPr>
        <w:spacing w:after="0" w:line="18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have agreed to indemnify the underwriters against liabilities under the Securities Act, or contribute to payments that the underwriters may be required to make in that respect.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Select Market under the symbol “ANAB.”</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In connection with the offering the underwriters may engage in stabilizing transactions, over-allotment transactions, syndicate covering transactions and penalty bids and passive market making in accordance with Regulation M under the Securities Exchange Act of 1934, as amended, or the Exchange Act.</w:t>
      </w:r>
    </w:p>
    <w:p>
      <w:pPr>
        <w:spacing w:after="0" w:line="29" w:lineRule="exact"/>
        <w:rPr>
          <w:sz w:val="20"/>
          <w:szCs w:val="20"/>
          <w:color w:val="auto"/>
        </w:rPr>
      </w:pPr>
    </w:p>
    <w:p>
      <w:pPr>
        <w:ind w:left="660" w:hanging="206"/>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660" w:right="40" w:hanging="206"/>
        <w:spacing w:after="0" w:line="286"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additional shares that they have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100"/>
        <w:spacing w:after="0" w:line="264" w:lineRule="auto"/>
        <w:rPr>
          <w:sz w:val="20"/>
          <w:szCs w:val="20"/>
          <w:color w:val="auto"/>
        </w:rPr>
      </w:pPr>
      <w:r>
        <w:rPr>
          <w:rFonts w:ascii="Arial" w:cs="Arial" w:eastAsia="Arial" w:hAnsi="Arial"/>
          <w:sz w:val="18"/>
          <w:szCs w:val="18"/>
          <w:color w:val="auto"/>
        </w:rPr>
        <w:t>the option to purchase. In a naked short position, the number of shares involved is greater than the number of additional shares that they have the option to purchase. The underwriters may close out any covered short position by either exercising their option to purchase additional shares and/or purchasing shares in the open market.</w:t>
      </w:r>
    </w:p>
    <w:p>
      <w:pPr>
        <w:spacing w:after="0" w:line="87" w:lineRule="exact"/>
        <w:rPr>
          <w:sz w:val="20"/>
          <w:szCs w:val="20"/>
          <w:color w:val="auto"/>
        </w:rPr>
      </w:pPr>
    </w:p>
    <w:p>
      <w:pPr>
        <w:ind w:left="660" w:right="20" w:hanging="206"/>
        <w:spacing w:after="0" w:line="255"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additional shares through their option. If the underwriters sell more shares than could be covered by the option to purchase additional shares,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94" w:lineRule="exact"/>
        <w:rPr>
          <w:rFonts w:ascii="Arial" w:cs="Arial" w:eastAsia="Arial" w:hAnsi="Arial"/>
          <w:sz w:val="18"/>
          <w:szCs w:val="18"/>
          <w:color w:val="auto"/>
        </w:rPr>
      </w:pPr>
    </w:p>
    <w:p>
      <w:pPr>
        <w:ind w:left="660" w:right="440" w:hanging="206"/>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660" w:right="160" w:hanging="206"/>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Select Market or otherwise and, if commenced, may be discontinued at any time.</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document is not intended to constitute an offer or solicitation to purchase or invest in the securities described herein. The securities may not be publicly offered, sold or advertised, directly or indirectly, in, into or from Switzerland and will not be listed on the SIX Swiss Exchange or on any other exchange or regulated trading facility in Switzerland. Neither this document nor any other offering or marketing material relating to the securities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document nor any other offering or marketing material relating to the securities may be publicly distributed or otherwise made publicly available in Switzerland.</w:t>
      </w:r>
    </w:p>
    <w:p>
      <w:pPr>
        <w:spacing w:after="0" w:line="178"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Neither this document nor any other offering or marketing material relating to the offering, nor the Company nor the securities have been or will be filed with or approved by any Swiss regulatory authority. The securities are not subject to the supervision by any Swiss regulatory authority, e.g., the Swiss Financial Markets Supervisory Authority FINMA (FINMA), and investors in the securities will not benefit from protection or supervision by such authority.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represents and agrees that with effect from and including the date on which the Prospectus Directive is implemented in that Relevant Member State, it has not made and will not make an offer of securities which are the subject of the offering contemplated by this prospectus to the public in that Relevant Member State other than:</w:t>
      </w:r>
    </w:p>
    <w:p>
      <w:pPr>
        <w:spacing w:after="0" w:line="92"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require us or any underwriter to publish a prospectus pursuant to Article 3 of the Prospectus Directive.</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Relevant Member State means the communication in any form and by any means of sufficient information on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terms of the offer and the securities to be offered so as to enable an investor to decide to purchase or subscribe the securities,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underwriters severally represents warrants and agrees as follows:</w:t>
      </w:r>
    </w:p>
    <w:p>
      <w:pPr>
        <w:spacing w:after="0" w:line="131" w:lineRule="exact"/>
        <w:rPr>
          <w:sz w:val="20"/>
          <w:szCs w:val="20"/>
          <w:color w:val="auto"/>
        </w:rPr>
      </w:pPr>
    </w:p>
    <w:p>
      <w:pPr>
        <w:ind w:left="900" w:right="60" w:hanging="446"/>
        <w:spacing w:after="0" w:line="31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securities in circumstances in which Section 21 of the FSMA does not apply to us; and</w:t>
      </w:r>
    </w:p>
    <w:p>
      <w:pPr>
        <w:spacing w:after="0" w:line="52" w:lineRule="exact"/>
        <w:rPr>
          <w:rFonts w:ascii="Arial" w:cs="Arial" w:eastAsia="Arial" w:hAnsi="Arial"/>
          <w:sz w:val="16"/>
          <w:szCs w:val="16"/>
          <w:color w:val="auto"/>
        </w:rPr>
      </w:pPr>
    </w:p>
    <w:p>
      <w:pPr>
        <w:ind w:left="900" w:right="14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Canadian Residents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The distribution of shares of common stock offered hereby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shares offered hereby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By purchasing shares of common stock offered hereby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660" w:right="180" w:hanging="206"/>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purchaser is entitled under applicable provincial securities laws to purchase the shares without the benefit of a prospectus qualified under those securities laws as it is an “accredited investor” as defined under National Instrument 45-106—</w:t>
      </w:r>
      <w:r>
        <w:rPr>
          <w:rFonts w:ascii="Arial" w:cs="Arial" w:eastAsia="Arial" w:hAnsi="Arial"/>
          <w:sz w:val="17"/>
          <w:szCs w:val="17"/>
          <w:i w:val="1"/>
          <w:iCs w:val="1"/>
          <w:color w:val="auto"/>
        </w:rPr>
        <w:t>Prospectus Exemptions</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660" w:right="340" w:hanging="206"/>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Canadian purchasers are hereby notified that the underwriters are relying on the exemption set out in section 3A.3 or 3A.4, if applicable, of National Instrument 33-105—</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Canadian purchasers of shares of common stock offered hereby should consult their own legal and tax advisors with respect to the tax consequences of an investment in the shares in their particular circumstances and about the eligibility of the shares for investment by the purchaser under relevant Canadian legislation.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Neither this prospectus nor any other offering material relating to the securities described in this prospectus has been submitted to the clearance procedures of the Autorité des Marchés Financiers or of the competent authority of another member state of the European Economic Area and notified to the Autorité des Marchés Financiers. The securities have not been offered or sold and will not be offered or sold, directly or indirectly, to the public in France. Neither this prospectus nor any other offering material relating to the securities has been or will be:</w:t>
      </w:r>
    </w:p>
    <w:p>
      <w:pPr>
        <w:spacing w:after="0" w:line="77" w:lineRule="exact"/>
        <w:rPr>
          <w:sz w:val="20"/>
          <w:szCs w:val="20"/>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660" w:right="120" w:hanging="206"/>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securities to the public in France.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660" w:right="300" w:hanging="206"/>
        <w:spacing w:after="0" w:line="264"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xml:space="preserve">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660" w:right="20" w:hanging="206"/>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a transaction that, in accordance with article L.411-2-II-1° -or-2° -or 3° of the French Code monétaire et financier and article 211-2 of the General Regulations (</w:t>
      </w:r>
      <w:r>
        <w:rPr>
          <w:rFonts w:ascii="Arial" w:cs="Arial" w:eastAsia="Arial" w:hAnsi="Arial"/>
          <w:sz w:val="17"/>
          <w:szCs w:val="17"/>
          <w:i w:val="1"/>
          <w:iCs w:val="1"/>
          <w:color w:val="auto"/>
        </w:rPr>
        <w:t>Règlement Général</w:t>
      </w:r>
      <w:r>
        <w:rPr>
          <w:rFonts w:ascii="Arial" w:cs="Arial" w:eastAsia="Arial" w:hAnsi="Arial"/>
          <w:sz w:val="17"/>
          <w:szCs w:val="17"/>
          <w:color w:val="auto"/>
        </w:rPr>
        <w:t>) of the Autorité des Marchés Financiers, does not constitute a public offer (</w:t>
      </w:r>
      <w:r>
        <w:rPr>
          <w:rFonts w:ascii="Arial" w:cs="Arial" w:eastAsia="Arial" w:hAnsi="Arial"/>
          <w:sz w:val="17"/>
          <w:szCs w:val="17"/>
          <w:i w:val="1"/>
          <w:iCs w:val="1"/>
          <w:color w:val="auto"/>
        </w:rPr>
        <w:t>appel public à l’épargne</w:t>
      </w:r>
      <w:r>
        <w:rPr>
          <w:rFonts w:ascii="Arial" w:cs="Arial" w:eastAsia="Arial" w:hAnsi="Arial"/>
          <w:sz w:val="17"/>
          <w:szCs w:val="17"/>
          <w:color w:val="auto"/>
        </w:rPr>
        <w:t>).</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securities may be resold directly or indirectly, only in compliance with articles L.411-1, L.411-2, L.412-1 and L.621-8 through L.621-8-3 of the French Code monétaire et financier.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Republic of Italy</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The offering of securities has not been registered with the </w:t>
      </w:r>
      <w:r>
        <w:rPr>
          <w:rFonts w:ascii="Arial" w:cs="Arial" w:eastAsia="Arial" w:hAnsi="Arial"/>
          <w:sz w:val="18"/>
          <w:szCs w:val="18"/>
          <w:i w:val="1"/>
          <w:iCs w:val="1"/>
          <w:color w:val="auto"/>
        </w:rPr>
        <w:t>Commissione Nazionale per le Società e la Borsa</w:t>
      </w:r>
      <w:r>
        <w:rPr>
          <w:rFonts w:ascii="Arial" w:cs="Arial" w:eastAsia="Arial" w:hAnsi="Arial"/>
          <w:sz w:val="18"/>
          <w:szCs w:val="18"/>
          <w:color w:val="auto"/>
        </w:rPr>
        <w:t xml:space="preserve"> (“CONSOB”) pursuant to Italian securities legislation and, accordingly, no securities may be offered, sold or delivered, nor copies of this prospectus supplement, the accompanying prospectus or any other documents relating to the securities may not be distributed in Italy except:</w:t>
      </w:r>
    </w:p>
    <w:p>
      <w:pPr>
        <w:spacing w:after="0" w:line="73" w:lineRule="exact"/>
        <w:rPr>
          <w:sz w:val="20"/>
          <w:szCs w:val="20"/>
          <w:color w:val="auto"/>
        </w:rPr>
      </w:pPr>
    </w:p>
    <w:p>
      <w:pPr>
        <w:ind w:firstLine="464"/>
        <w:spacing w:after="0" w:line="286" w:lineRule="auto"/>
        <w:tabs>
          <w:tab w:leader="none" w:pos="701"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“qualified investors”, as referred to in Article 100 of Legislative Decree No. 58 of 24 February 1998, as amended (the “Decree No. 58”) and defined in Article 26, paragraph 1, letter d) of CONSOB Regulation No. 16190 of 29 October 2007, as amended (“Regulation No. 16190”) pursuant to Article 34-ter, paragraph 1, letter. b) of CONSOB Regulation No. 11971 of 14 May 1999, as amended (“Regulation No. 11971”); or</w:t>
      </w:r>
    </w:p>
    <w:p>
      <w:pPr>
        <w:spacing w:after="0" w:line="165" w:lineRule="exact"/>
        <w:rPr>
          <w:rFonts w:ascii="Arial" w:cs="Arial" w:eastAsia="Arial" w:hAnsi="Arial"/>
          <w:sz w:val="17"/>
          <w:szCs w:val="17"/>
          <w:color w:val="auto"/>
        </w:rPr>
      </w:pPr>
    </w:p>
    <w:p>
      <w:pPr>
        <w:ind w:right="340" w:firstLine="464"/>
        <w:spacing w:after="0" w:line="277" w:lineRule="auto"/>
        <w:tabs>
          <w:tab w:leader="none" w:pos="7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any other circumstances where an express exemption from compliance with the offer restrictions applies, as provided under Decree No. 58 or Regulation No. 11971.</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Any offer, sale or delivery of the securities or distribution of copies of this prospectus supplement, the accompanying prospectus or any other documents relating to the securities in the Republic of Italy must be:</w:t>
      </w:r>
    </w:p>
    <w:p>
      <w:pPr>
        <w:spacing w:after="0" w:line="62" w:lineRule="exact"/>
        <w:rPr>
          <w:sz w:val="20"/>
          <w:szCs w:val="20"/>
          <w:color w:val="auto"/>
        </w:rPr>
      </w:pPr>
    </w:p>
    <w:p>
      <w:pPr>
        <w:ind w:right="120" w:firstLine="464"/>
        <w:spacing w:after="0" w:line="264" w:lineRule="auto"/>
        <w:tabs>
          <w:tab w:leader="none" w:pos="701"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the Republic of Italy in accordance with Legislative Decree No. 385 of 1 September 1993, as amended (the “Banking Law”), Decree No. 58 and Regulation No. 16190 and any other applicable laws and regulations;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compliance with Article 129 of the Banking Law, and the implementing guidelines of the Bank of Italy, as amended; and</w:t>
      </w:r>
    </w:p>
    <w:p>
      <w:pPr>
        <w:spacing w:after="0" w:line="225" w:lineRule="exact"/>
        <w:rPr>
          <w:rFonts w:ascii="Arial" w:cs="Arial" w:eastAsia="Arial" w:hAnsi="Arial"/>
          <w:sz w:val="18"/>
          <w:szCs w:val="18"/>
          <w:color w:val="auto"/>
        </w:rPr>
      </w:pPr>
    </w:p>
    <w:p>
      <w:pPr>
        <w:ind w:right="100" w:firstLine="464"/>
        <w:spacing w:after="0" w:line="277" w:lineRule="auto"/>
        <w:tabs>
          <w:tab w:leader="none" w:pos="701"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compliance with any other applicable notification requirement or limitation which may be imposed, from time to time, by CONSOB or the Bank of Italy or other competent authority.</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Please note that, in accordance with Article 100-bis of Decree No. 58, where no exemption from the rules on public offerings applies, the subsequent distribution of the securities on the secondary market in Italy must be made in compliance with the public offer and the prospectus requirement rules provided under Decree No. 58 and Regulation No. 11971.</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Furthermore, securities which are initially offered and placed in Italy or abroad to qualified investors only but in the following year are regularly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sistematicamente</w:t>
      </w:r>
      <w:r>
        <w:rPr>
          <w:rFonts w:ascii="Arial" w:cs="Arial" w:eastAsia="Arial" w:hAnsi="Arial"/>
          <w:sz w:val="16"/>
          <w:szCs w:val="16"/>
          <w:color w:val="auto"/>
        </w:rPr>
        <w:t>”) distributed on the secondary market in Italy to non-qualified investors become subject to the public offer and the prospectus requirement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rules provided under Decree No. 58 and Regulation No. 11971. Failure to comply with such rules may result in the sale of the securities being declared null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void and in the liability of the intermediary transferring the securities for any damages suffered by such non-qualified investors.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Germany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prospectus does not constitute a Prospectus Directive-compliant prospectus in accordance with the German Securities Prospectus Act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Wertpapierprospektgesetz</w:t>
      </w:r>
      <w:r>
        <w:rPr>
          <w:rFonts w:ascii="Arial" w:cs="Arial" w:eastAsia="Arial" w:hAnsi="Arial"/>
          <w:sz w:val="16"/>
          <w:szCs w:val="16"/>
          <w:color w:val="auto"/>
        </w:rPr>
        <w:t>) and does therefore not allow any public offering in the Federal Republic of Germany (“Germany”) or any other Relevant Member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 pursuant to § 17 and § 18 of the German Securities Prospectus Act. No action has been or will be taken in Germany that would permit a public offering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securities, or distribution of a prospectus or any other offering material relating to the securities. In particular, no securities prospectus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Wertpapierprospekt</w:t>
      </w:r>
      <w:r>
        <w:rPr>
          <w:rFonts w:ascii="Arial" w:cs="Arial" w:eastAsia="Arial" w:hAnsi="Arial"/>
          <w:sz w:val="16"/>
          <w:szCs w:val="16"/>
          <w:color w:val="auto"/>
        </w:rPr>
        <w:t>) within the meaning of the German Securities Prospectus Act or any other applicable laws of Germany, has been or will be published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within Germany, nor has this prospectus been filed with or approved by the German Federal Financial Supervisory Authority (</w:t>
      </w:r>
      <w:r>
        <w:rPr>
          <w:rFonts w:ascii="Arial" w:cs="Arial" w:eastAsia="Arial" w:hAnsi="Arial"/>
          <w:sz w:val="18"/>
          <w:szCs w:val="18"/>
          <w:i w:val="1"/>
          <w:iCs w:val="1"/>
          <w:color w:val="auto"/>
        </w:rPr>
        <w:t>Bundesanstalt für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Finanzdienstleistungsaufsicht</w:t>
      </w:r>
      <w:r>
        <w:rPr>
          <w:rFonts w:ascii="Arial" w:cs="Arial" w:eastAsia="Arial" w:hAnsi="Arial"/>
          <w:sz w:val="18"/>
          <w:szCs w:val="18"/>
          <w:color w:val="auto"/>
        </w:rPr>
        <w:t>) for publication within Germany.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Each manager will represent, agree and undertake, (i) that it has not offered, sold or delivered and will not offer, sell or deliver the securities within Germany other than in accordance with the German Securities Prospectus Act (</w:t>
      </w:r>
      <w:r>
        <w:rPr>
          <w:rFonts w:ascii="Arial" w:cs="Arial" w:eastAsia="Arial" w:hAnsi="Arial"/>
          <w:sz w:val="17"/>
          <w:szCs w:val="17"/>
          <w:i w:val="1"/>
          <w:iCs w:val="1"/>
          <w:color w:val="auto"/>
        </w:rPr>
        <w:t>Wertpapierprospektgesetz</w:t>
      </w:r>
      <w:r>
        <w:rPr>
          <w:rFonts w:ascii="Arial" w:cs="Arial" w:eastAsia="Arial" w:hAnsi="Arial"/>
          <w:sz w:val="17"/>
          <w:szCs w:val="17"/>
          <w:color w:val="auto"/>
        </w:rPr>
        <w:t>) and any other applicable laws in Germany governing the issue, sale and offering of securities, and (ii) that it will distribute in Germany any offering material relating to the securities only under circumstances that will result in compliance with the applicable rules and regulations of Germany.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is strictly for use of the person who has received it. It may not be forwarded to other persons or published in Germany.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Arab Emirates</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securities have not been, and are not being, publicly offered, sold, promoted or advertised in the United Arab Emirates (“U.A.E.”) other than in compliance with the laws of the U.A.E. Prospective investors in the Dubai International Financial Centre should have regard to the specific notice to prospective investors in the Dubai International Financial Centre set out above.</w:t>
      </w:r>
    </w:p>
    <w:p>
      <w:pPr>
        <w:spacing w:after="0" w:line="18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information contained in this prospectus supplement and the accompanying prospectus does not constitute a public offer of securities in the U.A.E. in accordance with the Commercial Companies Law (Federal Law No. 8 of 1984 of the U.A.E., as amended) or otherwise and is not intended to be a public offer. This prospectus supplement and the accompanying prospectus have not been approved by or filed with the Central Bank of the United Arab Emirates, the Emirates Securities and Commodities Authority or the Dubai Financial Services Authority, or DFSA. If you do not understand the contents of this prospectus supplement or the accompanying prospectus, you should consult an authorized financial adviser. This prospectus supplement and the accompanying prospectus are provided for the benefit of the recipient only, and should not be delivered to, or relied on by, any other person.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document relates to an exempt offer in accordance with the Offered Securities Rules of the 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notes which are the subject of the offering contemplated by this offering memorandum may be illiquid and/or subject to restrictions on their resale. Prospective purchasers of the notes offered should conduct their own due diligence on the notes. If you do not understand the contents of this document you should consult an authorized financial advisor.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Kingdom of Saudi Arabia</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prospectus may not be distributed in the Kingdom of Saudi Arabia except to such persons as are permitted under the Offers of Securities Regulations issued by the Capital Market Authority of Saudi Arabia (the “Capital Market Authority”). The Capital Market Authority does not make any representations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a prospective purchaser does not understand the contents of this prospectus he or she should consult an authorised financial adviser. By accepting this prospectus and other information relating to the offering of the securities in the Kingdom of Saudi Arabia, each recipient represents that he is a “sophisticated investor”, as set out in the prospectus.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12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South Africa</w:t>
      </w:r>
    </w:p>
    <w:p>
      <w:pPr>
        <w:spacing w:after="0" w:line="12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Due to restrictions under the securities laws of South Africa, the securities are not offered, and the offer of our securities shall not be transferred, sold, renounced or delivered, in South Africa or to a person with an address in South Africa, unless one or other of the following exemptions applies:</w:t>
      </w:r>
    </w:p>
    <w:p>
      <w:pPr>
        <w:spacing w:after="0" w:line="29" w:lineRule="exact"/>
        <w:rPr>
          <w:sz w:val="20"/>
          <w:szCs w:val="20"/>
          <w:color w:val="auto"/>
        </w:rPr>
      </w:pPr>
    </w:p>
    <w:p>
      <w:pPr>
        <w:ind w:left="900" w:right="280" w:hanging="446"/>
        <w:spacing w:after="0" w:line="25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 duly registered banks, mutual banks, financial services provider, financial institution, the Public Investment Corporation (in each case registered as such in South Africa), a person who deals with securities in their ordinary course of business, or a wholly owned subsidiary of a bank, mutual bank, authorized services provider or financial institution, acting as agent in the capacity of an authorized portfolio manager for a pension fund (duly registered in South Africa), or as manager for a collective investment scheme(registered in South Africa); or</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contemplated acquisition cost of the securities, for any single addressee acting as principal is equal to or greater than R1,000,000.</w:t>
      </w:r>
    </w:p>
    <w:p>
      <w:pPr>
        <w:spacing w:after="0" w:line="23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document does not, nor is it intended to, constitute an “offer to the public” (as that term is defined in the South African Companies Act, 2008 (the “SA Companies Act”) and does not, nor is it intended to, constitute a prospectus prepared and registered under the SA Companies Act. This document is not an “offer to the public” and must not be acted on or relied on by persons who do not fall within Section 96(1)(a) of the SA Companies Act (such persons being referred to as “relevant persons”). Any investment or investment activity to which this document relates is available only to relevant persons and will be engaged in only with relevant persons. A South African resident person or company or any non-South African company which is a subsidiary of a South African company is not permitted to acquire the securities unless such person has obtained exchange control approval to do so.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supplement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900" w:right="240" w:hanging="446"/>
        <w:spacing w:after="0" w:line="264"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90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92" w:lineRule="exact"/>
        <w:rPr>
          <w:rFonts w:ascii="Arial" w:cs="Arial" w:eastAsia="Arial" w:hAnsi="Arial"/>
          <w:sz w:val="18"/>
          <w:szCs w:val="18"/>
          <w:color w:val="auto"/>
        </w:rPr>
      </w:pPr>
    </w:p>
    <w:p>
      <w:pPr>
        <w:ind w:left="1480" w:right="80" w:hanging="567"/>
        <w:spacing w:after="0" w:line="277"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480" w:right="680" w:hanging="567"/>
        <w:spacing w:after="0" w:line="277" w:lineRule="auto"/>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Malaysia</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securities may not be offered for subscription or purchase and no invitation to subscribe for or purchase such Certificates in Malaysia may be made, directly or indirectly, and this prospectus or any document or other materials in connection therewith may not be distributed in Malaysia other than to persons falling within the categories specified under Schedule 6 or Section 229(l)(b), Schedule 7 or Section 230(l)(b) and Schedule 8 or Section 257(3) of the Capital Market and Services Act, 2007 of Malaysia. The Securities Commission of Malaysia shall not be liable for any non-disclosure on the part of the Issuer and assumes no responsibility for the correctness of any statements made or opinions or reports expressed in this prospectus.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China</w:t>
      </w:r>
    </w:p>
    <w:p>
      <w:pPr>
        <w:spacing w:after="0" w:line="12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This prospectus does not constitute a public offer of the securities offered by this prospectus, whether by sale or subscription, in the People’s Republic of China, or the PRC. The securities are not being offered or sold directly or indirectly in the PRC to or for the benefit of, legal or natural persons of the PRC.</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Further, no legal or natural persons of the PRC may directly or indirectly purchase any of the securities without obtaining all prior PRC’s governmental approvals that are required, whether statutorily or otherwise. Persons who come into possession of this document are required by the issuer and its representatives to observe these restrictions.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Korea</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securities have not been and will not be registered under the Financial Investments Services and Capital Markets Act of Korea and the decrees and regulations thereunder, or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securities have not been listed on any of securities exchanges in the world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securities in Taiwan.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 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offer is pursuant to a disclosure document which complies with Chapter 6D of the Corporations Act. 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Cayman Islands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prospectus does not constitute an invitation or offer to the public in the Cayman Islands of the securities, whether by way of sale or subscription.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have not offered or sold, and will not offer or sell, directly or indirectly, any securities in the Cayman Islands.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Bermuda</w:t>
      </w:r>
    </w:p>
    <w:p>
      <w:pPr>
        <w:spacing w:after="0" w:line="121"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securities offered by this prospectus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British Virgin Islands</w:t>
      </w:r>
    </w:p>
    <w:p>
      <w:pPr>
        <w:spacing w:after="0" w:line="12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securities are not being, and may not be offered to the public or to any person in the British Virgin Islands for purchase or subscription by us or on our behalf. The securities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prospectus has not been, and will not be, registered with the Financial Services Commission of the British Virgin Islands. No registered prospectus has been or will be prepared in respect of the securities for the purposes of the Securities and Investment Business Act, 2010, or SIBA or the Public Issuers Code of the British Virgin Islands.</w:t>
      </w:r>
    </w:p>
    <w:p>
      <w:pPr>
        <w:spacing w:after="0" w:line="18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securities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our property; or</w:t>
      </w:r>
    </w:p>
    <w:p>
      <w:pPr>
        <w:spacing w:after="0" w:line="2" w:lineRule="exact"/>
        <w:rPr>
          <w:sz w:val="20"/>
          <w:szCs w:val="20"/>
          <w:color w:val="auto"/>
        </w:rPr>
      </w:pPr>
    </w:p>
    <w:p>
      <w:pPr>
        <w:ind w:right="360" w:firstLine="8"/>
        <w:spacing w:after="0" w:line="261"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who has signed a declaration that he, whether individually or jointly with his spouse, has net worth in excess of US$1,000,000 and that he consents to being treated as a professional investor.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shares of common stock offered by this prospectus will be passed upon for us by Fenwick &amp; West LLP, San Francisco,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relating to the offering will be passed upon for the underwriters by Cooley LLP, San Diego, California.</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The consolidated financial statements of AnaptysBio, Inc. as of December 31, 2015 and 2016, and for each of the years in the three-year period ended December 31, 2016, have been incorporated by reference herein and in the registration statement in reliance upon the report of KPMG LLP, an independent registered public accounting firm, incorporated by reference herein, and upon the authority of said firm as experts in accounting and auditing.</w:t>
      </w: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www.sec.gov.</w:t>
      </w:r>
    </w:p>
    <w:p>
      <w:pPr>
        <w:spacing w:after="0" w:line="178"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We are subject to the information and reporting requirements of the Exchange Act, and, in accordance with this law, file periodic reports and other information with the SEC. These periodic reports and other information are available for inspection and copying at the SEC’s public reference facilities and the website of the SEC referred to above. We also maintain a website at www.anaptysbio.com.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incorporate by reference into this prospectus and the registration statement of which this prospectus is a part the information or documents listed below that we have filed with the SEC (Commission File No. 001-37985).</w:t>
      </w:r>
    </w:p>
    <w:p>
      <w:pPr>
        <w:spacing w:after="0" w:line="76" w:lineRule="exact"/>
        <w:rPr>
          <w:sz w:val="20"/>
          <w:szCs w:val="20"/>
          <w:color w:val="auto"/>
        </w:rPr>
      </w:pPr>
    </w:p>
    <w:p>
      <w:pPr>
        <w:ind w:left="5620" w:right="2640" w:hanging="5166"/>
        <w:spacing w:after="0" w:line="449" w:lineRule="auto"/>
        <w:tabs>
          <w:tab w:leader="none" w:pos="666"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2016, filed with the SEC on March 8, 2017; 53</w:t>
      </w:r>
    </w:p>
    <w:p>
      <w:pPr>
        <w:sectPr>
          <w:pgSz w:w="11900" w:h="16838" w:orient="portrait"/>
          <w:cols w:equalWidth="0" w:num="1">
            <w:col w:w="11340"/>
          </w:cols>
          <w:pgMar w:left="240" w:top="459" w:right="3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00" w:hanging="206"/>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2017 and June 30, 2017, filed with the SEC on May 12, 2017 and August 10, 2017, respectively;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2, 2017, July 27, 2017, August 24, 2017 and October 10, 2017.</w:t>
      </w:r>
    </w:p>
    <w:p>
      <w:pPr>
        <w:spacing w:after="0" w:line="22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will furnish without charge to you, on written or oral request, a copy of any or all of the documents incorporated by reference, including exhibits to these documents. You should direct any requests for documents to 10421 Pacific Center Court, Suite 200 San Diego, CA 92121, telephone (858)</w:t>
      </w:r>
    </w:p>
    <w:p>
      <w:pPr>
        <w:spacing w:after="0" w:line="254" w:lineRule="auto"/>
        <w:rPr>
          <w:sz w:val="20"/>
          <w:szCs w:val="20"/>
          <w:color w:val="auto"/>
        </w:rPr>
      </w:pPr>
      <w:r>
        <w:rPr>
          <w:rFonts w:ascii="Arial" w:cs="Arial" w:eastAsia="Arial" w:hAnsi="Arial"/>
          <w:sz w:val="18"/>
          <w:szCs w:val="18"/>
          <w:color w:val="auto"/>
        </w:rPr>
        <w:t>362-6295. Copies of the above reports may also be accessed from our website at www.anaptysbio.com. We do not incorporate the information from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spacing w:after="0" w:line="19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80"/>
        <w:spacing w:after="0"/>
        <w:rPr>
          <w:sz w:val="20"/>
          <w:szCs w:val="20"/>
          <w:color w:val="auto"/>
        </w:rPr>
      </w:pPr>
      <w:r>
        <w:rPr>
          <w:rFonts w:ascii="Arial" w:cs="Arial" w:eastAsia="Arial" w:hAnsi="Arial"/>
          <w:sz w:val="29"/>
          <w:szCs w:val="29"/>
          <w:color w:val="auto"/>
        </w:rPr>
        <w:t>3,000,000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537210</wp:posOffset>
            </wp:positionV>
            <wp:extent cx="2118360" cy="5575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183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300"/>
        <w:spacing w:after="0"/>
        <w:rPr>
          <w:sz w:val="20"/>
          <w:szCs w:val="20"/>
          <w:color w:val="auto"/>
        </w:rPr>
      </w:pPr>
      <w:r>
        <w:rPr>
          <w:rFonts w:ascii="Arial" w:cs="Arial" w:eastAsia="Arial" w:hAnsi="Arial"/>
          <w:sz w:val="36"/>
          <w:szCs w:val="36"/>
          <w:b w:val="1"/>
          <w:bCs w:val="1"/>
          <w:color w:val="auto"/>
        </w:rPr>
        <w:t>AnaptysBio, Inc.</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720"/>
        <w:spacing w:after="0"/>
        <w:rPr>
          <w:sz w:val="20"/>
          <w:szCs w:val="20"/>
          <w:color w:val="auto"/>
        </w:rPr>
      </w:pPr>
      <w:r>
        <w:rPr>
          <w:rFonts w:ascii="Arial" w:cs="Arial" w:eastAsia="Arial" w:hAnsi="Arial"/>
          <w:sz w:val="29"/>
          <w:szCs w:val="29"/>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605790</wp:posOffset>
            </wp:positionV>
            <wp:extent cx="10890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00"/>
        <w:spacing w:after="0"/>
        <w:rPr>
          <w:sz w:val="20"/>
          <w:szCs w:val="20"/>
          <w:color w:val="auto"/>
        </w:rPr>
      </w:pPr>
      <w:r>
        <w:rPr>
          <w:rFonts w:ascii="Arial" w:cs="Arial" w:eastAsia="Arial" w:hAnsi="Arial"/>
          <w:sz w:val="35"/>
          <w:szCs w:val="35"/>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263525</wp:posOffset>
            </wp:positionV>
            <wp:extent cx="10890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Credit Suisse</w:t>
      </w:r>
    </w:p>
    <w:p>
      <w:pPr>
        <w:spacing w:after="0" w:line="40"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Jefferies</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Stifel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923925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paid or payable by the Registrant in connection with the sale of the common stock being registered. All amounts shown are estimates except for the SEC registration fee and the FINRA filing fee: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9"/>
        </w:trPr>
        <w:tc>
          <w:tcPr>
            <w:tcW w:w="104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Paid or</w:t>
            </w:r>
          </w:p>
        </w:tc>
        <w:tc>
          <w:tcPr>
            <w:tcW w:w="0" w:type="dxa"/>
            <w:vAlign w:val="bottom"/>
          </w:tcPr>
          <w:p>
            <w:pPr>
              <w:spacing w:after="0"/>
              <w:rPr>
                <w:sz w:val="1"/>
                <w:szCs w:val="1"/>
                <w:color w:val="auto"/>
              </w:rPr>
            </w:pPr>
          </w:p>
        </w:tc>
      </w:tr>
      <w:tr>
        <w:trPr>
          <w:trHeight w:val="171"/>
        </w:trPr>
        <w:tc>
          <w:tcPr>
            <w:tcW w:w="10480" w:type="dxa"/>
            <w:vAlign w:val="bottom"/>
            <w:vMerge w:val="restart"/>
          </w:tcPr>
          <w:p>
            <w:pPr>
              <w:spacing w:after="0"/>
              <w:rPr>
                <w:sz w:val="20"/>
                <w:szCs w:val="20"/>
                <w:color w:val="auto"/>
              </w:rPr>
            </w:pPr>
            <w:r>
              <w:rPr>
                <w:rFonts w:ascii="Arial" w:cs="Arial" w:eastAsia="Arial" w:hAnsi="Arial"/>
                <w:sz w:val="18"/>
                <w:szCs w:val="18"/>
                <w:color w:val="auto"/>
              </w:rPr>
              <w:t>SEC registration fee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Paid</w:t>
            </w:r>
          </w:p>
        </w:tc>
        <w:tc>
          <w:tcPr>
            <w:tcW w:w="0" w:type="dxa"/>
            <w:vAlign w:val="bottom"/>
          </w:tcPr>
          <w:p>
            <w:pPr>
              <w:spacing w:after="0"/>
              <w:rPr>
                <w:sz w:val="1"/>
                <w:szCs w:val="1"/>
                <w:color w:val="auto"/>
              </w:rPr>
            </w:pPr>
          </w:p>
        </w:tc>
      </w:tr>
      <w:tr>
        <w:trPr>
          <w:trHeight w:val="195"/>
        </w:trPr>
        <w:tc>
          <w:tcPr>
            <w:tcW w:w="10480" w:type="dxa"/>
            <w:vAlign w:val="bottom"/>
            <w:vMerge w:val="continue"/>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rPr>
              <w:t>$25,875</w:t>
            </w:r>
          </w:p>
        </w:tc>
        <w:tc>
          <w:tcPr>
            <w:tcW w:w="0" w:type="dxa"/>
            <w:vAlign w:val="bottom"/>
          </w:tcPr>
          <w:p>
            <w:pPr>
              <w:spacing w:after="0"/>
              <w:rPr>
                <w:sz w:val="1"/>
                <w:szCs w:val="1"/>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FINRA filing fee</w:t>
            </w:r>
          </w:p>
        </w:tc>
        <w:tc>
          <w:tcPr>
            <w:tcW w:w="880" w:type="dxa"/>
            <w:vAlign w:val="bottom"/>
          </w:tcPr>
          <w:p>
            <w:pPr>
              <w:jc w:val="right"/>
              <w:spacing w:after="0"/>
              <w:rPr>
                <w:sz w:val="20"/>
                <w:szCs w:val="20"/>
                <w:color w:val="auto"/>
              </w:rPr>
            </w:pPr>
            <w:r>
              <w:rPr>
                <w:rFonts w:ascii="Arial" w:cs="Arial" w:eastAsia="Arial" w:hAnsi="Arial"/>
                <w:sz w:val="18"/>
                <w:szCs w:val="18"/>
                <w:color w:val="auto"/>
              </w:rPr>
              <w:t>32,185</w:t>
            </w:r>
          </w:p>
        </w:tc>
        <w:tc>
          <w:tcPr>
            <w:tcW w:w="0" w:type="dxa"/>
            <w:vAlign w:val="bottom"/>
          </w:tcPr>
          <w:p>
            <w:pPr>
              <w:spacing w:after="0"/>
              <w:rPr>
                <w:sz w:val="1"/>
                <w:szCs w:val="1"/>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Blue sky qualification fees and expenses</w:t>
            </w: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880" w:type="dxa"/>
            <w:vAlign w:val="bottom"/>
          </w:tcPr>
          <w:p>
            <w:pPr>
              <w:jc w:val="right"/>
              <w:spacing w:after="0"/>
              <w:rPr>
                <w:sz w:val="20"/>
                <w:szCs w:val="20"/>
                <w:color w:val="auto"/>
              </w:rPr>
            </w:pPr>
            <w:r>
              <w:rPr>
                <w:rFonts w:ascii="Arial" w:cs="Arial" w:eastAsia="Arial" w:hAnsi="Arial"/>
                <w:sz w:val="18"/>
                <w:szCs w:val="18"/>
                <w:color w:val="auto"/>
              </w:rPr>
              <w:t>62,500</w:t>
            </w:r>
          </w:p>
        </w:tc>
        <w:tc>
          <w:tcPr>
            <w:tcW w:w="0" w:type="dxa"/>
            <w:vAlign w:val="bottom"/>
          </w:tcPr>
          <w:p>
            <w:pPr>
              <w:spacing w:after="0"/>
              <w:rPr>
                <w:sz w:val="1"/>
                <w:szCs w:val="1"/>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880" w:type="dxa"/>
            <w:vAlign w:val="bottom"/>
          </w:tcPr>
          <w:p>
            <w:pPr>
              <w:jc w:val="right"/>
              <w:spacing w:after="0"/>
              <w:rPr>
                <w:sz w:val="20"/>
                <w:szCs w:val="20"/>
                <w:color w:val="auto"/>
              </w:rPr>
            </w:pPr>
            <w:r>
              <w:rPr>
                <w:rFonts w:ascii="Arial" w:cs="Arial" w:eastAsia="Arial" w:hAnsi="Arial"/>
                <w:sz w:val="18"/>
                <w:szCs w:val="18"/>
                <w:color w:val="auto"/>
              </w:rPr>
              <w:t>215,000</w:t>
            </w:r>
          </w:p>
        </w:tc>
        <w:tc>
          <w:tcPr>
            <w:tcW w:w="0" w:type="dxa"/>
            <w:vAlign w:val="bottom"/>
          </w:tcPr>
          <w:p>
            <w:pPr>
              <w:spacing w:after="0"/>
              <w:rPr>
                <w:sz w:val="1"/>
                <w:szCs w:val="1"/>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880" w:type="dxa"/>
            <w:vAlign w:val="bottom"/>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1048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88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Miscellaneous expenses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3"/>
        </w:trPr>
        <w:tc>
          <w:tcPr>
            <w:tcW w:w="10480" w:type="dxa"/>
            <w:vAlign w:val="bottom"/>
          </w:tcPr>
          <w:p>
            <w:pPr>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$434,060</w:t>
            </w:r>
          </w:p>
        </w:tc>
        <w:tc>
          <w:tcPr>
            <w:tcW w:w="0" w:type="dxa"/>
            <w:vAlign w:val="bottom"/>
          </w:tcPr>
          <w:p>
            <w:pPr>
              <w:spacing w:after="0"/>
              <w:rPr>
                <w:sz w:val="1"/>
                <w:szCs w:val="1"/>
                <w:color w:val="auto"/>
              </w:rPr>
            </w:pPr>
          </w:p>
        </w:tc>
      </w:tr>
      <w:tr>
        <w:trPr>
          <w:trHeight w:val="20"/>
        </w:trPr>
        <w:tc>
          <w:tcPr>
            <w:tcW w:w="10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permitted by the Delaware General Corporation Law, the Registrant’s restated certificate of incorporation to be effective in connection with the closing of this offering contains provisions that eliminate the personal liability of its directors for monetary damages for any breach of fiduciary duties as a director, except liability for the following:</w:t>
      </w:r>
    </w:p>
    <w:p>
      <w:pPr>
        <w:spacing w:after="0" w:line="87" w:lineRule="exact"/>
        <w:rPr>
          <w:sz w:val="20"/>
          <w:szCs w:val="20"/>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(regarding unlawful dividends and stock purchases);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permitted by the Delaware General Corporation Law, the Registrant’s restated bylaws to be effective upon the closing of this offering, provide that:</w:t>
      </w:r>
    </w:p>
    <w:p>
      <w:pPr>
        <w:spacing w:after="0" w:line="154" w:lineRule="exact"/>
        <w:rPr>
          <w:sz w:val="20"/>
          <w:szCs w:val="20"/>
          <w:color w:val="auto"/>
        </w:rPr>
      </w:pPr>
    </w:p>
    <w:p>
      <w:pPr>
        <w:ind w:left="660" w:right="60" w:hanging="206"/>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Delaware General Corporation Law, subject to limited exceptions;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Delaware General Corporation Law;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60" w:hanging="206"/>
        <w:spacing w:after="0" w:line="277"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Delaware General Corporation Law, subject to limited exceptions;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Reference is also made to Section 9 of the underwriting agreement to be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currently carries liability insurance for its directors and officers.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Reference is made to the following documents filed as exhibits to this Registration Statement regarding relevant indemnification provisions described above and elsewhere herein: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 Document</w:t>
            </w:r>
          </w:p>
        </w:tc>
        <w:tc>
          <w:tcPr>
            <w:tcW w:w="972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0"/>
              </w:rPr>
              <w:t>Number</w:t>
            </w:r>
          </w:p>
        </w:tc>
      </w:tr>
      <w:tr>
        <w:trPr>
          <w:trHeight w:val="189"/>
        </w:trPr>
        <w:tc>
          <w:tcPr>
            <w:tcW w:w="10860" w:type="dxa"/>
            <w:vAlign w:val="bottom"/>
            <w:gridSpan w:val="2"/>
          </w:tcPr>
          <w:p>
            <w:pPr>
              <w:spacing w:after="0" w:line="189" w:lineRule="exact"/>
              <w:rPr>
                <w:sz w:val="20"/>
                <w:szCs w:val="20"/>
                <w:color w:val="auto"/>
              </w:rPr>
            </w:pPr>
            <w:r>
              <w:rPr>
                <w:rFonts w:ascii="Arial" w:cs="Arial" w:eastAsia="Arial" w:hAnsi="Arial"/>
                <w:sz w:val="18"/>
                <w:szCs w:val="18"/>
                <w:color w:val="auto"/>
              </w:rPr>
              <w:t>Form of Underwriting Agreement</w:t>
            </w:r>
          </w:p>
        </w:tc>
        <w:tc>
          <w:tcPr>
            <w:tcW w:w="5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1.1</w:t>
            </w:r>
          </w:p>
        </w:tc>
        <w:tc>
          <w:tcPr>
            <w:tcW w:w="20" w:type="dxa"/>
            <w:vAlign w:val="bottom"/>
          </w:tcPr>
          <w:p>
            <w:pPr>
              <w:spacing w:after="0"/>
              <w:rPr>
                <w:sz w:val="16"/>
                <w:szCs w:val="16"/>
                <w:color w:val="auto"/>
              </w:rPr>
            </w:pPr>
          </w:p>
        </w:tc>
      </w:tr>
      <w:tr>
        <w:trPr>
          <w:trHeight w:val="216"/>
        </w:trPr>
        <w:tc>
          <w:tcPr>
            <w:tcW w:w="10860" w:type="dxa"/>
            <w:vAlign w:val="bottom"/>
            <w:gridSpan w:val="2"/>
          </w:tcPr>
          <w:p>
            <w:pPr>
              <w:spacing w:after="0"/>
              <w:rPr>
                <w:sz w:val="20"/>
                <w:szCs w:val="20"/>
                <w:color w:val="auto"/>
              </w:rPr>
            </w:pPr>
            <w:r>
              <w:rPr>
                <w:rFonts w:ascii="Arial" w:cs="Arial" w:eastAsia="Arial" w:hAnsi="Arial"/>
                <w:sz w:val="18"/>
                <w:szCs w:val="18"/>
                <w:color w:val="auto"/>
              </w:rPr>
              <w:t>Restated Certificate of Incorporation</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16"/>
        </w:trPr>
        <w:tc>
          <w:tcPr>
            <w:tcW w:w="10860" w:type="dxa"/>
            <w:vAlign w:val="bottom"/>
            <w:gridSpan w:val="2"/>
          </w:tcPr>
          <w:p>
            <w:pPr>
              <w:spacing w:after="0"/>
              <w:rPr>
                <w:sz w:val="20"/>
                <w:szCs w:val="20"/>
                <w:color w:val="auto"/>
              </w:rPr>
            </w:pPr>
            <w:r>
              <w:rPr>
                <w:rFonts w:ascii="Arial" w:cs="Arial" w:eastAsia="Arial" w:hAnsi="Arial"/>
                <w:sz w:val="18"/>
                <w:szCs w:val="18"/>
                <w:color w:val="auto"/>
              </w:rPr>
              <w:t>Restated Bylaws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10860" w:type="dxa"/>
            <w:vAlign w:val="bottom"/>
            <w:gridSpan w:val="2"/>
          </w:tcPr>
          <w:p>
            <w:pPr>
              <w:spacing w:after="0"/>
              <w:rPr>
                <w:sz w:val="20"/>
                <w:szCs w:val="20"/>
                <w:color w:val="auto"/>
              </w:rPr>
            </w:pPr>
            <w:r>
              <w:rPr>
                <w:rFonts w:ascii="Arial" w:cs="Arial" w:eastAsia="Arial" w:hAnsi="Arial"/>
                <w:sz w:val="18"/>
                <w:szCs w:val="18"/>
                <w:color w:val="auto"/>
              </w:rPr>
              <w:t>Fourth Amended and Restated Investors’ Rights Agreement dated July 13, 2015 among the Registrant and certain of its stockholders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r>
        <w:trPr>
          <w:trHeight w:val="230"/>
        </w:trPr>
        <w:tc>
          <w:tcPr>
            <w:tcW w:w="10860" w:type="dxa"/>
            <w:vAlign w:val="bottom"/>
            <w:gridSpan w:val="2"/>
          </w:tcPr>
          <w:p>
            <w:pPr>
              <w:spacing w:after="0"/>
              <w:rPr>
                <w:sz w:val="20"/>
                <w:szCs w:val="20"/>
                <w:color w:val="auto"/>
              </w:rPr>
            </w:pPr>
            <w:r>
              <w:rPr>
                <w:rFonts w:ascii="Arial" w:cs="Arial" w:eastAsia="Arial" w:hAnsi="Arial"/>
                <w:sz w:val="18"/>
                <w:szCs w:val="18"/>
                <w:color w:val="auto"/>
              </w:rPr>
              <w:t>Form of Indemnity Agreement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lists set forth information regarding all securities sold or granted by us within the past three years that were not registered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and the consideration, if any, received by us for such securities:</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Stock Option Grants</w:t>
      </w:r>
    </w:p>
    <w:p>
      <w:pPr>
        <w:spacing w:after="0" w:line="11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Between August 31, 2014 until January 26, 2017, the Registrant granted options to purchase 1,760,974 shares of common stock under its 2006 Equity Incentive Plan to its directors, officers, employees, consultants, and other service providers with per share exercise prices ranging from $0.70 to $11.34. During this same period, the Registrant issued 174,139 shares of common stock upon exercise of stock options previously issued under the 2006 Equity Incentive Plan to its directors, officers, employees, consultants, and other service providers for cash consideration in the aggregate amount of $195,180.</w:t>
      </w:r>
    </w:p>
    <w:p>
      <w:pPr>
        <w:spacing w:after="0" w:line="15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stock options and the common stock issuable upon the exercise of such options as described in this section (a) of Item 15 were issued pursuant to written compensatory plans or arrangements with the Company’s employees and directors in reliance on the exemption provided by Rule 701 promulgated under the Securities Act. All recipients either received adequate information about the Company or had access, through employment or other relationships, to such information.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Warrants</w:t>
      </w:r>
    </w:p>
    <w:p>
      <w:pPr>
        <w:spacing w:after="0" w:line="11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In December 2014, the Registrant issued warrants to accredited investors to purchase an aggregate of 41,208 shares of the Registrant’s Series C convertible preferred stock. The preferred stock warrants have a per share exercise price of $4.55. The securities issued in this transaction were exempt from the registration requirements of the Securities Act in reliance upon Section 4(a)(2) under the Securities Act.</w:t>
      </w:r>
    </w:p>
    <w:p>
      <w:pPr>
        <w:spacing w:after="0" w:line="166"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In December 2016, the Registrant issued warrants to accredited investors to purchase an aggregate of 82,416 shares of the Registrant’s Series C convertible preferred stock. The preferred stock warrants have a per share exercise price of $4.55. The securities issued in this transaction were exempt from the registration requirements of the Securities Act in reliance upon Section 4(a)(2) under the Securities Act.</w:t>
      </w:r>
    </w:p>
    <w:p>
      <w:pPr>
        <w:spacing w:after="0" w:line="16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Since January 31, 2017, the Registrant has issued a total of 397,445 shares of common stock pursuant to the exercise of warrants, each with an exercise price of $4.55 per share. The securities issued in this transaction were exempt from the registration requirements of the Securities Act in reliance upon Section 4(a)(2) under the Securities Act.</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Sales of Preferred Stock</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July 2015, the Registrant issued an aggregate of 5,490,973 shares of the Registrant’s Series D convertible preferred stock at a purchase price of $7.42 per share for an aggregate purchase price of $40.8 million to 19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and the Registrant believes each transaction was exempt from the registration requirements of the Securities Act as stated above. All recipients of the foregoing transactions either received adequate information about the Registrant or had access, through their relationships with the Registrant, to such information. Furthermore, the Registrant affixed appropriate legends to the share certificates and instruments issued in each foregoing transaction setting forth that the securities had not been registered and the applicable restrictions on transfer.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23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93"/>
              </w:rPr>
              <w:t>Incorporated</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1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320" w:type="dxa"/>
            <w:vAlign w:val="bottom"/>
          </w:tcPr>
          <w:p>
            <w:pPr>
              <w:spacing w:after="0"/>
              <w:rPr>
                <w:sz w:val="14"/>
                <w:szCs w:val="14"/>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Form</w:t>
            </w:r>
          </w:p>
        </w:tc>
        <w:tc>
          <w:tcPr>
            <w:tcW w:w="1180" w:type="dxa"/>
            <w:vAlign w:val="bottom"/>
          </w:tcPr>
          <w:p>
            <w:pPr>
              <w:spacing w:after="0"/>
              <w:rPr>
                <w:sz w:val="14"/>
                <w:szCs w:val="14"/>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File No.</w:t>
            </w:r>
          </w:p>
        </w:tc>
        <w:tc>
          <w:tcPr>
            <w:tcW w:w="152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90"/>
              </w:rPr>
              <w:t>by Reference</w:t>
            </w:r>
          </w:p>
        </w:tc>
        <w:tc>
          <w:tcPr>
            <w:tcW w:w="9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Filing Date</w:t>
            </w:r>
          </w:p>
        </w:tc>
        <w:tc>
          <w:tcPr>
            <w:tcW w:w="1140" w:type="dxa"/>
            <w:vAlign w:val="bottom"/>
          </w:tcPr>
          <w:p>
            <w:pPr>
              <w:jc w:val="center"/>
              <w:ind w:left="508"/>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62"/>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gridSpan w:val="12"/>
            <w:vMerge w:val="continue"/>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Exhibit No.</w:t>
            </w:r>
          </w:p>
        </w:tc>
        <w:tc>
          <w:tcPr>
            <w:tcW w:w="9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140" w:type="dxa"/>
            <w:vAlign w:val="bottom"/>
          </w:tcPr>
          <w:p>
            <w:pPr>
              <w:jc w:val="center"/>
              <w:ind w:left="508"/>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360" w:type="dxa"/>
            <w:vAlign w:val="bottom"/>
          </w:tcPr>
          <w:p>
            <w:pPr>
              <w:spacing w:after="0"/>
              <w:rPr>
                <w:sz w:val="18"/>
                <w:szCs w:val="18"/>
                <w:color w:val="auto"/>
              </w:rPr>
            </w:pPr>
          </w:p>
        </w:tc>
        <w:tc>
          <w:tcPr>
            <w:tcW w:w="2400" w:type="dxa"/>
            <w:vAlign w:val="bottom"/>
            <w:gridSpan w:val="13"/>
          </w:tcPr>
          <w:p>
            <w:pPr>
              <w:spacing w:after="0"/>
              <w:rPr>
                <w:rFonts w:ascii="Arial" w:cs="Arial" w:eastAsia="Arial" w:hAnsi="Arial"/>
                <w:sz w:val="18"/>
                <w:szCs w:val="18"/>
                <w:color w:val="0000EE"/>
              </w:rPr>
            </w:pPr>
            <w:hyperlink r:id="rId107">
              <w:r>
                <w:rPr>
                  <w:rFonts w:ascii="Arial" w:cs="Arial" w:eastAsia="Arial" w:hAnsi="Arial"/>
                  <w:sz w:val="18"/>
                  <w:szCs w:val="18"/>
                  <w:color w:val="0000EE"/>
                </w:rPr>
                <w:t>Form of Underwriting</w:t>
              </w:r>
            </w:hyperlink>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2160" w:type="dxa"/>
            <w:vAlign w:val="bottom"/>
            <w:gridSpan w:val="3"/>
          </w:tcPr>
          <w:p>
            <w:pPr>
              <w:ind w:left="860"/>
              <w:spacing w:after="0"/>
              <w:rPr>
                <w:sz w:val="20"/>
                <w:szCs w:val="20"/>
                <w:color w:val="auto"/>
              </w:rPr>
            </w:pPr>
            <w:r>
              <w:rPr>
                <w:rFonts w:ascii="Arial" w:cs="Arial" w:eastAsia="Arial" w:hAnsi="Arial"/>
                <w:sz w:val="18"/>
                <w:szCs w:val="18"/>
                <w:color w:val="auto"/>
              </w:rPr>
              <w:t>333-220881</w:t>
            </w:r>
          </w:p>
        </w:tc>
        <w:tc>
          <w:tcPr>
            <w:tcW w:w="1200" w:type="dxa"/>
            <w:vAlign w:val="bottom"/>
            <w:gridSpan w:val="2"/>
          </w:tcPr>
          <w:p>
            <w:pPr>
              <w:jc w:val="right"/>
              <w:ind w:right="308"/>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2280" w:type="dxa"/>
            <w:vAlign w:val="bottom"/>
            <w:gridSpan w:val="3"/>
          </w:tcPr>
          <w:p>
            <w:pPr>
              <w:ind w:left="280"/>
              <w:spacing w:after="0"/>
              <w:rPr>
                <w:sz w:val="20"/>
                <w:szCs w:val="20"/>
                <w:color w:val="auto"/>
              </w:rPr>
            </w:pPr>
            <w:r>
              <w:rPr>
                <w:rFonts w:ascii="Arial" w:cs="Arial" w:eastAsia="Arial" w:hAnsi="Arial"/>
                <w:sz w:val="18"/>
                <w:szCs w:val="18"/>
                <w:color w:val="auto"/>
              </w:rPr>
              <w:t>October 10, 2017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0" w:type="dxa"/>
            <w:vAlign w:val="bottom"/>
            <w:gridSpan w:val="13"/>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Agreement, including Form</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of Lock-Up Agreement.</w:t>
              </w:r>
            </w:hyperlink>
          </w:p>
        </w:tc>
        <w:tc>
          <w:tcPr>
            <w:tcW w:w="260" w:type="dxa"/>
            <w:vAlign w:val="bottom"/>
            <w:tcBorders>
              <w:top w:val="single" w:sz="8" w:color="0000EE"/>
            </w:tcBorders>
            <w:gridSpan w:val="3"/>
          </w:tcPr>
          <w:p>
            <w:pPr>
              <w:spacing w:after="0"/>
              <w:rPr>
                <w:sz w:val="17"/>
                <w:szCs w:val="17"/>
                <w:color w:val="auto"/>
              </w:rPr>
            </w:pPr>
          </w:p>
        </w:tc>
        <w:tc>
          <w:tcPr>
            <w:tcW w:w="40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60" w:type="dxa"/>
            <w:vAlign w:val="bottom"/>
          </w:tcPr>
          <w:p>
            <w:pPr>
              <w:spacing w:after="0"/>
              <w:rPr>
                <w:sz w:val="22"/>
                <w:szCs w:val="22"/>
                <w:color w:val="auto"/>
              </w:rPr>
            </w:pPr>
          </w:p>
        </w:tc>
        <w:tc>
          <w:tcPr>
            <w:tcW w:w="2400" w:type="dxa"/>
            <w:vAlign w:val="bottom"/>
            <w:gridSpan w:val="13"/>
          </w:tcPr>
          <w:p>
            <w:pPr>
              <w:spacing w:after="0"/>
              <w:rPr>
                <w:rFonts w:ascii="Arial" w:cs="Arial" w:eastAsia="Arial" w:hAnsi="Arial"/>
                <w:sz w:val="18"/>
                <w:szCs w:val="18"/>
                <w:color w:val="0000EE"/>
              </w:rPr>
            </w:pPr>
            <w:hyperlink r:id="rId108">
              <w:r>
                <w:rPr>
                  <w:rFonts w:ascii="Arial" w:cs="Arial" w:eastAsia="Arial" w:hAnsi="Arial"/>
                  <w:sz w:val="18"/>
                  <w:szCs w:val="18"/>
                  <w:color w:val="0000EE"/>
                </w:rPr>
                <w:t>Restated Certificate of</w:t>
              </w:r>
            </w:hyperlink>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10-Q</w:t>
            </w:r>
          </w:p>
        </w:tc>
        <w:tc>
          <w:tcPr>
            <w:tcW w:w="1680" w:type="dxa"/>
            <w:vAlign w:val="bottom"/>
            <w:gridSpan w:val="2"/>
          </w:tcPr>
          <w:p>
            <w:pPr>
              <w:ind w:left="860"/>
              <w:spacing w:after="0"/>
              <w:rPr>
                <w:sz w:val="20"/>
                <w:szCs w:val="20"/>
                <w:color w:val="auto"/>
              </w:rPr>
            </w:pPr>
            <w:r>
              <w:rPr>
                <w:rFonts w:ascii="Arial" w:cs="Arial" w:eastAsia="Arial" w:hAnsi="Arial"/>
                <w:sz w:val="18"/>
                <w:szCs w:val="18"/>
                <w:color w:val="auto"/>
                <w:w w:val="92"/>
              </w:rPr>
              <w:t>001-37985</w:t>
            </w:r>
          </w:p>
        </w:tc>
        <w:tc>
          <w:tcPr>
            <w:tcW w:w="480" w:type="dxa"/>
            <w:vAlign w:val="bottom"/>
          </w:tcPr>
          <w:p>
            <w:pPr>
              <w:spacing w:after="0"/>
              <w:rPr>
                <w:sz w:val="22"/>
                <w:szCs w:val="22"/>
                <w:color w:val="auto"/>
              </w:rPr>
            </w:pPr>
          </w:p>
        </w:tc>
        <w:tc>
          <w:tcPr>
            <w:tcW w:w="1200" w:type="dxa"/>
            <w:vAlign w:val="bottom"/>
            <w:gridSpan w:val="2"/>
          </w:tcPr>
          <w:p>
            <w:pPr>
              <w:jc w:val="right"/>
              <w:ind w:right="308"/>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2"/>
                <w:szCs w:val="22"/>
                <w:color w:val="auto"/>
              </w:rPr>
            </w:pPr>
          </w:p>
        </w:tc>
        <w:tc>
          <w:tcPr>
            <w:tcW w:w="2280" w:type="dxa"/>
            <w:vAlign w:val="bottom"/>
            <w:gridSpan w:val="3"/>
          </w:tcPr>
          <w:p>
            <w:pPr>
              <w:ind w:left="280"/>
              <w:spacing w:after="0"/>
              <w:rPr>
                <w:sz w:val="20"/>
                <w:szCs w:val="20"/>
                <w:color w:val="auto"/>
              </w:rPr>
            </w:pPr>
            <w:r>
              <w:rPr>
                <w:rFonts w:ascii="Arial" w:cs="Arial" w:eastAsia="Arial" w:hAnsi="Arial"/>
                <w:sz w:val="18"/>
                <w:szCs w:val="18"/>
                <w:color w:val="auto"/>
              </w:rPr>
              <w:t>May 12, 2017</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Incorporation.</w:t>
              </w:r>
            </w:hyperlink>
          </w:p>
        </w:tc>
        <w:tc>
          <w:tcPr>
            <w:tcW w:w="780" w:type="dxa"/>
            <w:vAlign w:val="bottom"/>
            <w:gridSpan w:val="7"/>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360" w:type="dxa"/>
            <w:vAlign w:val="bottom"/>
          </w:tcPr>
          <w:p>
            <w:pPr>
              <w:spacing w:after="0"/>
              <w:rPr>
                <w:sz w:val="22"/>
                <w:szCs w:val="22"/>
                <w:color w:val="auto"/>
              </w:rPr>
            </w:pPr>
          </w:p>
        </w:tc>
        <w:tc>
          <w:tcPr>
            <w:tcW w:w="1260" w:type="dxa"/>
            <w:vAlign w:val="bottom"/>
            <w:tcBorders>
              <w:bottom w:val="single" w:sz="8" w:color="0000EE"/>
            </w:tcBorders>
            <w:gridSpan w:val="4"/>
          </w:tcPr>
          <w:p>
            <w:pPr>
              <w:spacing w:after="0"/>
              <w:rPr>
                <w:rFonts w:ascii="Arial" w:cs="Arial" w:eastAsia="Arial" w:hAnsi="Arial"/>
                <w:sz w:val="18"/>
                <w:szCs w:val="18"/>
                <w:color w:val="0000EE"/>
                <w:w w:val="89"/>
              </w:rPr>
            </w:pPr>
            <w:hyperlink r:id="rId109">
              <w:r>
                <w:rPr>
                  <w:rFonts w:ascii="Arial" w:cs="Arial" w:eastAsia="Arial" w:hAnsi="Arial"/>
                  <w:sz w:val="18"/>
                  <w:szCs w:val="18"/>
                  <w:color w:val="0000EE"/>
                  <w:w w:val="89"/>
                </w:rPr>
                <w:t>Restated Bylaws.</w:t>
              </w:r>
            </w:hyperlink>
          </w:p>
        </w:tc>
        <w:tc>
          <w:tcPr>
            <w:tcW w:w="1140" w:type="dxa"/>
            <w:vAlign w:val="bottom"/>
            <w:gridSpan w:val="9"/>
          </w:tcPr>
          <w:p>
            <w:pPr>
              <w:spacing w:after="0"/>
              <w:rPr>
                <w:sz w:val="22"/>
                <w:szCs w:val="22"/>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2160" w:type="dxa"/>
            <w:vAlign w:val="bottom"/>
            <w:gridSpan w:val="3"/>
          </w:tcPr>
          <w:p>
            <w:pPr>
              <w:ind w:left="860"/>
              <w:spacing w:after="0"/>
              <w:rPr>
                <w:sz w:val="20"/>
                <w:szCs w:val="20"/>
                <w:color w:val="auto"/>
              </w:rPr>
            </w:pPr>
            <w:r>
              <w:rPr>
                <w:rFonts w:ascii="Arial" w:cs="Arial" w:eastAsia="Arial" w:hAnsi="Arial"/>
                <w:sz w:val="18"/>
                <w:szCs w:val="18"/>
                <w:color w:val="auto"/>
              </w:rPr>
              <w:t>333-206849</w:t>
            </w:r>
          </w:p>
        </w:tc>
        <w:tc>
          <w:tcPr>
            <w:tcW w:w="1200" w:type="dxa"/>
            <w:vAlign w:val="bottom"/>
            <w:gridSpan w:val="2"/>
          </w:tcPr>
          <w:p>
            <w:pPr>
              <w:jc w:val="right"/>
              <w:ind w:right="308"/>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22"/>
                <w:szCs w:val="22"/>
                <w:color w:val="auto"/>
              </w:rPr>
            </w:pPr>
          </w:p>
        </w:tc>
        <w:tc>
          <w:tcPr>
            <w:tcW w:w="2280" w:type="dxa"/>
            <w:vAlign w:val="bottom"/>
            <w:gridSpan w:val="3"/>
          </w:tcPr>
          <w:p>
            <w:pPr>
              <w:ind w:left="280"/>
              <w:spacing w:after="0"/>
              <w:rPr>
                <w:sz w:val="20"/>
                <w:szCs w:val="20"/>
                <w:color w:val="auto"/>
              </w:rPr>
            </w:pPr>
            <w:r>
              <w:rPr>
                <w:rFonts w:ascii="Arial" w:cs="Arial" w:eastAsia="Arial" w:hAnsi="Arial"/>
                <w:sz w:val="18"/>
                <w:szCs w:val="18"/>
                <w:color w:val="auto"/>
              </w:rPr>
              <w:t>September 9, 2015</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360" w:type="dxa"/>
            <w:vAlign w:val="bottom"/>
          </w:tcPr>
          <w:p>
            <w:pPr>
              <w:spacing w:after="0"/>
              <w:rPr>
                <w:sz w:val="22"/>
                <w:szCs w:val="22"/>
                <w:color w:val="auto"/>
              </w:rPr>
            </w:pPr>
          </w:p>
        </w:tc>
        <w:tc>
          <w:tcPr>
            <w:tcW w:w="1760" w:type="dxa"/>
            <w:vAlign w:val="bottom"/>
            <w:tcBorders>
              <w:bottom w:val="single" w:sz="8" w:color="0000EE"/>
            </w:tcBorders>
            <w:gridSpan w:val="8"/>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Form of Common Stock</w:t>
              </w:r>
            </w:hyperlink>
          </w:p>
        </w:tc>
        <w:tc>
          <w:tcPr>
            <w:tcW w:w="640" w:type="dxa"/>
            <w:vAlign w:val="bottom"/>
            <w:gridSpan w:val="5"/>
          </w:tcPr>
          <w:p>
            <w:pPr>
              <w:spacing w:after="0"/>
              <w:rPr>
                <w:sz w:val="22"/>
                <w:szCs w:val="22"/>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w w:val="97"/>
              </w:rPr>
              <w:t>S-1/A</w:t>
            </w:r>
          </w:p>
        </w:tc>
        <w:tc>
          <w:tcPr>
            <w:tcW w:w="2160" w:type="dxa"/>
            <w:vAlign w:val="bottom"/>
            <w:gridSpan w:val="3"/>
          </w:tcPr>
          <w:p>
            <w:pPr>
              <w:ind w:left="860"/>
              <w:spacing w:after="0"/>
              <w:rPr>
                <w:sz w:val="20"/>
                <w:szCs w:val="20"/>
                <w:color w:val="auto"/>
              </w:rPr>
            </w:pPr>
            <w:r>
              <w:rPr>
                <w:rFonts w:ascii="Arial" w:cs="Arial" w:eastAsia="Arial" w:hAnsi="Arial"/>
                <w:sz w:val="18"/>
                <w:szCs w:val="18"/>
                <w:color w:val="auto"/>
              </w:rPr>
              <w:t>333-206849</w:t>
            </w:r>
          </w:p>
        </w:tc>
        <w:tc>
          <w:tcPr>
            <w:tcW w:w="1200" w:type="dxa"/>
            <w:vAlign w:val="bottom"/>
            <w:gridSpan w:val="2"/>
          </w:tcPr>
          <w:p>
            <w:pPr>
              <w:jc w:val="right"/>
              <w:ind w:right="308"/>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2"/>
                <w:szCs w:val="22"/>
                <w:color w:val="auto"/>
              </w:rPr>
            </w:pPr>
          </w:p>
        </w:tc>
        <w:tc>
          <w:tcPr>
            <w:tcW w:w="2280" w:type="dxa"/>
            <w:vAlign w:val="bottom"/>
            <w:gridSpan w:val="3"/>
          </w:tcPr>
          <w:p>
            <w:pPr>
              <w:ind w:left="280"/>
              <w:spacing w:after="0"/>
              <w:rPr>
                <w:sz w:val="20"/>
                <w:szCs w:val="20"/>
                <w:color w:val="auto"/>
              </w:rPr>
            </w:pPr>
            <w:r>
              <w:rPr>
                <w:rFonts w:ascii="Arial" w:cs="Arial" w:eastAsia="Arial" w:hAnsi="Arial"/>
                <w:sz w:val="18"/>
                <w:szCs w:val="18"/>
                <w:color w:val="auto"/>
              </w:rPr>
              <w:t>December 23, 2015</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0" w:type="dxa"/>
            <w:vAlign w:val="bottom"/>
            <w:gridSpan w:val="13"/>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Certificate.</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32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360" w:type="dxa"/>
            <w:vAlign w:val="bottom"/>
          </w:tcPr>
          <w:p>
            <w:pPr>
              <w:spacing w:after="0"/>
              <w:rPr>
                <w:sz w:val="17"/>
                <w:szCs w:val="17"/>
                <w:color w:val="auto"/>
              </w:rPr>
            </w:pPr>
          </w:p>
        </w:tc>
        <w:tc>
          <w:tcPr>
            <w:tcW w:w="2400" w:type="dxa"/>
            <w:vAlign w:val="bottom"/>
            <w:gridSpan w:val="13"/>
          </w:tcPr>
          <w:p>
            <w:pPr>
              <w:spacing w:after="0" w:line="196" w:lineRule="exact"/>
              <w:rPr>
                <w:rFonts w:ascii="Arial" w:cs="Arial" w:eastAsia="Arial" w:hAnsi="Arial"/>
                <w:sz w:val="18"/>
                <w:szCs w:val="18"/>
                <w:color w:val="0000EE"/>
                <w:w w:val="96"/>
              </w:rPr>
            </w:pPr>
            <w:hyperlink r:id="rId111">
              <w:r>
                <w:rPr>
                  <w:rFonts w:ascii="Arial" w:cs="Arial" w:eastAsia="Arial" w:hAnsi="Arial"/>
                  <w:sz w:val="18"/>
                  <w:szCs w:val="18"/>
                  <w:color w:val="0000EE"/>
                  <w:w w:val="96"/>
                </w:rPr>
                <w:t>Fourth Amended and Restated</w:t>
              </w:r>
            </w:hyperlink>
          </w:p>
        </w:tc>
        <w:tc>
          <w:tcPr>
            <w:tcW w:w="68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S-1</w:t>
            </w:r>
          </w:p>
        </w:tc>
        <w:tc>
          <w:tcPr>
            <w:tcW w:w="2160" w:type="dxa"/>
            <w:vAlign w:val="bottom"/>
            <w:gridSpan w:val="3"/>
          </w:tcPr>
          <w:p>
            <w:pPr>
              <w:ind w:left="860"/>
              <w:spacing w:after="0" w:line="196" w:lineRule="exact"/>
              <w:rPr>
                <w:sz w:val="20"/>
                <w:szCs w:val="20"/>
                <w:color w:val="auto"/>
              </w:rPr>
            </w:pPr>
            <w:r>
              <w:rPr>
                <w:rFonts w:ascii="Arial" w:cs="Arial" w:eastAsia="Arial" w:hAnsi="Arial"/>
                <w:sz w:val="18"/>
                <w:szCs w:val="18"/>
                <w:color w:val="auto"/>
              </w:rPr>
              <w:t>333-206849</w:t>
            </w:r>
          </w:p>
        </w:tc>
        <w:tc>
          <w:tcPr>
            <w:tcW w:w="1200" w:type="dxa"/>
            <w:vAlign w:val="bottom"/>
            <w:gridSpan w:val="2"/>
          </w:tcPr>
          <w:p>
            <w:pPr>
              <w:jc w:val="right"/>
              <w:ind w:right="308"/>
              <w:spacing w:after="0" w:line="196" w:lineRule="exact"/>
              <w:rPr>
                <w:sz w:val="20"/>
                <w:szCs w:val="20"/>
                <w:color w:val="auto"/>
              </w:rPr>
            </w:pPr>
            <w:r>
              <w:rPr>
                <w:rFonts w:ascii="Arial" w:cs="Arial" w:eastAsia="Arial" w:hAnsi="Arial"/>
                <w:sz w:val="18"/>
                <w:szCs w:val="18"/>
                <w:color w:val="auto"/>
              </w:rPr>
              <w:t>4.2</w:t>
            </w:r>
          </w:p>
        </w:tc>
        <w:tc>
          <w:tcPr>
            <w:tcW w:w="320" w:type="dxa"/>
            <w:vAlign w:val="bottom"/>
          </w:tcPr>
          <w:p>
            <w:pPr>
              <w:spacing w:after="0"/>
              <w:rPr>
                <w:sz w:val="17"/>
                <w:szCs w:val="17"/>
                <w:color w:val="auto"/>
              </w:rPr>
            </w:pPr>
          </w:p>
        </w:tc>
        <w:tc>
          <w:tcPr>
            <w:tcW w:w="2280" w:type="dxa"/>
            <w:vAlign w:val="bottom"/>
            <w:gridSpan w:val="3"/>
          </w:tcPr>
          <w:p>
            <w:pPr>
              <w:ind w:left="280"/>
              <w:spacing w:after="0" w:line="196" w:lineRule="exact"/>
              <w:rPr>
                <w:sz w:val="20"/>
                <w:szCs w:val="20"/>
                <w:color w:val="auto"/>
              </w:rPr>
            </w:pPr>
            <w:r>
              <w:rPr>
                <w:rFonts w:ascii="Arial" w:cs="Arial" w:eastAsia="Arial" w:hAnsi="Arial"/>
                <w:sz w:val="18"/>
                <w:szCs w:val="18"/>
                <w:color w:val="auto"/>
              </w:rPr>
              <w:t>September 9, 2015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80" w:type="dxa"/>
            <w:vAlign w:val="bottom"/>
            <w:tcBorders>
              <w:top w:val="single" w:sz="8" w:color="0000EE"/>
            </w:tcBorders>
            <w:gridSpan w:val="12"/>
          </w:tcPr>
          <w:p>
            <w:pPr>
              <w:spacing w:after="0" w:line="196" w:lineRule="exact"/>
              <w:rPr>
                <w:rFonts w:ascii="Arial" w:cs="Arial" w:eastAsia="Arial" w:hAnsi="Arial"/>
                <w:sz w:val="18"/>
                <w:szCs w:val="18"/>
                <w:color w:val="0000EE"/>
                <w:w w:val="93"/>
              </w:rPr>
            </w:pPr>
            <w:hyperlink r:id="rId111">
              <w:r>
                <w:rPr>
                  <w:rFonts w:ascii="Arial" w:cs="Arial" w:eastAsia="Arial" w:hAnsi="Arial"/>
                  <w:sz w:val="18"/>
                  <w:szCs w:val="18"/>
                  <w:color w:val="0000EE"/>
                  <w:w w:val="93"/>
                </w:rPr>
                <w:t>Investors’ Rights Agreement,</w:t>
              </w:r>
            </w:hyperlink>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020"/>
        <w:spacing w:after="0"/>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dated July 13, 2015, by and</w:t>
        </w:r>
      </w:hyperlink>
    </w:p>
    <w:p>
      <w:pPr>
        <w:spacing w:after="0" w:line="23" w:lineRule="exact"/>
        <w:rPr>
          <w:sz w:val="20"/>
          <w:szCs w:val="20"/>
          <w:color w:val="auto"/>
        </w:rPr>
      </w:pPr>
    </w:p>
    <w:p>
      <w:pPr>
        <w:ind w:left="1020"/>
        <w:spacing w:after="0"/>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among the Registrant and</w:t>
        </w:r>
      </w:hyperlink>
    </w:p>
    <w:p>
      <w:pPr>
        <w:spacing w:after="0" w:line="9" w:lineRule="exact"/>
        <w:rPr>
          <w:sz w:val="20"/>
          <w:szCs w:val="20"/>
          <w:color w:val="auto"/>
        </w:rPr>
      </w:pPr>
    </w:p>
    <w:p>
      <w:pPr>
        <w:ind w:left="1020"/>
        <w:spacing w:after="0"/>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certain of its stockholders.</w:t>
        </w:r>
      </w:hyperlink>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gridSpan w:val="3"/>
          </w:tcPr>
          <w:p>
            <w:pPr>
              <w:jc w:val="center"/>
              <w:ind w:left="33"/>
              <w:spacing w:after="0"/>
              <w:rPr>
                <w:sz w:val="20"/>
                <w:szCs w:val="20"/>
                <w:color w:val="auto"/>
              </w:rPr>
            </w:pPr>
            <w:r>
              <w:rPr>
                <w:rFonts w:ascii="Arial" w:cs="Arial" w:eastAsia="Arial" w:hAnsi="Arial"/>
                <w:sz w:val="14"/>
                <w:szCs w:val="14"/>
                <w:b w:val="1"/>
                <w:bCs w:val="1"/>
                <w:color w:val="auto"/>
                <w:w w:val="93"/>
              </w:rPr>
              <w:t>Incorporated</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Exhibit</w:t>
            </w:r>
          </w:p>
        </w:tc>
        <w:tc>
          <w:tcPr>
            <w:tcW w:w="340" w:type="dxa"/>
            <w:vAlign w:val="bottom"/>
          </w:tcPr>
          <w:p>
            <w:pPr>
              <w:spacing w:after="0"/>
              <w:rPr>
                <w:sz w:val="14"/>
                <w:szCs w:val="14"/>
                <w:color w:val="auto"/>
              </w:rPr>
            </w:pPr>
          </w:p>
        </w:tc>
        <w:tc>
          <w:tcPr>
            <w:tcW w:w="1980" w:type="dxa"/>
            <w:vAlign w:val="bottom"/>
            <w:gridSpan w:val="27"/>
            <w:vMerge w:val="restart"/>
          </w:tcPr>
          <w:p>
            <w:pPr>
              <w:ind w:left="60"/>
              <w:spacing w:after="0"/>
              <w:rPr>
                <w:sz w:val="20"/>
                <w:szCs w:val="20"/>
                <w:color w:val="auto"/>
              </w:rPr>
            </w:pPr>
            <w:r>
              <w:rPr>
                <w:rFonts w:ascii="Arial" w:cs="Arial" w:eastAsia="Arial" w:hAnsi="Arial"/>
                <w:sz w:val="14"/>
                <w:szCs w:val="14"/>
                <w:b w:val="1"/>
                <w:bCs w:val="1"/>
                <w:color w:val="auto"/>
              </w:rPr>
              <w:t>Description of Document</w:t>
            </w:r>
          </w:p>
        </w:tc>
        <w:tc>
          <w:tcPr>
            <w:tcW w:w="540" w:type="dxa"/>
            <w:vAlign w:val="bottom"/>
          </w:tcPr>
          <w:p>
            <w:pPr>
              <w:spacing w:after="0"/>
              <w:rPr>
                <w:sz w:val="14"/>
                <w:szCs w:val="14"/>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Form</w:t>
            </w:r>
          </w:p>
        </w:tc>
        <w:tc>
          <w:tcPr>
            <w:tcW w:w="1180" w:type="dxa"/>
            <w:vAlign w:val="bottom"/>
          </w:tcPr>
          <w:p>
            <w:pPr>
              <w:spacing w:after="0"/>
              <w:rPr>
                <w:sz w:val="14"/>
                <w:szCs w:val="14"/>
                <w:color w:val="auto"/>
              </w:rPr>
            </w:pPr>
          </w:p>
        </w:tc>
        <w:tc>
          <w:tcPr>
            <w:tcW w:w="9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4"/>
              </w:rPr>
              <w:t>File No.</w:t>
            </w:r>
          </w:p>
        </w:tc>
        <w:tc>
          <w:tcPr>
            <w:tcW w:w="1520" w:type="dxa"/>
            <w:vAlign w:val="bottom"/>
            <w:gridSpan w:val="3"/>
          </w:tcPr>
          <w:p>
            <w:pPr>
              <w:jc w:val="center"/>
              <w:ind w:left="33"/>
              <w:spacing w:after="0"/>
              <w:rPr>
                <w:sz w:val="20"/>
                <w:szCs w:val="20"/>
                <w:color w:val="auto"/>
              </w:rPr>
            </w:pPr>
            <w:r>
              <w:rPr>
                <w:rFonts w:ascii="Arial" w:cs="Arial" w:eastAsia="Arial" w:hAnsi="Arial"/>
                <w:sz w:val="14"/>
                <w:szCs w:val="14"/>
                <w:b w:val="1"/>
                <w:bCs w:val="1"/>
                <w:color w:val="auto"/>
                <w:w w:val="90"/>
              </w:rPr>
              <w:t>by Reference</w:t>
            </w:r>
          </w:p>
        </w:tc>
        <w:tc>
          <w:tcPr>
            <w:tcW w:w="9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Filing Date</w:t>
            </w:r>
          </w:p>
        </w:tc>
        <w:tc>
          <w:tcPr>
            <w:tcW w:w="5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62"/>
        </w:trPr>
        <w:tc>
          <w:tcPr>
            <w:tcW w:w="7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4"/>
                <w:szCs w:val="14"/>
                <w:color w:val="auto"/>
              </w:rPr>
            </w:pPr>
          </w:p>
        </w:tc>
        <w:tc>
          <w:tcPr>
            <w:tcW w:w="1980" w:type="dxa"/>
            <w:vAlign w:val="bottom"/>
            <w:gridSpan w:val="27"/>
            <w:vMerge w:val="continue"/>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14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gridSpan w:val="2"/>
            <w:vMerge w:val="restart"/>
          </w:tcPr>
          <w:p>
            <w:pPr>
              <w:ind w:left="600"/>
              <w:spacing w:after="0" w:line="182" w:lineRule="exact"/>
              <w:rPr>
                <w:sz w:val="20"/>
                <w:szCs w:val="20"/>
                <w:color w:val="auto"/>
              </w:rPr>
            </w:pPr>
            <w:r>
              <w:rPr>
                <w:rFonts w:ascii="Arial" w:cs="Arial" w:eastAsia="Arial" w:hAnsi="Arial"/>
                <w:sz w:val="18"/>
                <w:szCs w:val="18"/>
                <w:color w:val="auto"/>
              </w:rPr>
              <w:t>5.1</w:t>
            </w: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continue"/>
          </w:tcPr>
          <w:p>
            <w:pPr>
              <w:spacing w:after="0"/>
              <w:rPr>
                <w:sz w:val="12"/>
                <w:szCs w:val="12"/>
                <w:color w:val="auto"/>
              </w:rPr>
            </w:pPr>
          </w:p>
        </w:tc>
        <w:tc>
          <w:tcPr>
            <w:tcW w:w="480" w:type="dxa"/>
            <w:vAlign w:val="bottom"/>
          </w:tcPr>
          <w:p>
            <w:pPr>
              <w:ind w:left="80"/>
              <w:spacing w:after="0" w:line="142" w:lineRule="exact"/>
              <w:rPr>
                <w:sz w:val="20"/>
                <w:szCs w:val="20"/>
                <w:color w:val="auto"/>
              </w:rPr>
            </w:pPr>
            <w:r>
              <w:rPr>
                <w:rFonts w:ascii="Arial" w:cs="Arial" w:eastAsia="Arial" w:hAnsi="Arial"/>
                <w:sz w:val="16"/>
                <w:szCs w:val="16"/>
                <w:color w:val="auto"/>
              </w:rPr>
              <w:t>5.1</w:t>
            </w:r>
          </w:p>
        </w:tc>
        <w:tc>
          <w:tcPr>
            <w:tcW w:w="280" w:type="dxa"/>
            <w:vAlign w:val="bottom"/>
          </w:tcPr>
          <w:p>
            <w:pPr>
              <w:spacing w:after="0"/>
              <w:rPr>
                <w:sz w:val="12"/>
                <w:szCs w:val="12"/>
                <w:color w:val="auto"/>
              </w:rPr>
            </w:pPr>
          </w:p>
        </w:tc>
        <w:tc>
          <w:tcPr>
            <w:tcW w:w="2320" w:type="dxa"/>
            <w:vAlign w:val="bottom"/>
            <w:gridSpan w:val="28"/>
          </w:tcPr>
          <w:p>
            <w:pPr>
              <w:spacing w:after="0" w:line="142" w:lineRule="exact"/>
              <w:rPr>
                <w:rFonts w:ascii="Arial" w:cs="Arial" w:eastAsia="Arial" w:hAnsi="Arial"/>
                <w:sz w:val="16"/>
                <w:szCs w:val="16"/>
                <w:color w:val="0000EE"/>
              </w:rPr>
            </w:pPr>
            <w:hyperlink r:id="rId113">
              <w:r>
                <w:rPr>
                  <w:rFonts w:ascii="Arial" w:cs="Arial" w:eastAsia="Arial" w:hAnsi="Arial"/>
                  <w:sz w:val="16"/>
                  <w:szCs w:val="16"/>
                  <w:color w:val="0000EE"/>
                </w:rPr>
                <w:t>Opinion of Fenwick &amp; West</w:t>
              </w:r>
            </w:hyperlink>
          </w:p>
        </w:tc>
        <w:tc>
          <w:tcPr>
            <w:tcW w:w="900" w:type="dxa"/>
            <w:vAlign w:val="bottom"/>
            <w:gridSpan w:val="2"/>
          </w:tcPr>
          <w:p>
            <w:pPr>
              <w:ind w:left="440"/>
              <w:spacing w:after="0" w:line="142" w:lineRule="exact"/>
              <w:rPr>
                <w:sz w:val="20"/>
                <w:szCs w:val="20"/>
                <w:color w:val="auto"/>
              </w:rPr>
            </w:pPr>
            <w:r>
              <w:rPr>
                <w:rFonts w:ascii="Arial" w:cs="Arial" w:eastAsia="Arial" w:hAnsi="Arial"/>
                <w:sz w:val="16"/>
                <w:szCs w:val="16"/>
                <w:color w:val="auto"/>
              </w:rPr>
              <w:t>S-1</w:t>
            </w:r>
          </w:p>
        </w:tc>
        <w:tc>
          <w:tcPr>
            <w:tcW w:w="2160" w:type="dxa"/>
            <w:vAlign w:val="bottom"/>
            <w:gridSpan w:val="3"/>
          </w:tcPr>
          <w:p>
            <w:pPr>
              <w:jc w:val="right"/>
              <w:ind w:right="420"/>
              <w:spacing w:after="0" w:line="142" w:lineRule="exact"/>
              <w:rPr>
                <w:sz w:val="20"/>
                <w:szCs w:val="20"/>
                <w:color w:val="auto"/>
              </w:rPr>
            </w:pPr>
            <w:r>
              <w:rPr>
                <w:rFonts w:ascii="Arial" w:cs="Arial" w:eastAsia="Arial" w:hAnsi="Arial"/>
                <w:sz w:val="16"/>
                <w:szCs w:val="16"/>
                <w:color w:val="auto"/>
              </w:rPr>
              <w:t>333-220881</w:t>
            </w:r>
          </w:p>
        </w:tc>
        <w:tc>
          <w:tcPr>
            <w:tcW w:w="12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gridSpan w:val="3"/>
          </w:tcPr>
          <w:p>
            <w:pPr>
              <w:ind w:left="280"/>
              <w:spacing w:after="0" w:line="142" w:lineRule="exact"/>
              <w:rPr>
                <w:sz w:val="20"/>
                <w:szCs w:val="20"/>
                <w:color w:val="auto"/>
              </w:rPr>
            </w:pPr>
            <w:r>
              <w:rPr>
                <w:rFonts w:ascii="Arial" w:cs="Arial" w:eastAsia="Arial" w:hAnsi="Arial"/>
                <w:sz w:val="16"/>
                <w:szCs w:val="16"/>
                <w:color w:val="auto"/>
              </w:rPr>
              <w:t>October 10, 2017</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13">
              <w:r>
                <w:rPr>
                  <w:rFonts w:ascii="Arial" w:cs="Arial" w:eastAsia="Arial" w:hAnsi="Arial"/>
                  <w:sz w:val="18"/>
                  <w:szCs w:val="18"/>
                  <w:color w:val="0000EE"/>
                  <w:w w:val="86"/>
                </w:rPr>
                <w:t>LLP.</w:t>
              </w:r>
            </w:hyperlink>
          </w:p>
        </w:tc>
        <w:tc>
          <w:tcPr>
            <w:tcW w:w="1680" w:type="dxa"/>
            <w:vAlign w:val="bottom"/>
            <w:tcBorders>
              <w:top w:val="single" w:sz="8" w:color="0000EE"/>
            </w:tcBorders>
            <w:gridSpan w:val="16"/>
          </w:tcPr>
          <w:p>
            <w:pPr>
              <w:spacing w:after="0"/>
              <w:rPr>
                <w:sz w:val="17"/>
                <w:szCs w:val="17"/>
                <w:color w:val="auto"/>
              </w:rPr>
            </w:pPr>
          </w:p>
        </w:tc>
        <w:tc>
          <w:tcPr>
            <w:tcW w:w="300" w:type="dxa"/>
            <w:vAlign w:val="bottom"/>
            <w:gridSpan w:val="11"/>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7"/>
                <w:szCs w:val="17"/>
                <w:color w:val="auto"/>
              </w:rPr>
            </w:pPr>
          </w:p>
        </w:tc>
        <w:tc>
          <w:tcPr>
            <w:tcW w:w="2320" w:type="dxa"/>
            <w:vAlign w:val="bottom"/>
            <w:gridSpan w:val="28"/>
          </w:tcPr>
          <w:p>
            <w:pPr>
              <w:spacing w:after="0" w:line="196" w:lineRule="exact"/>
              <w:rPr>
                <w:rFonts w:ascii="Arial" w:cs="Arial" w:eastAsia="Arial" w:hAnsi="Arial"/>
                <w:sz w:val="18"/>
                <w:szCs w:val="18"/>
                <w:color w:val="0000EE"/>
                <w:w w:val="94"/>
              </w:rPr>
            </w:pPr>
            <w:hyperlink r:id="rId114">
              <w:r>
                <w:rPr>
                  <w:rFonts w:ascii="Arial" w:cs="Arial" w:eastAsia="Arial" w:hAnsi="Arial"/>
                  <w:sz w:val="18"/>
                  <w:szCs w:val="18"/>
                  <w:color w:val="0000EE"/>
                  <w:w w:val="94"/>
                </w:rPr>
                <w:t>Form of Indemnity Agreement.</w:t>
              </w:r>
            </w:hyperlink>
          </w:p>
        </w:tc>
        <w:tc>
          <w:tcPr>
            <w:tcW w:w="90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S-1</w:t>
            </w:r>
          </w:p>
        </w:tc>
        <w:tc>
          <w:tcPr>
            <w:tcW w:w="2160" w:type="dxa"/>
            <w:vAlign w:val="bottom"/>
            <w:gridSpan w:val="3"/>
          </w:tcPr>
          <w:p>
            <w:pPr>
              <w:jc w:val="right"/>
              <w:ind w:right="420"/>
              <w:spacing w:after="0" w:line="196" w:lineRule="exact"/>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10.1</w:t>
            </w:r>
          </w:p>
        </w:tc>
        <w:tc>
          <w:tcPr>
            <w:tcW w:w="320" w:type="dxa"/>
            <w:vAlign w:val="bottom"/>
          </w:tcPr>
          <w:p>
            <w:pPr>
              <w:spacing w:after="0"/>
              <w:rPr>
                <w:sz w:val="17"/>
                <w:szCs w:val="17"/>
                <w:color w:val="auto"/>
              </w:rPr>
            </w:pPr>
          </w:p>
        </w:tc>
        <w:tc>
          <w:tcPr>
            <w:tcW w:w="2280" w:type="dxa"/>
            <w:vAlign w:val="bottom"/>
            <w:gridSpan w:val="3"/>
          </w:tcPr>
          <w:p>
            <w:pPr>
              <w:ind w:left="280"/>
              <w:spacing w:after="0" w:line="196" w:lineRule="exact"/>
              <w:rPr>
                <w:sz w:val="20"/>
                <w:szCs w:val="20"/>
                <w:color w:val="auto"/>
              </w:rPr>
            </w:pPr>
            <w:r>
              <w:rPr>
                <w:rFonts w:ascii="Arial" w:cs="Arial" w:eastAsia="Arial" w:hAnsi="Arial"/>
                <w:sz w:val="18"/>
                <w:szCs w:val="18"/>
                <w:color w:val="auto"/>
              </w:rPr>
              <w:t>September 9, 2015</w:t>
            </w: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0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2"/>
                <w:szCs w:val="22"/>
                <w:color w:val="auto"/>
              </w:rPr>
            </w:pPr>
          </w:p>
        </w:tc>
        <w:tc>
          <w:tcPr>
            <w:tcW w:w="2240" w:type="dxa"/>
            <w:vAlign w:val="bottom"/>
            <w:tcBorders>
              <w:top w:val="single" w:sz="8" w:color="0000EE"/>
            </w:tcBorders>
            <w:gridSpan w:val="25"/>
          </w:tcPr>
          <w:p>
            <w:pPr>
              <w:spacing w:after="0"/>
              <w:rPr>
                <w:rFonts w:ascii="Arial" w:cs="Arial" w:eastAsia="Arial" w:hAnsi="Arial"/>
                <w:sz w:val="18"/>
                <w:szCs w:val="18"/>
                <w:color w:val="0000EE"/>
                <w:w w:val="94"/>
              </w:rPr>
            </w:pPr>
            <w:hyperlink r:id="rId115">
              <w:r>
                <w:rPr>
                  <w:rFonts w:ascii="Arial" w:cs="Arial" w:eastAsia="Arial" w:hAnsi="Arial"/>
                  <w:sz w:val="18"/>
                  <w:szCs w:val="18"/>
                  <w:color w:val="0000EE"/>
                  <w:w w:val="94"/>
                </w:rPr>
                <w:t>Amended and Restated 2006</w:t>
              </w:r>
            </w:hyperlink>
          </w:p>
        </w:tc>
        <w:tc>
          <w:tcPr>
            <w:tcW w:w="80" w:type="dxa"/>
            <w:vAlign w:val="bottom"/>
            <w:gridSpan w:val="3"/>
          </w:tcPr>
          <w:p>
            <w:pPr>
              <w:spacing w:after="0"/>
              <w:rPr>
                <w:sz w:val="22"/>
                <w:szCs w:val="22"/>
                <w:color w:val="auto"/>
              </w:rPr>
            </w:pPr>
          </w:p>
        </w:tc>
        <w:tc>
          <w:tcPr>
            <w:tcW w:w="900" w:type="dxa"/>
            <w:vAlign w:val="bottom"/>
            <w:gridSpan w:val="2"/>
          </w:tcPr>
          <w:p>
            <w:pPr>
              <w:ind w:left="440"/>
              <w:spacing w:after="0"/>
              <w:rPr>
                <w:sz w:val="20"/>
                <w:szCs w:val="20"/>
                <w:color w:val="auto"/>
              </w:rPr>
            </w:pPr>
            <w:r>
              <w:rPr>
                <w:rFonts w:ascii="Arial" w:cs="Arial" w:eastAsia="Arial" w:hAnsi="Arial"/>
                <w:sz w:val="18"/>
                <w:szCs w:val="18"/>
                <w:color w:val="auto"/>
                <w:w w:val="97"/>
              </w:rPr>
              <w:t>S-1/A</w:t>
            </w:r>
          </w:p>
        </w:tc>
        <w:tc>
          <w:tcPr>
            <w:tcW w:w="2160" w:type="dxa"/>
            <w:vAlign w:val="bottom"/>
            <w:gridSpan w:val="3"/>
          </w:tcPr>
          <w:p>
            <w:pPr>
              <w:jc w:val="right"/>
              <w:ind w:right="420"/>
              <w:spacing w:after="0"/>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2"/>
                <w:szCs w:val="22"/>
                <w:color w:val="auto"/>
              </w:rPr>
            </w:pPr>
          </w:p>
        </w:tc>
        <w:tc>
          <w:tcPr>
            <w:tcW w:w="2280" w:type="dxa"/>
            <w:vAlign w:val="bottom"/>
            <w:gridSpan w:val="3"/>
          </w:tcPr>
          <w:p>
            <w:pPr>
              <w:ind w:left="280"/>
              <w:spacing w:after="0"/>
              <w:rPr>
                <w:sz w:val="20"/>
                <w:szCs w:val="20"/>
                <w:color w:val="auto"/>
              </w:rPr>
            </w:pPr>
            <w:r>
              <w:rPr>
                <w:rFonts w:ascii="Arial" w:cs="Arial" w:eastAsia="Arial" w:hAnsi="Arial"/>
                <w:sz w:val="18"/>
                <w:szCs w:val="18"/>
                <w:color w:val="auto"/>
              </w:rPr>
              <w:t>January 17, 2017</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Equity Incentive Plan and forms</w:t>
              </w:r>
            </w:hyperlink>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r:id="rId115">
              <w:r>
                <w:rPr>
                  <w:rFonts w:ascii="Arial" w:cs="Arial" w:eastAsia="Arial" w:hAnsi="Arial"/>
                  <w:sz w:val="18"/>
                  <w:szCs w:val="18"/>
                  <w:color w:val="0000EE"/>
                  <w:w w:val="87"/>
                </w:rPr>
                <w:t>of award agreements.</w:t>
              </w:r>
            </w:hyperlink>
          </w:p>
        </w:tc>
        <w:tc>
          <w:tcPr>
            <w:tcW w:w="780" w:type="dxa"/>
            <w:vAlign w:val="bottom"/>
            <w:gridSpan w:val="21"/>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10.3</w:t>
            </w:r>
          </w:p>
        </w:tc>
        <w:tc>
          <w:tcPr>
            <w:tcW w:w="280" w:type="dxa"/>
            <w:vAlign w:val="bottom"/>
          </w:tcPr>
          <w:p>
            <w:pPr>
              <w:spacing w:after="0"/>
              <w:rPr>
                <w:sz w:val="17"/>
                <w:szCs w:val="17"/>
                <w:color w:val="auto"/>
              </w:rPr>
            </w:pPr>
          </w:p>
        </w:tc>
        <w:tc>
          <w:tcPr>
            <w:tcW w:w="228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2017 Equity Incentive Plan and</w:t>
              </w:r>
            </w:hyperlink>
          </w:p>
        </w:tc>
        <w:tc>
          <w:tcPr>
            <w:tcW w:w="40" w:type="dxa"/>
            <w:vAlign w:val="bottom"/>
          </w:tcPr>
          <w:p>
            <w:pPr>
              <w:spacing w:after="0"/>
              <w:rPr>
                <w:sz w:val="17"/>
                <w:szCs w:val="17"/>
                <w:color w:val="auto"/>
              </w:rPr>
            </w:pPr>
          </w:p>
        </w:tc>
        <w:tc>
          <w:tcPr>
            <w:tcW w:w="900" w:type="dxa"/>
            <w:vAlign w:val="bottom"/>
            <w:gridSpan w:val="2"/>
          </w:tcPr>
          <w:p>
            <w:pPr>
              <w:ind w:left="440"/>
              <w:spacing w:after="0" w:line="196" w:lineRule="exact"/>
              <w:rPr>
                <w:sz w:val="20"/>
                <w:szCs w:val="20"/>
                <w:color w:val="auto"/>
              </w:rPr>
            </w:pPr>
            <w:r>
              <w:rPr>
                <w:rFonts w:ascii="Arial" w:cs="Arial" w:eastAsia="Arial" w:hAnsi="Arial"/>
                <w:sz w:val="18"/>
                <w:szCs w:val="18"/>
                <w:color w:val="auto"/>
                <w:w w:val="97"/>
              </w:rPr>
              <w:t>S-1/A</w:t>
            </w:r>
          </w:p>
        </w:tc>
        <w:tc>
          <w:tcPr>
            <w:tcW w:w="2160" w:type="dxa"/>
            <w:vAlign w:val="bottom"/>
            <w:gridSpan w:val="3"/>
          </w:tcPr>
          <w:p>
            <w:pPr>
              <w:jc w:val="right"/>
              <w:ind w:right="420"/>
              <w:spacing w:after="0" w:line="196" w:lineRule="exact"/>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10.3</w:t>
            </w:r>
          </w:p>
        </w:tc>
        <w:tc>
          <w:tcPr>
            <w:tcW w:w="320" w:type="dxa"/>
            <w:vAlign w:val="bottom"/>
          </w:tcPr>
          <w:p>
            <w:pPr>
              <w:spacing w:after="0"/>
              <w:rPr>
                <w:sz w:val="17"/>
                <w:szCs w:val="17"/>
                <w:color w:val="auto"/>
              </w:rPr>
            </w:pPr>
          </w:p>
        </w:tc>
        <w:tc>
          <w:tcPr>
            <w:tcW w:w="2280" w:type="dxa"/>
            <w:vAlign w:val="bottom"/>
            <w:gridSpan w:val="3"/>
          </w:tcPr>
          <w:p>
            <w:pPr>
              <w:ind w:left="280"/>
              <w:spacing w:after="0" w:line="196" w:lineRule="exact"/>
              <w:rPr>
                <w:sz w:val="20"/>
                <w:szCs w:val="20"/>
                <w:color w:val="auto"/>
              </w:rPr>
            </w:pPr>
            <w:r>
              <w:rPr>
                <w:rFonts w:ascii="Arial" w:cs="Arial" w:eastAsia="Arial" w:hAnsi="Arial"/>
                <w:sz w:val="18"/>
                <w:szCs w:val="18"/>
                <w:color w:val="auto"/>
              </w:rPr>
              <w:t>January 17, 2017</w:t>
            </w: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28"/>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forms of award agreements.</w:t>
              </w:r>
            </w:hyperlink>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10.4</w:t>
            </w:r>
          </w:p>
        </w:tc>
        <w:tc>
          <w:tcPr>
            <w:tcW w:w="280" w:type="dxa"/>
            <w:vAlign w:val="bottom"/>
          </w:tcPr>
          <w:p>
            <w:pPr>
              <w:spacing w:after="0"/>
              <w:rPr>
                <w:sz w:val="17"/>
                <w:szCs w:val="17"/>
                <w:color w:val="auto"/>
              </w:rPr>
            </w:pPr>
          </w:p>
        </w:tc>
        <w:tc>
          <w:tcPr>
            <w:tcW w:w="22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r:id="rId117">
              <w:r>
                <w:rPr>
                  <w:rFonts w:ascii="Arial" w:cs="Arial" w:eastAsia="Arial" w:hAnsi="Arial"/>
                  <w:sz w:val="18"/>
                  <w:szCs w:val="18"/>
                  <w:color w:val="0000EE"/>
                  <w:w w:val="88"/>
                </w:rPr>
                <w:t>2017 Employee Stock Purchase</w:t>
              </w:r>
            </w:hyperlink>
          </w:p>
        </w:tc>
        <w:tc>
          <w:tcPr>
            <w:tcW w:w="40" w:type="dxa"/>
            <w:vAlign w:val="bottom"/>
          </w:tcPr>
          <w:p>
            <w:pPr>
              <w:spacing w:after="0"/>
              <w:rPr>
                <w:sz w:val="17"/>
                <w:szCs w:val="17"/>
                <w:color w:val="auto"/>
              </w:rPr>
            </w:pPr>
          </w:p>
        </w:tc>
        <w:tc>
          <w:tcPr>
            <w:tcW w:w="900" w:type="dxa"/>
            <w:vAlign w:val="bottom"/>
            <w:gridSpan w:val="2"/>
          </w:tcPr>
          <w:p>
            <w:pPr>
              <w:ind w:left="440"/>
              <w:spacing w:after="0" w:line="196" w:lineRule="exact"/>
              <w:rPr>
                <w:sz w:val="20"/>
                <w:szCs w:val="20"/>
                <w:color w:val="auto"/>
              </w:rPr>
            </w:pPr>
            <w:r>
              <w:rPr>
                <w:rFonts w:ascii="Arial" w:cs="Arial" w:eastAsia="Arial" w:hAnsi="Arial"/>
                <w:sz w:val="18"/>
                <w:szCs w:val="18"/>
                <w:color w:val="auto"/>
                <w:w w:val="97"/>
              </w:rPr>
              <w:t>S-1/A</w:t>
            </w:r>
          </w:p>
        </w:tc>
        <w:tc>
          <w:tcPr>
            <w:tcW w:w="2160" w:type="dxa"/>
            <w:vAlign w:val="bottom"/>
            <w:gridSpan w:val="3"/>
          </w:tcPr>
          <w:p>
            <w:pPr>
              <w:jc w:val="right"/>
              <w:ind w:right="420"/>
              <w:spacing w:after="0" w:line="196" w:lineRule="exact"/>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10.4</w:t>
            </w:r>
          </w:p>
        </w:tc>
        <w:tc>
          <w:tcPr>
            <w:tcW w:w="320" w:type="dxa"/>
            <w:vAlign w:val="bottom"/>
          </w:tcPr>
          <w:p>
            <w:pPr>
              <w:spacing w:after="0"/>
              <w:rPr>
                <w:sz w:val="17"/>
                <w:szCs w:val="17"/>
                <w:color w:val="auto"/>
              </w:rPr>
            </w:pPr>
          </w:p>
        </w:tc>
        <w:tc>
          <w:tcPr>
            <w:tcW w:w="2280" w:type="dxa"/>
            <w:vAlign w:val="bottom"/>
            <w:gridSpan w:val="3"/>
          </w:tcPr>
          <w:p>
            <w:pPr>
              <w:ind w:left="280"/>
              <w:spacing w:after="0" w:line="196" w:lineRule="exact"/>
              <w:rPr>
                <w:sz w:val="20"/>
                <w:szCs w:val="20"/>
                <w:color w:val="auto"/>
              </w:rPr>
            </w:pPr>
            <w:r>
              <w:rPr>
                <w:rFonts w:ascii="Arial" w:cs="Arial" w:eastAsia="Arial" w:hAnsi="Arial"/>
                <w:sz w:val="18"/>
                <w:szCs w:val="18"/>
                <w:color w:val="auto"/>
              </w:rPr>
              <w:t>January 17, 2017</w:t>
            </w: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28"/>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Plan and forms of award</w:t>
              </w:r>
            </w:hyperlink>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3"/>
              </w:rPr>
            </w:pPr>
            <w:hyperlink r:id="rId117">
              <w:r>
                <w:rPr>
                  <w:rFonts w:ascii="Arial" w:cs="Arial" w:eastAsia="Arial" w:hAnsi="Arial"/>
                  <w:sz w:val="18"/>
                  <w:szCs w:val="18"/>
                  <w:color w:val="0000EE"/>
                  <w:w w:val="83"/>
                </w:rPr>
                <w:t>agreements.</w:t>
              </w:r>
            </w:hyperlink>
          </w:p>
        </w:tc>
        <w:tc>
          <w:tcPr>
            <w:tcW w:w="900" w:type="dxa"/>
            <w:vAlign w:val="bottom"/>
            <w:tcBorders>
              <w:top w:val="single" w:sz="8" w:color="0000EE"/>
            </w:tcBorders>
            <w:gridSpan w:val="7"/>
          </w:tcPr>
          <w:p>
            <w:pPr>
              <w:spacing w:after="0"/>
              <w:rPr>
                <w:sz w:val="17"/>
                <w:szCs w:val="17"/>
                <w:color w:val="auto"/>
              </w:rPr>
            </w:pPr>
          </w:p>
        </w:tc>
        <w:tc>
          <w:tcPr>
            <w:tcW w:w="560" w:type="dxa"/>
            <w:vAlign w:val="bottom"/>
            <w:gridSpan w:val="18"/>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10.5</w:t>
            </w:r>
          </w:p>
        </w:tc>
        <w:tc>
          <w:tcPr>
            <w:tcW w:w="28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18">
              <w:r>
                <w:rPr>
                  <w:rFonts w:ascii="Arial" w:cs="Arial" w:eastAsia="Arial" w:hAnsi="Arial"/>
                  <w:sz w:val="18"/>
                  <w:szCs w:val="18"/>
                  <w:color w:val="0000EE"/>
                  <w:w w:val="90"/>
                </w:rPr>
                <w:t>Employment Agreement,</w:t>
              </w:r>
            </w:hyperlink>
          </w:p>
        </w:tc>
        <w:tc>
          <w:tcPr>
            <w:tcW w:w="500" w:type="dxa"/>
            <w:vAlign w:val="bottom"/>
            <w:gridSpan w:val="17"/>
          </w:tcPr>
          <w:p>
            <w:pPr>
              <w:spacing w:after="0"/>
              <w:rPr>
                <w:sz w:val="17"/>
                <w:szCs w:val="17"/>
                <w:color w:val="auto"/>
              </w:rPr>
            </w:pPr>
          </w:p>
        </w:tc>
        <w:tc>
          <w:tcPr>
            <w:tcW w:w="90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S-1</w:t>
            </w:r>
          </w:p>
        </w:tc>
        <w:tc>
          <w:tcPr>
            <w:tcW w:w="2160" w:type="dxa"/>
            <w:vAlign w:val="bottom"/>
            <w:gridSpan w:val="3"/>
          </w:tcPr>
          <w:p>
            <w:pPr>
              <w:jc w:val="right"/>
              <w:ind w:right="420"/>
              <w:spacing w:after="0" w:line="196" w:lineRule="exact"/>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10.5</w:t>
            </w:r>
          </w:p>
        </w:tc>
        <w:tc>
          <w:tcPr>
            <w:tcW w:w="320" w:type="dxa"/>
            <w:vAlign w:val="bottom"/>
          </w:tcPr>
          <w:p>
            <w:pPr>
              <w:spacing w:after="0"/>
              <w:rPr>
                <w:sz w:val="17"/>
                <w:szCs w:val="17"/>
                <w:color w:val="auto"/>
              </w:rPr>
            </w:pPr>
          </w:p>
        </w:tc>
        <w:tc>
          <w:tcPr>
            <w:tcW w:w="2280" w:type="dxa"/>
            <w:vAlign w:val="bottom"/>
            <w:gridSpan w:val="3"/>
          </w:tcPr>
          <w:p>
            <w:pPr>
              <w:ind w:left="280"/>
              <w:spacing w:after="0" w:line="196" w:lineRule="exact"/>
              <w:rPr>
                <w:sz w:val="20"/>
                <w:szCs w:val="20"/>
                <w:color w:val="auto"/>
              </w:rPr>
            </w:pPr>
            <w:r>
              <w:rPr>
                <w:rFonts w:ascii="Arial" w:cs="Arial" w:eastAsia="Arial" w:hAnsi="Arial"/>
                <w:sz w:val="18"/>
                <w:szCs w:val="18"/>
                <w:color w:val="auto"/>
              </w:rPr>
              <w:t>September 9, 2015</w:t>
            </w: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28"/>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effective as of January 1, 2012,</w:t>
              </w:r>
            </w:hyperlink>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89"/>
              </w:rPr>
            </w:pPr>
            <w:hyperlink r:id="rId118">
              <w:r>
                <w:rPr>
                  <w:rFonts w:ascii="Arial" w:cs="Arial" w:eastAsia="Arial" w:hAnsi="Arial"/>
                  <w:sz w:val="18"/>
                  <w:szCs w:val="18"/>
                  <w:color w:val="0000EE"/>
                  <w:w w:val="89"/>
                </w:rPr>
                <w:t>by and between the Registrant</w:t>
              </w:r>
            </w:hyperlink>
          </w:p>
        </w:tc>
        <w:tc>
          <w:tcPr>
            <w:tcW w:w="40" w:type="dxa"/>
            <w:vAlign w:val="bottom"/>
            <w:tcBorders>
              <w:top w:val="single" w:sz="8" w:color="0000EE"/>
            </w:tcBorders>
          </w:tcPr>
          <w:p>
            <w:pPr>
              <w:spacing w:after="0"/>
              <w:rPr>
                <w:sz w:val="17"/>
                <w:szCs w:val="17"/>
                <w:color w:val="auto"/>
              </w:rPr>
            </w:pPr>
          </w:p>
        </w:tc>
        <w:tc>
          <w:tcPr>
            <w:tcW w:w="8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6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r:id="rId118">
              <w:r>
                <w:rPr>
                  <w:rFonts w:ascii="Arial" w:cs="Arial" w:eastAsia="Arial" w:hAnsi="Arial"/>
                  <w:sz w:val="18"/>
                  <w:szCs w:val="18"/>
                  <w:color w:val="0000EE"/>
                  <w:w w:val="88"/>
                </w:rPr>
                <w:t>and Hamza Suria, as amended.</w:t>
              </w:r>
            </w:hyperlink>
          </w:p>
        </w:tc>
        <w:tc>
          <w:tcPr>
            <w:tcW w:w="6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10.6</w:t>
            </w:r>
          </w:p>
        </w:tc>
        <w:tc>
          <w:tcPr>
            <w:tcW w:w="28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Employment Agreement,</w:t>
              </w:r>
            </w:hyperlink>
          </w:p>
        </w:tc>
        <w:tc>
          <w:tcPr>
            <w:tcW w:w="500" w:type="dxa"/>
            <w:vAlign w:val="bottom"/>
            <w:gridSpan w:val="17"/>
          </w:tcPr>
          <w:p>
            <w:pPr>
              <w:spacing w:after="0"/>
              <w:rPr>
                <w:sz w:val="17"/>
                <w:szCs w:val="17"/>
                <w:color w:val="auto"/>
              </w:rPr>
            </w:pPr>
          </w:p>
        </w:tc>
        <w:tc>
          <w:tcPr>
            <w:tcW w:w="900" w:type="dxa"/>
            <w:vAlign w:val="bottom"/>
            <w:gridSpan w:val="2"/>
          </w:tcPr>
          <w:p>
            <w:pPr>
              <w:ind w:left="440"/>
              <w:spacing w:after="0" w:line="196" w:lineRule="exact"/>
              <w:rPr>
                <w:sz w:val="20"/>
                <w:szCs w:val="20"/>
                <w:color w:val="auto"/>
              </w:rPr>
            </w:pPr>
            <w:r>
              <w:rPr>
                <w:rFonts w:ascii="Arial" w:cs="Arial" w:eastAsia="Arial" w:hAnsi="Arial"/>
                <w:sz w:val="18"/>
                <w:szCs w:val="18"/>
                <w:color w:val="auto"/>
                <w:w w:val="97"/>
              </w:rPr>
              <w:t>S-1/A</w:t>
            </w:r>
          </w:p>
        </w:tc>
        <w:tc>
          <w:tcPr>
            <w:tcW w:w="2160" w:type="dxa"/>
            <w:vAlign w:val="bottom"/>
            <w:gridSpan w:val="3"/>
          </w:tcPr>
          <w:p>
            <w:pPr>
              <w:jc w:val="right"/>
              <w:ind w:right="420"/>
              <w:spacing w:after="0" w:line="196" w:lineRule="exact"/>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10.6</w:t>
            </w:r>
          </w:p>
        </w:tc>
        <w:tc>
          <w:tcPr>
            <w:tcW w:w="320" w:type="dxa"/>
            <w:vAlign w:val="bottom"/>
          </w:tcPr>
          <w:p>
            <w:pPr>
              <w:spacing w:after="0"/>
              <w:rPr>
                <w:sz w:val="17"/>
                <w:szCs w:val="17"/>
                <w:color w:val="auto"/>
              </w:rPr>
            </w:pPr>
          </w:p>
        </w:tc>
        <w:tc>
          <w:tcPr>
            <w:tcW w:w="2280" w:type="dxa"/>
            <w:vAlign w:val="bottom"/>
            <w:gridSpan w:val="3"/>
          </w:tcPr>
          <w:p>
            <w:pPr>
              <w:ind w:left="280"/>
              <w:spacing w:after="0" w:line="196" w:lineRule="exact"/>
              <w:rPr>
                <w:sz w:val="20"/>
                <w:szCs w:val="20"/>
                <w:color w:val="auto"/>
              </w:rPr>
            </w:pPr>
            <w:r>
              <w:rPr>
                <w:rFonts w:ascii="Arial" w:cs="Arial" w:eastAsia="Arial" w:hAnsi="Arial"/>
                <w:sz w:val="18"/>
                <w:szCs w:val="18"/>
                <w:color w:val="auto"/>
              </w:rPr>
              <w:t>December 28, 2016</w:t>
            </w: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28"/>
          </w:tcPr>
          <w:p>
            <w:pPr>
              <w:spacing w:after="0" w:line="196" w:lineRule="exact"/>
              <w:rPr>
                <w:rFonts w:ascii="Arial" w:cs="Arial" w:eastAsia="Arial" w:hAnsi="Arial"/>
                <w:sz w:val="18"/>
                <w:szCs w:val="18"/>
                <w:color w:val="0000EE"/>
                <w:w w:val="93"/>
              </w:rPr>
            </w:pPr>
            <w:hyperlink r:id="rId119">
              <w:r>
                <w:rPr>
                  <w:rFonts w:ascii="Arial" w:cs="Arial" w:eastAsia="Arial" w:hAnsi="Arial"/>
                  <w:sz w:val="18"/>
                  <w:szCs w:val="18"/>
                  <w:color w:val="0000EE"/>
                  <w:w w:val="93"/>
                </w:rPr>
                <w:t>effective as of March 22, 2016,</w:t>
              </w:r>
            </w:hyperlink>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88"/>
              </w:rPr>
            </w:pPr>
            <w:hyperlink r:id="rId119">
              <w:r>
                <w:rPr>
                  <w:rFonts w:ascii="Arial" w:cs="Arial" w:eastAsia="Arial" w:hAnsi="Arial"/>
                  <w:sz w:val="18"/>
                  <w:szCs w:val="18"/>
                  <w:color w:val="0000EE"/>
                  <w:w w:val="88"/>
                </w:rPr>
                <w:t>by and between the Registrant</w:t>
              </w:r>
            </w:hyperlink>
          </w:p>
        </w:tc>
        <w:tc>
          <w:tcPr>
            <w:tcW w:w="60" w:type="dxa"/>
            <w:vAlign w:val="bottom"/>
            <w:tcBorders>
              <w:top w:val="single" w:sz="8" w:color="0000EE"/>
            </w:tcBorders>
            <w:gridSpan w:val="2"/>
          </w:tcPr>
          <w:p>
            <w:pPr>
              <w:spacing w:after="0"/>
              <w:rPr>
                <w:sz w:val="17"/>
                <w:szCs w:val="17"/>
                <w:color w:val="auto"/>
              </w:rPr>
            </w:pPr>
          </w:p>
        </w:tc>
        <w:tc>
          <w:tcPr>
            <w:tcW w:w="8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and Matthew Moyle.</w:t>
              </w:r>
            </w:hyperlink>
          </w:p>
        </w:tc>
        <w:tc>
          <w:tcPr>
            <w:tcW w:w="820" w:type="dxa"/>
            <w:vAlign w:val="bottom"/>
            <w:gridSpan w:val="23"/>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10.7</w:t>
            </w:r>
          </w:p>
        </w:tc>
        <w:tc>
          <w:tcPr>
            <w:tcW w:w="280" w:type="dxa"/>
            <w:vAlign w:val="bottom"/>
          </w:tcPr>
          <w:p>
            <w:pPr>
              <w:spacing w:after="0"/>
              <w:rPr>
                <w:sz w:val="17"/>
                <w:szCs w:val="17"/>
                <w:color w:val="auto"/>
              </w:rPr>
            </w:pPr>
          </w:p>
        </w:tc>
        <w:tc>
          <w:tcPr>
            <w:tcW w:w="18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Employment Agreement,</w:t>
              </w:r>
            </w:hyperlink>
          </w:p>
        </w:tc>
        <w:tc>
          <w:tcPr>
            <w:tcW w:w="480" w:type="dxa"/>
            <w:vAlign w:val="bottom"/>
            <w:gridSpan w:val="16"/>
          </w:tcPr>
          <w:p>
            <w:pPr>
              <w:spacing w:after="0"/>
              <w:rPr>
                <w:sz w:val="17"/>
                <w:szCs w:val="17"/>
                <w:color w:val="auto"/>
              </w:rPr>
            </w:pPr>
          </w:p>
        </w:tc>
        <w:tc>
          <w:tcPr>
            <w:tcW w:w="90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S-1</w:t>
            </w:r>
          </w:p>
        </w:tc>
        <w:tc>
          <w:tcPr>
            <w:tcW w:w="2160" w:type="dxa"/>
            <w:vAlign w:val="bottom"/>
            <w:gridSpan w:val="3"/>
          </w:tcPr>
          <w:p>
            <w:pPr>
              <w:jc w:val="right"/>
              <w:ind w:right="420"/>
              <w:spacing w:after="0" w:line="196" w:lineRule="exact"/>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10.8</w:t>
            </w:r>
          </w:p>
        </w:tc>
        <w:tc>
          <w:tcPr>
            <w:tcW w:w="320" w:type="dxa"/>
            <w:vAlign w:val="bottom"/>
          </w:tcPr>
          <w:p>
            <w:pPr>
              <w:spacing w:after="0"/>
              <w:rPr>
                <w:sz w:val="17"/>
                <w:szCs w:val="17"/>
                <w:color w:val="auto"/>
              </w:rPr>
            </w:pPr>
          </w:p>
        </w:tc>
        <w:tc>
          <w:tcPr>
            <w:tcW w:w="2280" w:type="dxa"/>
            <w:vAlign w:val="bottom"/>
            <w:gridSpan w:val="3"/>
          </w:tcPr>
          <w:p>
            <w:pPr>
              <w:ind w:left="280"/>
              <w:spacing w:after="0" w:line="196" w:lineRule="exact"/>
              <w:rPr>
                <w:sz w:val="20"/>
                <w:szCs w:val="20"/>
                <w:color w:val="auto"/>
              </w:rPr>
            </w:pPr>
            <w:r>
              <w:rPr>
                <w:rFonts w:ascii="Arial" w:cs="Arial" w:eastAsia="Arial" w:hAnsi="Arial"/>
                <w:sz w:val="18"/>
                <w:szCs w:val="18"/>
                <w:color w:val="auto"/>
              </w:rPr>
              <w:t>September 9, 2015</w:t>
            </w: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28"/>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effective as of October 20,</w:t>
              </w:r>
            </w:hyperlink>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r:id="rId120">
              <w:r>
                <w:rPr>
                  <w:rFonts w:ascii="Arial" w:cs="Arial" w:eastAsia="Arial" w:hAnsi="Arial"/>
                  <w:sz w:val="18"/>
                  <w:szCs w:val="18"/>
                  <w:color w:val="0000EE"/>
                  <w:w w:val="87"/>
                </w:rPr>
                <w:t>2014, by and between the</w:t>
              </w:r>
            </w:hyperlink>
          </w:p>
        </w:tc>
        <w:tc>
          <w:tcPr>
            <w:tcW w:w="60" w:type="dxa"/>
            <w:vAlign w:val="bottom"/>
            <w:tcBorders>
              <w:top w:val="single" w:sz="8" w:color="0000EE"/>
            </w:tcBorders>
            <w:gridSpan w:val="2"/>
          </w:tcPr>
          <w:p>
            <w:pPr>
              <w:spacing w:after="0"/>
              <w:rPr>
                <w:sz w:val="17"/>
                <w:szCs w:val="17"/>
                <w:color w:val="auto"/>
              </w:rPr>
            </w:pPr>
          </w:p>
        </w:tc>
        <w:tc>
          <w:tcPr>
            <w:tcW w:w="420" w:type="dxa"/>
            <w:vAlign w:val="bottom"/>
            <w:gridSpan w:val="14"/>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120">
              <w:r>
                <w:rPr>
                  <w:rFonts w:ascii="Arial" w:cs="Arial" w:eastAsia="Arial" w:hAnsi="Arial"/>
                  <w:sz w:val="18"/>
                  <w:szCs w:val="18"/>
                  <w:color w:val="0000EE"/>
                  <w:w w:val="90"/>
                </w:rPr>
                <w:t>Registrant and Marco Londei.</w:t>
              </w:r>
            </w:hyperlink>
          </w:p>
        </w:tc>
        <w:tc>
          <w:tcPr>
            <w:tcW w:w="16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10.8</w:t>
            </w:r>
          </w:p>
        </w:tc>
        <w:tc>
          <w:tcPr>
            <w:tcW w:w="280" w:type="dxa"/>
            <w:vAlign w:val="bottom"/>
          </w:tcPr>
          <w:p>
            <w:pPr>
              <w:spacing w:after="0"/>
              <w:rPr>
                <w:sz w:val="17"/>
                <w:szCs w:val="17"/>
                <w:color w:val="auto"/>
              </w:rPr>
            </w:pPr>
          </w:p>
        </w:tc>
        <w:tc>
          <w:tcPr>
            <w:tcW w:w="18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21">
              <w:r>
                <w:rPr>
                  <w:rFonts w:ascii="Arial" w:cs="Arial" w:eastAsia="Arial" w:hAnsi="Arial"/>
                  <w:sz w:val="18"/>
                  <w:szCs w:val="18"/>
                  <w:color w:val="0000EE"/>
                  <w:w w:val="90"/>
                </w:rPr>
                <w:t>Employment Agreement,</w:t>
              </w:r>
            </w:hyperlink>
          </w:p>
        </w:tc>
        <w:tc>
          <w:tcPr>
            <w:tcW w:w="500" w:type="dxa"/>
            <w:vAlign w:val="bottom"/>
            <w:gridSpan w:val="17"/>
          </w:tcPr>
          <w:p>
            <w:pPr>
              <w:spacing w:after="0"/>
              <w:rPr>
                <w:sz w:val="17"/>
                <w:szCs w:val="17"/>
                <w:color w:val="auto"/>
              </w:rPr>
            </w:pPr>
          </w:p>
        </w:tc>
        <w:tc>
          <w:tcPr>
            <w:tcW w:w="900" w:type="dxa"/>
            <w:vAlign w:val="bottom"/>
            <w:gridSpan w:val="2"/>
          </w:tcPr>
          <w:p>
            <w:pPr>
              <w:ind w:left="440"/>
              <w:spacing w:after="0" w:line="196" w:lineRule="exact"/>
              <w:rPr>
                <w:sz w:val="20"/>
                <w:szCs w:val="20"/>
                <w:color w:val="auto"/>
              </w:rPr>
            </w:pPr>
            <w:r>
              <w:rPr>
                <w:rFonts w:ascii="Arial" w:cs="Arial" w:eastAsia="Arial" w:hAnsi="Arial"/>
                <w:sz w:val="18"/>
                <w:szCs w:val="18"/>
                <w:color w:val="auto"/>
              </w:rPr>
              <w:t>S-1</w:t>
            </w:r>
          </w:p>
        </w:tc>
        <w:tc>
          <w:tcPr>
            <w:tcW w:w="2160" w:type="dxa"/>
            <w:vAlign w:val="bottom"/>
            <w:gridSpan w:val="3"/>
          </w:tcPr>
          <w:p>
            <w:pPr>
              <w:jc w:val="right"/>
              <w:ind w:right="420"/>
              <w:spacing w:after="0" w:line="196" w:lineRule="exact"/>
              <w:rPr>
                <w:sz w:val="20"/>
                <w:szCs w:val="20"/>
                <w:color w:val="auto"/>
              </w:rPr>
            </w:pPr>
            <w:r>
              <w:rPr>
                <w:rFonts w:ascii="Arial" w:cs="Arial" w:eastAsia="Arial" w:hAnsi="Arial"/>
                <w:sz w:val="18"/>
                <w:szCs w:val="18"/>
                <w:color w:val="auto"/>
              </w:rPr>
              <w:t>333-220881</w:t>
            </w:r>
          </w:p>
        </w:tc>
        <w:tc>
          <w:tcPr>
            <w:tcW w:w="120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10.8</w:t>
            </w:r>
          </w:p>
        </w:tc>
        <w:tc>
          <w:tcPr>
            <w:tcW w:w="320" w:type="dxa"/>
            <w:vAlign w:val="bottom"/>
          </w:tcPr>
          <w:p>
            <w:pPr>
              <w:spacing w:after="0"/>
              <w:rPr>
                <w:sz w:val="17"/>
                <w:szCs w:val="17"/>
                <w:color w:val="auto"/>
              </w:rPr>
            </w:pPr>
          </w:p>
        </w:tc>
        <w:tc>
          <w:tcPr>
            <w:tcW w:w="2280" w:type="dxa"/>
            <w:vAlign w:val="bottom"/>
            <w:gridSpan w:val="3"/>
          </w:tcPr>
          <w:p>
            <w:pPr>
              <w:ind w:left="280"/>
              <w:spacing w:after="0" w:line="196" w:lineRule="exact"/>
              <w:rPr>
                <w:sz w:val="20"/>
                <w:szCs w:val="20"/>
                <w:color w:val="auto"/>
              </w:rPr>
            </w:pPr>
            <w:r>
              <w:rPr>
                <w:rFonts w:ascii="Arial" w:cs="Arial" w:eastAsia="Arial" w:hAnsi="Arial"/>
                <w:sz w:val="18"/>
                <w:szCs w:val="18"/>
                <w:color w:val="auto"/>
              </w:rPr>
              <w:t>October 10, 2017</w:t>
            </w: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28"/>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effective as of January 9, 2017,</w:t>
              </w:r>
            </w:hyperlink>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w w:val="88"/>
              </w:rPr>
            </w:pPr>
            <w:hyperlink r:id="rId121">
              <w:r>
                <w:rPr>
                  <w:rFonts w:ascii="Arial" w:cs="Arial" w:eastAsia="Arial" w:hAnsi="Arial"/>
                  <w:sz w:val="18"/>
                  <w:szCs w:val="18"/>
                  <w:color w:val="0000EE"/>
                  <w:w w:val="88"/>
                </w:rPr>
                <w:t>by and between the Registrant</w:t>
              </w:r>
            </w:hyperlink>
          </w:p>
        </w:tc>
        <w:tc>
          <w:tcPr>
            <w:tcW w:w="60" w:type="dxa"/>
            <w:vAlign w:val="bottom"/>
            <w:tcBorders>
              <w:top w:val="single" w:sz="8" w:color="0000EE"/>
            </w:tcBorders>
            <w:gridSpan w:val="2"/>
          </w:tcPr>
          <w:p>
            <w:pPr>
              <w:spacing w:after="0"/>
              <w:rPr>
                <w:sz w:val="17"/>
                <w:szCs w:val="17"/>
                <w:color w:val="auto"/>
              </w:rPr>
            </w:pPr>
          </w:p>
        </w:tc>
        <w:tc>
          <w:tcPr>
            <w:tcW w:w="8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28"/>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and Dominic Piscitelli.</w:t>
              </w:r>
            </w:hyperlink>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10.9</w:t>
            </w:r>
          </w:p>
        </w:tc>
        <w:tc>
          <w:tcPr>
            <w:tcW w:w="280" w:type="dxa"/>
            <w:vAlign w:val="bottom"/>
          </w:tcPr>
          <w:p>
            <w:pPr>
              <w:spacing w:after="0"/>
              <w:rPr>
                <w:sz w:val="17"/>
                <w:szCs w:val="17"/>
                <w:color w:val="auto"/>
              </w:rPr>
            </w:pPr>
          </w:p>
        </w:tc>
        <w:tc>
          <w:tcPr>
            <w:tcW w:w="2320" w:type="dxa"/>
            <w:vAlign w:val="bottom"/>
            <w:gridSpan w:val="28"/>
          </w:tcPr>
          <w:p>
            <w:pPr>
              <w:spacing w:after="0" w:line="196" w:lineRule="exact"/>
              <w:rPr>
                <w:rFonts w:ascii="Arial" w:cs="Arial" w:eastAsia="Arial" w:hAnsi="Arial"/>
                <w:sz w:val="18"/>
                <w:szCs w:val="18"/>
                <w:color w:val="0000EE"/>
              </w:rPr>
            </w:pPr>
            <w:hyperlink r:id="rId122">
              <w:r>
                <w:rPr>
                  <w:rFonts w:ascii="Arial" w:cs="Arial" w:eastAsia="Arial" w:hAnsi="Arial"/>
                  <w:sz w:val="18"/>
                  <w:szCs w:val="18"/>
                  <w:color w:val="0000EE"/>
                </w:rPr>
                <w:t>Office Lease, dated April 19,</w:t>
              </w:r>
            </w:hyperlink>
          </w:p>
        </w:tc>
        <w:tc>
          <w:tcPr>
            <w:tcW w:w="900" w:type="dxa"/>
            <w:vAlign w:val="bottom"/>
            <w:gridSpan w:val="2"/>
          </w:tcPr>
          <w:p>
            <w:pPr>
              <w:ind w:left="440"/>
              <w:spacing w:after="0" w:line="196" w:lineRule="exact"/>
              <w:rPr>
                <w:sz w:val="20"/>
                <w:szCs w:val="20"/>
                <w:color w:val="auto"/>
              </w:rPr>
            </w:pPr>
            <w:r>
              <w:rPr>
                <w:rFonts w:ascii="Arial" w:cs="Arial" w:eastAsia="Arial" w:hAnsi="Arial"/>
                <w:sz w:val="18"/>
                <w:szCs w:val="18"/>
                <w:color w:val="auto"/>
                <w:w w:val="97"/>
              </w:rPr>
              <w:t>S-1/A</w:t>
            </w:r>
          </w:p>
        </w:tc>
        <w:tc>
          <w:tcPr>
            <w:tcW w:w="2160" w:type="dxa"/>
            <w:vAlign w:val="bottom"/>
            <w:gridSpan w:val="3"/>
          </w:tcPr>
          <w:p>
            <w:pPr>
              <w:jc w:val="right"/>
              <w:ind w:right="420"/>
              <w:spacing w:after="0" w:line="196" w:lineRule="exact"/>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10.8</w:t>
            </w:r>
          </w:p>
        </w:tc>
        <w:tc>
          <w:tcPr>
            <w:tcW w:w="320" w:type="dxa"/>
            <w:vAlign w:val="bottom"/>
          </w:tcPr>
          <w:p>
            <w:pPr>
              <w:spacing w:after="0"/>
              <w:rPr>
                <w:sz w:val="17"/>
                <w:szCs w:val="17"/>
                <w:color w:val="auto"/>
              </w:rPr>
            </w:pPr>
          </w:p>
        </w:tc>
        <w:tc>
          <w:tcPr>
            <w:tcW w:w="2280" w:type="dxa"/>
            <w:vAlign w:val="bottom"/>
            <w:gridSpan w:val="3"/>
          </w:tcPr>
          <w:p>
            <w:pPr>
              <w:ind w:left="280"/>
              <w:spacing w:after="0" w:line="196" w:lineRule="exact"/>
              <w:rPr>
                <w:sz w:val="20"/>
                <w:szCs w:val="20"/>
                <w:color w:val="auto"/>
              </w:rPr>
            </w:pPr>
            <w:r>
              <w:rPr>
                <w:rFonts w:ascii="Arial" w:cs="Arial" w:eastAsia="Arial" w:hAnsi="Arial"/>
                <w:sz w:val="18"/>
                <w:szCs w:val="18"/>
                <w:color w:val="auto"/>
              </w:rPr>
              <w:t>December 23, 2015</w:t>
            </w: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r:id="rId122">
              <w:r>
                <w:rPr>
                  <w:rFonts w:ascii="Arial" w:cs="Arial" w:eastAsia="Arial" w:hAnsi="Arial"/>
                  <w:sz w:val="18"/>
                  <w:szCs w:val="18"/>
                  <w:color w:val="0000EE"/>
                  <w:w w:val="87"/>
                </w:rPr>
                <w:t>2011, by and between the</w:t>
              </w:r>
            </w:hyperlink>
          </w:p>
        </w:tc>
        <w:tc>
          <w:tcPr>
            <w:tcW w:w="240" w:type="dxa"/>
            <w:vAlign w:val="bottom"/>
            <w:tcBorders>
              <w:top w:val="single" w:sz="8" w:color="0000EE"/>
            </w:tcBorders>
            <w:gridSpan w:val="7"/>
          </w:tcPr>
          <w:p>
            <w:pPr>
              <w:spacing w:after="0"/>
              <w:rPr>
                <w:sz w:val="17"/>
                <w:szCs w:val="17"/>
                <w:color w:val="auto"/>
              </w:rPr>
            </w:pPr>
          </w:p>
        </w:tc>
        <w:tc>
          <w:tcPr>
            <w:tcW w:w="240" w:type="dxa"/>
            <w:vAlign w:val="bottom"/>
            <w:gridSpan w:val="9"/>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Registrant and Kilroy Realty,</w:t>
              </w:r>
            </w:hyperlink>
          </w:p>
        </w:tc>
        <w:tc>
          <w:tcPr>
            <w:tcW w:w="20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84"/>
              </w:rPr>
            </w:pPr>
            <w:hyperlink r:id="rId122">
              <w:r>
                <w:rPr>
                  <w:rFonts w:ascii="Arial" w:cs="Arial" w:eastAsia="Arial" w:hAnsi="Arial"/>
                  <w:sz w:val="18"/>
                  <w:szCs w:val="18"/>
                  <w:color w:val="0000EE"/>
                  <w:w w:val="84"/>
                </w:rPr>
                <w:t>L.P., as amended.</w:t>
              </w:r>
            </w:hyperlink>
          </w:p>
        </w:tc>
        <w:tc>
          <w:tcPr>
            <w:tcW w:w="1060" w:type="dxa"/>
            <w:vAlign w:val="bottom"/>
            <w:gridSpan w:val="24"/>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gridSpan w:val="3"/>
          </w:tcPr>
          <w:p>
            <w:pPr>
              <w:ind w:left="100"/>
              <w:spacing w:after="0" w:line="196" w:lineRule="exact"/>
              <w:rPr>
                <w:sz w:val="20"/>
                <w:szCs w:val="20"/>
                <w:color w:val="auto"/>
              </w:rPr>
            </w:pPr>
            <w:r>
              <w:rPr>
                <w:rFonts w:ascii="Arial" w:cs="Arial" w:eastAsia="Arial" w:hAnsi="Arial"/>
                <w:sz w:val="18"/>
                <w:szCs w:val="18"/>
                <w:color w:val="auto"/>
              </w:rPr>
              <w:t>10.10</w:t>
            </w:r>
          </w:p>
        </w:tc>
        <w:tc>
          <w:tcPr>
            <w:tcW w:w="15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Antibody Generation</w:t>
              </w:r>
            </w:hyperlink>
          </w:p>
        </w:tc>
        <w:tc>
          <w:tcPr>
            <w:tcW w:w="800" w:type="dxa"/>
            <w:vAlign w:val="bottom"/>
            <w:gridSpan w:val="22"/>
          </w:tcPr>
          <w:p>
            <w:pPr>
              <w:spacing w:after="0"/>
              <w:rPr>
                <w:sz w:val="17"/>
                <w:szCs w:val="17"/>
                <w:color w:val="auto"/>
              </w:rPr>
            </w:pPr>
          </w:p>
        </w:tc>
        <w:tc>
          <w:tcPr>
            <w:tcW w:w="900" w:type="dxa"/>
            <w:vAlign w:val="bottom"/>
            <w:gridSpan w:val="2"/>
          </w:tcPr>
          <w:p>
            <w:pPr>
              <w:ind w:left="440"/>
              <w:spacing w:after="0" w:line="196" w:lineRule="exact"/>
              <w:rPr>
                <w:sz w:val="20"/>
                <w:szCs w:val="20"/>
                <w:color w:val="auto"/>
              </w:rPr>
            </w:pPr>
            <w:r>
              <w:rPr>
                <w:rFonts w:ascii="Arial" w:cs="Arial" w:eastAsia="Arial" w:hAnsi="Arial"/>
                <w:sz w:val="18"/>
                <w:szCs w:val="18"/>
                <w:color w:val="auto"/>
                <w:w w:val="97"/>
              </w:rPr>
              <w:t>S-1/A</w:t>
            </w:r>
          </w:p>
        </w:tc>
        <w:tc>
          <w:tcPr>
            <w:tcW w:w="2160" w:type="dxa"/>
            <w:vAlign w:val="bottom"/>
            <w:gridSpan w:val="3"/>
          </w:tcPr>
          <w:p>
            <w:pPr>
              <w:jc w:val="right"/>
              <w:ind w:right="420"/>
              <w:spacing w:after="0" w:line="196" w:lineRule="exact"/>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10.9</w:t>
            </w:r>
          </w:p>
        </w:tc>
        <w:tc>
          <w:tcPr>
            <w:tcW w:w="320" w:type="dxa"/>
            <w:vAlign w:val="bottom"/>
          </w:tcPr>
          <w:p>
            <w:pPr>
              <w:spacing w:after="0"/>
              <w:rPr>
                <w:sz w:val="17"/>
                <w:szCs w:val="17"/>
                <w:color w:val="auto"/>
              </w:rPr>
            </w:pPr>
          </w:p>
        </w:tc>
        <w:tc>
          <w:tcPr>
            <w:tcW w:w="2280" w:type="dxa"/>
            <w:vAlign w:val="bottom"/>
            <w:gridSpan w:val="3"/>
          </w:tcPr>
          <w:p>
            <w:pPr>
              <w:ind w:left="280"/>
              <w:spacing w:after="0" w:line="196" w:lineRule="exact"/>
              <w:rPr>
                <w:sz w:val="20"/>
                <w:szCs w:val="20"/>
                <w:color w:val="auto"/>
              </w:rPr>
            </w:pPr>
            <w:r>
              <w:rPr>
                <w:rFonts w:ascii="Arial" w:cs="Arial" w:eastAsia="Arial" w:hAnsi="Arial"/>
                <w:sz w:val="18"/>
                <w:szCs w:val="18"/>
                <w:color w:val="auto"/>
              </w:rPr>
              <w:t>December 28, 2016</w:t>
            </w: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Agreement, dated December</w:t>
              </w:r>
            </w:hyperlink>
          </w:p>
        </w:tc>
        <w:tc>
          <w:tcPr>
            <w:tcW w:w="200" w:type="dxa"/>
            <w:vAlign w:val="bottom"/>
            <w:gridSpan w:val="7"/>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28"/>
          </w:tcPr>
          <w:p>
            <w:pPr>
              <w:spacing w:after="0" w:line="196" w:lineRule="exact"/>
              <w:rPr>
                <w:rFonts w:ascii="Arial" w:cs="Arial" w:eastAsia="Arial" w:hAnsi="Arial"/>
                <w:sz w:val="18"/>
                <w:szCs w:val="18"/>
                <w:color w:val="0000EE"/>
                <w:w w:val="96"/>
              </w:rPr>
            </w:pPr>
            <w:hyperlink r:id="rId123">
              <w:r>
                <w:rPr>
                  <w:rFonts w:ascii="Arial" w:cs="Arial" w:eastAsia="Arial" w:hAnsi="Arial"/>
                  <w:sz w:val="18"/>
                  <w:szCs w:val="18"/>
                  <w:color w:val="0000EE"/>
                  <w:w w:val="96"/>
                </w:rPr>
                <w:t>22, 2011, by and between the</w:t>
              </w:r>
            </w:hyperlink>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r:id="rId123">
              <w:r>
                <w:rPr>
                  <w:rFonts w:ascii="Arial" w:cs="Arial" w:eastAsia="Arial" w:hAnsi="Arial"/>
                  <w:sz w:val="18"/>
                  <w:szCs w:val="18"/>
                  <w:color w:val="0000EE"/>
                  <w:w w:val="87"/>
                </w:rPr>
                <w:t>Registrant and Celgene</w:t>
              </w:r>
            </w:hyperlink>
          </w:p>
        </w:tc>
        <w:tc>
          <w:tcPr>
            <w:tcW w:w="420" w:type="dxa"/>
            <w:vAlign w:val="bottom"/>
            <w:tcBorders>
              <w:top w:val="single" w:sz="8" w:color="0000EE"/>
            </w:tcBorders>
            <w:gridSpan w:val="11"/>
          </w:tcPr>
          <w:p>
            <w:pPr>
              <w:spacing w:after="0"/>
              <w:rPr>
                <w:sz w:val="17"/>
                <w:szCs w:val="17"/>
                <w:color w:val="auto"/>
              </w:rPr>
            </w:pPr>
          </w:p>
        </w:tc>
        <w:tc>
          <w:tcPr>
            <w:tcW w:w="220" w:type="dxa"/>
            <w:vAlign w:val="bottom"/>
            <w:gridSpan w:val="8"/>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gridSpan w:val="28"/>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Corporation, as modified.</w:t>
              </w:r>
            </w:hyperlink>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1840" w:type="dxa"/>
            <w:vAlign w:val="bottom"/>
            <w:gridSpan w:val="1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60" w:type="dxa"/>
            <w:vAlign w:val="bottom"/>
            <w:gridSpan w:val="1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80" w:type="dxa"/>
            <w:vAlign w:val="bottom"/>
            <w:gridSpan w:val="3"/>
          </w:tcPr>
          <w:p>
            <w:pPr>
              <w:ind w:left="100"/>
              <w:spacing w:after="0"/>
              <w:rPr>
                <w:sz w:val="20"/>
                <w:szCs w:val="20"/>
                <w:color w:val="auto"/>
              </w:rPr>
            </w:pPr>
            <w:r>
              <w:rPr>
                <w:rFonts w:ascii="Arial" w:cs="Arial" w:eastAsia="Arial" w:hAnsi="Arial"/>
                <w:sz w:val="18"/>
                <w:szCs w:val="18"/>
                <w:color w:val="auto"/>
              </w:rPr>
              <w:t>10.11+</w:t>
            </w:r>
          </w:p>
        </w:tc>
        <w:tc>
          <w:tcPr>
            <w:tcW w:w="2320" w:type="dxa"/>
            <w:vAlign w:val="bottom"/>
            <w:gridSpan w:val="28"/>
          </w:tcPr>
          <w:p>
            <w:pPr>
              <w:spacing w:after="0"/>
              <w:rPr>
                <w:rFonts w:ascii="Arial" w:cs="Arial" w:eastAsia="Arial" w:hAnsi="Arial"/>
                <w:sz w:val="18"/>
                <w:szCs w:val="18"/>
                <w:color w:val="0000EE"/>
              </w:rPr>
            </w:pPr>
            <w:hyperlink r:id="rId124">
              <w:r>
                <w:rPr>
                  <w:rFonts w:ascii="Arial" w:cs="Arial" w:eastAsia="Arial" w:hAnsi="Arial"/>
                  <w:sz w:val="18"/>
                  <w:szCs w:val="18"/>
                  <w:color w:val="0000EE"/>
                </w:rPr>
                <w:t>Collaboration and Exclusive</w:t>
              </w:r>
            </w:hyperlink>
          </w:p>
        </w:tc>
        <w:tc>
          <w:tcPr>
            <w:tcW w:w="900" w:type="dxa"/>
            <w:vAlign w:val="bottom"/>
            <w:gridSpan w:val="2"/>
          </w:tcPr>
          <w:p>
            <w:pPr>
              <w:ind w:left="440"/>
              <w:spacing w:after="0"/>
              <w:rPr>
                <w:sz w:val="20"/>
                <w:szCs w:val="20"/>
                <w:color w:val="auto"/>
              </w:rPr>
            </w:pPr>
            <w:r>
              <w:rPr>
                <w:rFonts w:ascii="Arial" w:cs="Arial" w:eastAsia="Arial" w:hAnsi="Arial"/>
                <w:sz w:val="18"/>
                <w:szCs w:val="18"/>
                <w:color w:val="auto"/>
                <w:w w:val="97"/>
              </w:rPr>
              <w:t>S-1/A</w:t>
            </w:r>
          </w:p>
        </w:tc>
        <w:tc>
          <w:tcPr>
            <w:tcW w:w="2160" w:type="dxa"/>
            <w:vAlign w:val="bottom"/>
            <w:gridSpan w:val="3"/>
          </w:tcPr>
          <w:p>
            <w:pPr>
              <w:jc w:val="right"/>
              <w:ind w:right="420"/>
              <w:spacing w:after="0"/>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10.10</w:t>
            </w:r>
          </w:p>
        </w:tc>
        <w:tc>
          <w:tcPr>
            <w:tcW w:w="320" w:type="dxa"/>
            <w:vAlign w:val="bottom"/>
          </w:tcPr>
          <w:p>
            <w:pPr>
              <w:spacing w:after="0"/>
              <w:rPr>
                <w:sz w:val="22"/>
                <w:szCs w:val="22"/>
                <w:color w:val="auto"/>
              </w:rPr>
            </w:pPr>
          </w:p>
        </w:tc>
        <w:tc>
          <w:tcPr>
            <w:tcW w:w="2280" w:type="dxa"/>
            <w:vAlign w:val="bottom"/>
            <w:gridSpan w:val="3"/>
          </w:tcPr>
          <w:p>
            <w:pPr>
              <w:ind w:left="280"/>
              <w:spacing w:after="0"/>
              <w:rPr>
                <w:sz w:val="20"/>
                <w:szCs w:val="20"/>
                <w:color w:val="auto"/>
              </w:rPr>
            </w:pPr>
            <w:r>
              <w:rPr>
                <w:rFonts w:ascii="Arial" w:cs="Arial" w:eastAsia="Arial" w:hAnsi="Arial"/>
                <w:sz w:val="18"/>
                <w:szCs w:val="18"/>
                <w:color w:val="auto"/>
              </w:rPr>
              <w:t>May 10, 2016</w:t>
            </w: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r:id="rId124">
              <w:r>
                <w:rPr>
                  <w:rFonts w:ascii="Arial" w:cs="Arial" w:eastAsia="Arial" w:hAnsi="Arial"/>
                  <w:sz w:val="18"/>
                  <w:szCs w:val="18"/>
                  <w:color w:val="0000EE"/>
                  <w:w w:val="88"/>
                </w:rPr>
                <w:t>License Agreement, dated</w:t>
              </w:r>
            </w:hyperlink>
          </w:p>
        </w:tc>
        <w:tc>
          <w:tcPr>
            <w:tcW w:w="180" w:type="dxa"/>
            <w:vAlign w:val="bottom"/>
            <w:tcBorders>
              <w:top w:val="single" w:sz="8" w:color="0000EE"/>
            </w:tcBorders>
            <w:gridSpan w:val="5"/>
          </w:tcPr>
          <w:p>
            <w:pPr>
              <w:spacing w:after="0"/>
              <w:rPr>
                <w:sz w:val="17"/>
                <w:szCs w:val="17"/>
                <w:color w:val="auto"/>
              </w:rPr>
            </w:pPr>
          </w:p>
        </w:tc>
        <w:tc>
          <w:tcPr>
            <w:tcW w:w="260" w:type="dxa"/>
            <w:vAlign w:val="bottom"/>
            <w:gridSpan w:val="10"/>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880"/>
        <w:spacing w:after="0"/>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March 10, 2014, by and among</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the Registrant, TESARO, Inc.</w:t>
        </w:r>
      </w:hyperlink>
    </w:p>
    <w:p>
      <w:pPr>
        <w:spacing w:after="0" w:line="9" w:lineRule="exact"/>
        <w:rPr>
          <w:sz w:val="20"/>
          <w:szCs w:val="20"/>
          <w:color w:val="auto"/>
        </w:rPr>
      </w:pPr>
    </w:p>
    <w:p>
      <w:pPr>
        <w:ind w:left="880"/>
        <w:spacing w:after="0"/>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and TESARO Development,</w:t>
        </w:r>
      </w:hyperlink>
    </w:p>
    <w:p>
      <w:pPr>
        <w:spacing w:after="0" w:line="9" w:lineRule="exact"/>
        <w:rPr>
          <w:sz w:val="20"/>
          <w:szCs w:val="20"/>
          <w:color w:val="auto"/>
        </w:rPr>
      </w:pPr>
    </w:p>
    <w:p>
      <w:pPr>
        <w:ind w:left="880"/>
        <w:spacing w:after="0"/>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Ltd., as amended.</w:t>
        </w:r>
      </w:hyperlink>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24" w:lineRule="exact"/>
        <w:rPr>
          <w:sz w:val="20"/>
          <w:szCs w:val="20"/>
          <w:color w:val="auto"/>
        </w:rPr>
      </w:pPr>
    </w:p>
    <w:tbl>
      <w:tblPr>
        <w:tblLayout w:type="fixed"/>
        <w:tblInd w:w="80" w:type="dxa"/>
        <w:tblCellMar>
          <w:top w:w="0" w:type="dxa"/>
          <w:left w:w="0" w:type="dxa"/>
          <w:bottom w:w="0" w:type="dxa"/>
          <w:right w:w="0" w:type="dxa"/>
        </w:tblCellMar>
      </w:tblPr>
      <w:tr>
        <w:trPr>
          <w:trHeight w:val="165"/>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20" w:type="dxa"/>
            <w:vAlign w:val="bottom"/>
            <w:gridSpan w:val="3"/>
          </w:tcPr>
          <w:p>
            <w:pPr>
              <w:jc w:val="center"/>
              <w:ind w:left="14"/>
              <w:spacing w:after="0"/>
              <w:rPr>
                <w:sz w:val="20"/>
                <w:szCs w:val="20"/>
                <w:color w:val="auto"/>
              </w:rPr>
            </w:pPr>
            <w:r>
              <w:rPr>
                <w:rFonts w:ascii="Arial" w:cs="Arial" w:eastAsia="Arial" w:hAnsi="Arial"/>
                <w:sz w:val="14"/>
                <w:szCs w:val="14"/>
                <w:b w:val="1"/>
                <w:bCs w:val="1"/>
                <w:color w:val="auto"/>
                <w:w w:val="95"/>
              </w:rPr>
              <w:t>Incorporated</w:t>
            </w: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4"/>
              </w:rPr>
              <w:t>Exhibit</w:t>
            </w:r>
          </w:p>
        </w:tc>
        <w:tc>
          <w:tcPr>
            <w:tcW w:w="2500" w:type="dxa"/>
            <w:vAlign w:val="bottom"/>
            <w:gridSpan w:val="23"/>
            <w:vMerge w:val="restart"/>
          </w:tcPr>
          <w:p>
            <w:pPr>
              <w:ind w:left="380"/>
              <w:spacing w:after="0"/>
              <w:rPr>
                <w:sz w:val="20"/>
                <w:szCs w:val="20"/>
                <w:color w:val="auto"/>
              </w:rPr>
            </w:pPr>
            <w:r>
              <w:rPr>
                <w:rFonts w:ascii="Arial" w:cs="Arial" w:eastAsia="Arial" w:hAnsi="Arial"/>
                <w:sz w:val="14"/>
                <w:szCs w:val="14"/>
                <w:b w:val="1"/>
                <w:bCs w:val="1"/>
                <w:color w:val="auto"/>
              </w:rPr>
              <w:t>Description of Document</w:t>
            </w:r>
          </w:p>
        </w:tc>
        <w:tc>
          <w:tcPr>
            <w:tcW w:w="320" w:type="dxa"/>
            <w:vAlign w:val="bottom"/>
          </w:tcPr>
          <w:p>
            <w:pPr>
              <w:spacing w:after="0"/>
              <w:rPr>
                <w:sz w:val="13"/>
                <w:szCs w:val="13"/>
                <w:color w:val="auto"/>
              </w:rPr>
            </w:pPr>
          </w:p>
        </w:tc>
        <w:tc>
          <w:tcPr>
            <w:tcW w:w="3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Form</w:t>
            </w:r>
          </w:p>
        </w:tc>
        <w:tc>
          <w:tcPr>
            <w:tcW w:w="118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File No.</w:t>
            </w:r>
          </w:p>
        </w:tc>
        <w:tc>
          <w:tcPr>
            <w:tcW w:w="1520" w:type="dxa"/>
            <w:vAlign w:val="bottom"/>
            <w:gridSpan w:val="3"/>
          </w:tcPr>
          <w:p>
            <w:pPr>
              <w:jc w:val="center"/>
              <w:ind w:left="34"/>
              <w:spacing w:after="0" w:line="155" w:lineRule="exact"/>
              <w:rPr>
                <w:sz w:val="20"/>
                <w:szCs w:val="20"/>
                <w:color w:val="auto"/>
              </w:rPr>
            </w:pPr>
            <w:r>
              <w:rPr>
                <w:rFonts w:ascii="Arial" w:cs="Arial" w:eastAsia="Arial" w:hAnsi="Arial"/>
                <w:sz w:val="14"/>
                <w:szCs w:val="14"/>
                <w:b w:val="1"/>
                <w:bCs w:val="1"/>
                <w:color w:val="auto"/>
                <w:w w:val="90"/>
              </w:rPr>
              <w:t>by Reference</w:t>
            </w:r>
          </w:p>
        </w:tc>
        <w:tc>
          <w:tcPr>
            <w:tcW w:w="900" w:type="dxa"/>
            <w:vAlign w:val="bottom"/>
          </w:tcPr>
          <w:p>
            <w:pPr>
              <w:spacing w:after="0"/>
              <w:rPr>
                <w:sz w:val="13"/>
                <w:szCs w:val="13"/>
                <w:color w:val="auto"/>
              </w:rPr>
            </w:pPr>
          </w:p>
        </w:tc>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62"/>
        </w:trPr>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Number</w:t>
            </w:r>
          </w:p>
        </w:tc>
        <w:tc>
          <w:tcPr>
            <w:tcW w:w="2500" w:type="dxa"/>
            <w:vAlign w:val="bottom"/>
            <w:gridSpan w:val="23"/>
            <w:vMerge w:val="continue"/>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Exhibit No.</w:t>
            </w:r>
          </w:p>
        </w:tc>
        <w:tc>
          <w:tcPr>
            <w:tcW w:w="9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gridSpan w:val="2"/>
          </w:tcPr>
          <w:p>
            <w:pPr>
              <w:ind w:left="80"/>
              <w:spacing w:after="0"/>
              <w:rPr>
                <w:sz w:val="20"/>
                <w:szCs w:val="20"/>
                <w:color w:val="auto"/>
              </w:rPr>
            </w:pPr>
            <w:r>
              <w:rPr>
                <w:rFonts w:ascii="Arial" w:cs="Arial" w:eastAsia="Arial" w:hAnsi="Arial"/>
                <w:sz w:val="18"/>
                <w:szCs w:val="18"/>
                <w:color w:val="auto"/>
              </w:rPr>
              <w:t>10.12+</w:t>
            </w:r>
          </w:p>
        </w:tc>
        <w:tc>
          <w:tcPr>
            <w:tcW w:w="2500" w:type="dxa"/>
            <w:vAlign w:val="bottom"/>
            <w:gridSpan w:val="23"/>
          </w:tcPr>
          <w:p>
            <w:pPr>
              <w:spacing w:after="0"/>
              <w:rPr>
                <w:rFonts w:ascii="Arial" w:cs="Arial" w:eastAsia="Arial" w:hAnsi="Arial"/>
                <w:sz w:val="18"/>
                <w:szCs w:val="18"/>
                <w:color w:val="0000EE"/>
              </w:rPr>
            </w:pPr>
            <w:hyperlink r:id="rId126">
              <w:r>
                <w:rPr>
                  <w:rFonts w:ascii="Arial" w:cs="Arial" w:eastAsia="Arial" w:hAnsi="Arial"/>
                  <w:sz w:val="18"/>
                  <w:szCs w:val="18"/>
                  <w:color w:val="0000EE"/>
                </w:rPr>
                <w:t>License Agreement, dated</w:t>
              </w:r>
            </w:hyperlink>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2160" w:type="dxa"/>
            <w:vAlign w:val="bottom"/>
            <w:gridSpan w:val="3"/>
          </w:tcPr>
          <w:p>
            <w:pPr>
              <w:ind w:left="860"/>
              <w:spacing w:after="0"/>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10.12</w:t>
            </w:r>
          </w:p>
        </w:tc>
        <w:tc>
          <w:tcPr>
            <w:tcW w:w="320" w:type="dxa"/>
            <w:vAlign w:val="bottom"/>
          </w:tcPr>
          <w:p>
            <w:pPr>
              <w:spacing w:after="0"/>
              <w:rPr>
                <w:sz w:val="18"/>
                <w:szCs w:val="18"/>
                <w:color w:val="auto"/>
              </w:rPr>
            </w:pPr>
          </w:p>
        </w:tc>
        <w:tc>
          <w:tcPr>
            <w:tcW w:w="1640" w:type="dxa"/>
            <w:vAlign w:val="bottom"/>
            <w:gridSpan w:val="3"/>
          </w:tcPr>
          <w:p>
            <w:pPr>
              <w:ind w:left="280"/>
              <w:spacing w:after="0"/>
              <w:rPr>
                <w:sz w:val="20"/>
                <w:szCs w:val="20"/>
                <w:color w:val="auto"/>
              </w:rPr>
            </w:pPr>
            <w:r>
              <w:rPr>
                <w:rFonts w:ascii="Arial" w:cs="Arial" w:eastAsia="Arial" w:hAnsi="Arial"/>
                <w:sz w:val="18"/>
                <w:szCs w:val="18"/>
                <w:color w:val="auto"/>
                <w:w w:val="87"/>
              </w:rPr>
              <w:t>September 9, 2015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26">
              <w:r>
                <w:rPr>
                  <w:rFonts w:ascii="Arial" w:cs="Arial" w:eastAsia="Arial" w:hAnsi="Arial"/>
                  <w:sz w:val="18"/>
                  <w:szCs w:val="18"/>
                  <w:color w:val="0000EE"/>
                  <w:w w:val="91"/>
                </w:rPr>
                <w:t>August 30, 2006, by and</w:t>
              </w:r>
            </w:hyperlink>
          </w:p>
        </w:tc>
        <w:tc>
          <w:tcPr>
            <w:tcW w:w="80" w:type="dxa"/>
            <w:vAlign w:val="bottom"/>
            <w:tcBorders>
              <w:top w:val="single" w:sz="8" w:color="0000EE"/>
            </w:tcBorders>
            <w:gridSpan w:val="3"/>
          </w:tcPr>
          <w:p>
            <w:pPr>
              <w:spacing w:after="0"/>
              <w:rPr>
                <w:sz w:val="17"/>
                <w:szCs w:val="17"/>
                <w:color w:val="auto"/>
              </w:rPr>
            </w:pPr>
          </w:p>
        </w:tc>
        <w:tc>
          <w:tcPr>
            <w:tcW w:w="620" w:type="dxa"/>
            <w:vAlign w:val="bottom"/>
            <w:gridSpan w:val="12"/>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126">
              <w:r>
                <w:rPr>
                  <w:rFonts w:ascii="Arial" w:cs="Arial" w:eastAsia="Arial" w:hAnsi="Arial"/>
                  <w:sz w:val="18"/>
                  <w:szCs w:val="18"/>
                  <w:color w:val="0000EE"/>
                  <w:w w:val="88"/>
                </w:rPr>
                <w:t>between the Registrant and</w:t>
              </w:r>
            </w:hyperlink>
          </w:p>
        </w:tc>
        <w:tc>
          <w:tcPr>
            <w:tcW w:w="540" w:type="dxa"/>
            <w:vAlign w:val="bottom"/>
            <w:gridSpan w:val="9"/>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Medical Research Council, as</w:t>
              </w:r>
            </w:hyperlink>
          </w:p>
        </w:tc>
        <w:tc>
          <w:tcPr>
            <w:tcW w:w="34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r:id="rId126">
              <w:r>
                <w:rPr>
                  <w:rFonts w:ascii="Arial" w:cs="Arial" w:eastAsia="Arial" w:hAnsi="Arial"/>
                  <w:sz w:val="18"/>
                  <w:szCs w:val="18"/>
                  <w:color w:val="0000EE"/>
                  <w:w w:val="84"/>
                </w:rPr>
                <w:t>amended.</w:t>
              </w:r>
            </w:hyperlink>
          </w:p>
        </w:tc>
        <w:tc>
          <w:tcPr>
            <w:tcW w:w="1800" w:type="dxa"/>
            <w:vAlign w:val="bottom"/>
            <w:gridSpan w:val="21"/>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60" w:type="dxa"/>
            <w:vAlign w:val="bottom"/>
            <w:gridSpan w:val="2"/>
          </w:tcPr>
          <w:p>
            <w:pPr>
              <w:ind w:left="80"/>
              <w:spacing w:after="0"/>
              <w:rPr>
                <w:sz w:val="20"/>
                <w:szCs w:val="20"/>
                <w:color w:val="auto"/>
              </w:rPr>
            </w:pPr>
            <w:r>
              <w:rPr>
                <w:rFonts w:ascii="Arial" w:cs="Arial" w:eastAsia="Arial" w:hAnsi="Arial"/>
                <w:sz w:val="18"/>
                <w:szCs w:val="18"/>
                <w:color w:val="auto"/>
              </w:rPr>
              <w:t>10.13+</w:t>
            </w:r>
          </w:p>
        </w:tc>
        <w:tc>
          <w:tcPr>
            <w:tcW w:w="2100" w:type="dxa"/>
            <w:vAlign w:val="bottom"/>
            <w:tcBorders>
              <w:bottom w:val="single" w:sz="8" w:color="0000EE"/>
            </w:tcBorders>
            <w:gridSpan w:val="17"/>
          </w:tcPr>
          <w:p>
            <w:pPr>
              <w:spacing w:after="0"/>
              <w:rPr>
                <w:rFonts w:ascii="Arial" w:cs="Arial" w:eastAsia="Arial" w:hAnsi="Arial"/>
                <w:sz w:val="18"/>
                <w:szCs w:val="18"/>
                <w:color w:val="0000EE"/>
                <w:w w:val="89"/>
              </w:rPr>
            </w:pPr>
            <w:hyperlink r:id="rId127">
              <w:r>
                <w:rPr>
                  <w:rFonts w:ascii="Arial" w:cs="Arial" w:eastAsia="Arial" w:hAnsi="Arial"/>
                  <w:sz w:val="18"/>
                  <w:szCs w:val="18"/>
                  <w:color w:val="0000EE"/>
                  <w:w w:val="89"/>
                </w:rPr>
                <w:t>Non-Exclusive Research and</w:t>
              </w:r>
            </w:hyperlink>
          </w:p>
        </w:tc>
        <w:tc>
          <w:tcPr>
            <w:tcW w:w="400" w:type="dxa"/>
            <w:vAlign w:val="bottom"/>
            <w:gridSpan w:val="6"/>
          </w:tcPr>
          <w:p>
            <w:pPr>
              <w:spacing w:after="0"/>
              <w:rPr>
                <w:sz w:val="22"/>
                <w:szCs w:val="22"/>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S-1</w:t>
            </w:r>
          </w:p>
        </w:tc>
        <w:tc>
          <w:tcPr>
            <w:tcW w:w="2160" w:type="dxa"/>
            <w:vAlign w:val="bottom"/>
            <w:gridSpan w:val="3"/>
          </w:tcPr>
          <w:p>
            <w:pPr>
              <w:ind w:left="860"/>
              <w:spacing w:after="0"/>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10.13</w:t>
            </w:r>
          </w:p>
        </w:tc>
        <w:tc>
          <w:tcPr>
            <w:tcW w:w="320" w:type="dxa"/>
            <w:vAlign w:val="bottom"/>
          </w:tcPr>
          <w:p>
            <w:pPr>
              <w:spacing w:after="0"/>
              <w:rPr>
                <w:sz w:val="22"/>
                <w:szCs w:val="22"/>
                <w:color w:val="auto"/>
              </w:rPr>
            </w:pPr>
          </w:p>
        </w:tc>
        <w:tc>
          <w:tcPr>
            <w:tcW w:w="1640" w:type="dxa"/>
            <w:vAlign w:val="bottom"/>
            <w:gridSpan w:val="3"/>
          </w:tcPr>
          <w:p>
            <w:pPr>
              <w:ind w:left="280"/>
              <w:spacing w:after="0"/>
              <w:rPr>
                <w:sz w:val="20"/>
                <w:szCs w:val="20"/>
                <w:color w:val="auto"/>
              </w:rPr>
            </w:pPr>
            <w:r>
              <w:rPr>
                <w:rFonts w:ascii="Arial" w:cs="Arial" w:eastAsia="Arial" w:hAnsi="Arial"/>
                <w:sz w:val="18"/>
                <w:szCs w:val="18"/>
                <w:color w:val="auto"/>
                <w:w w:val="87"/>
              </w:rPr>
              <w:t>September 9, 2015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Commercial License</w:t>
              </w:r>
            </w:hyperlink>
          </w:p>
        </w:tc>
        <w:tc>
          <w:tcPr>
            <w:tcW w:w="1000" w:type="dxa"/>
            <w:vAlign w:val="bottom"/>
            <w:gridSpan w:val="18"/>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Agreement, dated May 15,</w:t>
              </w:r>
            </w:hyperlink>
          </w:p>
        </w:tc>
        <w:tc>
          <w:tcPr>
            <w:tcW w:w="520" w:type="dxa"/>
            <w:vAlign w:val="bottom"/>
            <w:gridSpan w:val="8"/>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23"/>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2009, by and between the</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r:id="rId127">
              <w:r>
                <w:rPr>
                  <w:rFonts w:ascii="Arial" w:cs="Arial" w:eastAsia="Arial" w:hAnsi="Arial"/>
                  <w:sz w:val="18"/>
                  <w:szCs w:val="18"/>
                  <w:color w:val="0000EE"/>
                  <w:w w:val="93"/>
                </w:rPr>
                <w:t>Registrant and Millipore</w:t>
              </w:r>
            </w:hyperlink>
          </w:p>
        </w:tc>
        <w:tc>
          <w:tcPr>
            <w:tcW w:w="60" w:type="dxa"/>
            <w:vAlign w:val="bottom"/>
            <w:tcBorders>
              <w:top w:val="single" w:sz="8" w:color="0000EE"/>
            </w:tcBorders>
            <w:gridSpan w:val="3"/>
          </w:tcPr>
          <w:p>
            <w:pPr>
              <w:spacing w:after="0"/>
              <w:rPr>
                <w:sz w:val="17"/>
                <w:szCs w:val="17"/>
                <w:color w:val="auto"/>
              </w:rPr>
            </w:pPr>
          </w:p>
        </w:tc>
        <w:tc>
          <w:tcPr>
            <w:tcW w:w="660" w:type="dxa"/>
            <w:vAlign w:val="bottom"/>
            <w:gridSpan w:val="13"/>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23"/>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Corporation.</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ind w:left="100"/>
              <w:spacing w:after="0"/>
              <w:rPr>
                <w:sz w:val="20"/>
                <w:szCs w:val="20"/>
                <w:color w:val="auto"/>
              </w:rPr>
            </w:pPr>
            <w:r>
              <w:rPr>
                <w:rFonts w:ascii="Arial" w:cs="Arial" w:eastAsia="Arial" w:hAnsi="Arial"/>
                <w:sz w:val="18"/>
                <w:szCs w:val="18"/>
                <w:color w:val="auto"/>
                <w:w w:val="88"/>
              </w:rPr>
              <w:t>10.14</w:t>
            </w:r>
          </w:p>
        </w:tc>
        <w:tc>
          <w:tcPr>
            <w:tcW w:w="240" w:type="dxa"/>
            <w:vAlign w:val="bottom"/>
          </w:tcPr>
          <w:p>
            <w:pPr>
              <w:spacing w:after="0"/>
              <w:rPr>
                <w:sz w:val="22"/>
                <w:szCs w:val="22"/>
                <w:color w:val="auto"/>
              </w:rPr>
            </w:pPr>
          </w:p>
        </w:tc>
        <w:tc>
          <w:tcPr>
            <w:tcW w:w="2500" w:type="dxa"/>
            <w:vAlign w:val="bottom"/>
            <w:gridSpan w:val="23"/>
          </w:tcPr>
          <w:p>
            <w:pPr>
              <w:spacing w:after="0"/>
              <w:rPr>
                <w:rFonts w:ascii="Arial" w:cs="Arial" w:eastAsia="Arial" w:hAnsi="Arial"/>
                <w:sz w:val="18"/>
                <w:szCs w:val="18"/>
                <w:color w:val="0000EE"/>
              </w:rPr>
            </w:pPr>
            <w:hyperlink r:id="rId128">
              <w:r>
                <w:rPr>
                  <w:rFonts w:ascii="Arial" w:cs="Arial" w:eastAsia="Arial" w:hAnsi="Arial"/>
                  <w:sz w:val="18"/>
                  <w:szCs w:val="18"/>
                  <w:color w:val="0000EE"/>
                </w:rPr>
                <w:t>Loan and Security Agreement,</w:t>
              </w:r>
            </w:hyperlink>
          </w:p>
        </w:tc>
        <w:tc>
          <w:tcPr>
            <w:tcW w:w="680" w:type="dxa"/>
            <w:vAlign w:val="bottom"/>
            <w:gridSpan w:val="2"/>
          </w:tcPr>
          <w:p>
            <w:pPr>
              <w:ind w:left="220"/>
              <w:spacing w:after="0"/>
              <w:rPr>
                <w:sz w:val="20"/>
                <w:szCs w:val="20"/>
                <w:color w:val="auto"/>
              </w:rPr>
            </w:pPr>
            <w:r>
              <w:rPr>
                <w:rFonts w:ascii="Arial" w:cs="Arial" w:eastAsia="Arial" w:hAnsi="Arial"/>
                <w:sz w:val="18"/>
                <w:szCs w:val="18"/>
                <w:color w:val="auto"/>
                <w:w w:val="97"/>
              </w:rPr>
              <w:t>S-1/A</w:t>
            </w:r>
          </w:p>
        </w:tc>
        <w:tc>
          <w:tcPr>
            <w:tcW w:w="2160" w:type="dxa"/>
            <w:vAlign w:val="bottom"/>
            <w:gridSpan w:val="3"/>
          </w:tcPr>
          <w:p>
            <w:pPr>
              <w:ind w:left="860"/>
              <w:spacing w:after="0"/>
              <w:rPr>
                <w:sz w:val="20"/>
                <w:szCs w:val="20"/>
                <w:color w:val="auto"/>
              </w:rPr>
            </w:pPr>
            <w:r>
              <w:rPr>
                <w:rFonts w:ascii="Arial" w:cs="Arial" w:eastAsia="Arial" w:hAnsi="Arial"/>
                <w:sz w:val="18"/>
                <w:szCs w:val="18"/>
                <w:color w:val="auto"/>
              </w:rPr>
              <w:t>333-206849</w:t>
            </w: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10.13</w:t>
            </w:r>
          </w:p>
        </w:tc>
        <w:tc>
          <w:tcPr>
            <w:tcW w:w="320" w:type="dxa"/>
            <w:vAlign w:val="bottom"/>
          </w:tcPr>
          <w:p>
            <w:pPr>
              <w:spacing w:after="0"/>
              <w:rPr>
                <w:sz w:val="22"/>
                <w:szCs w:val="22"/>
                <w:color w:val="auto"/>
              </w:rPr>
            </w:pPr>
          </w:p>
        </w:tc>
        <w:tc>
          <w:tcPr>
            <w:tcW w:w="1640" w:type="dxa"/>
            <w:vAlign w:val="bottom"/>
            <w:gridSpan w:val="3"/>
          </w:tcPr>
          <w:p>
            <w:pPr>
              <w:ind w:left="280"/>
              <w:spacing w:after="0"/>
              <w:rPr>
                <w:sz w:val="20"/>
                <w:szCs w:val="20"/>
                <w:color w:val="auto"/>
              </w:rPr>
            </w:pPr>
            <w:r>
              <w:rPr>
                <w:rFonts w:ascii="Arial" w:cs="Arial" w:eastAsia="Arial" w:hAnsi="Arial"/>
                <w:sz w:val="18"/>
                <w:szCs w:val="18"/>
                <w:color w:val="auto"/>
                <w:w w:val="91"/>
              </w:rPr>
              <w:t>February 16, 2016</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0" w:type="dxa"/>
            <w:vAlign w:val="bottom"/>
            <w:tcBorders>
              <w:top w:val="single" w:sz="8" w:color="0000EE"/>
            </w:tcBorders>
            <w:gridSpan w:val="21"/>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dated December 24, 2014, by</w:t>
              </w:r>
            </w:hyperlink>
          </w:p>
        </w:tc>
        <w:tc>
          <w:tcPr>
            <w:tcW w:w="3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r:id="rId128">
              <w:r>
                <w:rPr>
                  <w:rFonts w:ascii="Arial" w:cs="Arial" w:eastAsia="Arial" w:hAnsi="Arial"/>
                  <w:sz w:val="18"/>
                  <w:szCs w:val="18"/>
                  <w:color w:val="0000EE"/>
                  <w:w w:val="88"/>
                </w:rPr>
                <w:t>and among the Registrant,</w:t>
              </w:r>
            </w:hyperlink>
          </w:p>
        </w:tc>
        <w:tc>
          <w:tcPr>
            <w:tcW w:w="260" w:type="dxa"/>
            <w:vAlign w:val="bottom"/>
            <w:tcBorders>
              <w:top w:val="single" w:sz="8" w:color="0000EE"/>
            </w:tcBorders>
            <w:gridSpan w:val="7"/>
          </w:tcPr>
          <w:p>
            <w:pPr>
              <w:spacing w:after="0"/>
              <w:rPr>
                <w:sz w:val="17"/>
                <w:szCs w:val="17"/>
                <w:color w:val="auto"/>
              </w:rPr>
            </w:pPr>
          </w:p>
        </w:tc>
        <w:tc>
          <w:tcPr>
            <w:tcW w:w="34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23"/>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Oxford Finance LLC and</w:t>
              </w:r>
            </w:hyperlink>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Borders>
              <w:top w:val="single" w:sz="8" w:color="0000EE"/>
            </w:tcBorders>
            <w:gridSpan w:val="9"/>
          </w:tcPr>
          <w:p>
            <w:pPr>
              <w:spacing w:after="0" w:line="196" w:lineRule="exact"/>
              <w:rPr>
                <w:rFonts w:ascii="Arial" w:cs="Arial" w:eastAsia="Arial" w:hAnsi="Arial"/>
                <w:sz w:val="18"/>
                <w:szCs w:val="18"/>
                <w:color w:val="0000EE"/>
                <w:w w:val="98"/>
              </w:rPr>
            </w:pPr>
            <w:hyperlink r:id="rId128">
              <w:r>
                <w:rPr>
                  <w:rFonts w:ascii="Arial" w:cs="Arial" w:eastAsia="Arial" w:hAnsi="Arial"/>
                  <w:sz w:val="18"/>
                  <w:szCs w:val="18"/>
                  <w:color w:val="0000EE"/>
                  <w:w w:val="98"/>
                </w:rPr>
                <w:t>Silicon Valley Bank, as</w:t>
              </w:r>
            </w:hyperlink>
          </w:p>
        </w:tc>
        <w:tc>
          <w:tcPr>
            <w:tcW w:w="680" w:type="dxa"/>
            <w:vAlign w:val="bottom"/>
            <w:gridSpan w:val="14"/>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r:id="rId128">
              <w:r>
                <w:rPr>
                  <w:rFonts w:ascii="Arial" w:cs="Arial" w:eastAsia="Arial" w:hAnsi="Arial"/>
                  <w:sz w:val="18"/>
                  <w:szCs w:val="18"/>
                  <w:color w:val="0000EE"/>
                  <w:w w:val="84"/>
                </w:rPr>
                <w:t>amended.</w:t>
              </w:r>
            </w:hyperlink>
          </w:p>
        </w:tc>
        <w:tc>
          <w:tcPr>
            <w:tcW w:w="980" w:type="dxa"/>
            <w:vAlign w:val="bottom"/>
            <w:tcBorders>
              <w:top w:val="single" w:sz="8" w:color="0000EE"/>
            </w:tcBorders>
            <w:gridSpan w:val="4"/>
          </w:tcPr>
          <w:p>
            <w:pPr>
              <w:spacing w:after="0"/>
              <w:rPr>
                <w:sz w:val="17"/>
                <w:szCs w:val="17"/>
                <w:color w:val="auto"/>
              </w:rPr>
            </w:pPr>
          </w:p>
        </w:tc>
        <w:tc>
          <w:tcPr>
            <w:tcW w:w="820" w:type="dxa"/>
            <w:vAlign w:val="bottom"/>
            <w:gridSpan w:val="17"/>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0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2"/>
                <w:szCs w:val="22"/>
                <w:color w:val="auto"/>
              </w:rPr>
            </w:pPr>
          </w:p>
        </w:tc>
        <w:tc>
          <w:tcPr>
            <w:tcW w:w="2180" w:type="dxa"/>
            <w:vAlign w:val="bottom"/>
            <w:tcBorders>
              <w:bottom w:val="single" w:sz="8" w:color="0000EE"/>
            </w:tcBorders>
            <w:gridSpan w:val="20"/>
          </w:tcPr>
          <w:p>
            <w:pPr>
              <w:spacing w:after="0"/>
              <w:rPr>
                <w:rFonts w:ascii="Arial" w:cs="Arial" w:eastAsia="Arial" w:hAnsi="Arial"/>
                <w:sz w:val="18"/>
                <w:szCs w:val="18"/>
                <w:color w:val="0000EE"/>
                <w:w w:val="89"/>
              </w:rPr>
            </w:pPr>
            <w:hyperlink r:id="rId129">
              <w:r>
                <w:rPr>
                  <w:rFonts w:ascii="Arial" w:cs="Arial" w:eastAsia="Arial" w:hAnsi="Arial"/>
                  <w:sz w:val="18"/>
                  <w:szCs w:val="18"/>
                  <w:color w:val="0000EE"/>
                  <w:w w:val="89"/>
                </w:rPr>
                <w:t>Subsidiaries of the Registrant.</w:t>
              </w:r>
            </w:hyperlink>
          </w:p>
        </w:tc>
        <w:tc>
          <w:tcPr>
            <w:tcW w:w="320" w:type="dxa"/>
            <w:vAlign w:val="bottom"/>
            <w:gridSpan w:val="3"/>
          </w:tcPr>
          <w:p>
            <w:pPr>
              <w:spacing w:after="0"/>
              <w:rPr>
                <w:sz w:val="22"/>
                <w:szCs w:val="22"/>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10-K</w:t>
            </w:r>
          </w:p>
        </w:tc>
        <w:tc>
          <w:tcPr>
            <w:tcW w:w="1680" w:type="dxa"/>
            <w:vAlign w:val="bottom"/>
            <w:gridSpan w:val="2"/>
          </w:tcPr>
          <w:p>
            <w:pPr>
              <w:ind w:left="860"/>
              <w:spacing w:after="0"/>
              <w:rPr>
                <w:sz w:val="20"/>
                <w:szCs w:val="20"/>
                <w:color w:val="auto"/>
              </w:rPr>
            </w:pPr>
            <w:r>
              <w:rPr>
                <w:rFonts w:ascii="Arial" w:cs="Arial" w:eastAsia="Arial" w:hAnsi="Arial"/>
                <w:sz w:val="18"/>
                <w:szCs w:val="18"/>
                <w:color w:val="auto"/>
                <w:w w:val="92"/>
              </w:rPr>
              <w:t>001-37985</w:t>
            </w:r>
          </w:p>
        </w:tc>
        <w:tc>
          <w:tcPr>
            <w:tcW w:w="480" w:type="dxa"/>
            <w:vAlign w:val="bottom"/>
          </w:tcPr>
          <w:p>
            <w:pPr>
              <w:spacing w:after="0"/>
              <w:rPr>
                <w:sz w:val="22"/>
                <w:szCs w:val="22"/>
                <w:color w:val="auto"/>
              </w:rPr>
            </w:pP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21.1</w:t>
            </w:r>
          </w:p>
        </w:tc>
        <w:tc>
          <w:tcPr>
            <w:tcW w:w="320" w:type="dxa"/>
            <w:vAlign w:val="bottom"/>
          </w:tcPr>
          <w:p>
            <w:pPr>
              <w:spacing w:after="0"/>
              <w:rPr>
                <w:sz w:val="22"/>
                <w:szCs w:val="22"/>
                <w:color w:val="auto"/>
              </w:rPr>
            </w:pPr>
          </w:p>
        </w:tc>
        <w:tc>
          <w:tcPr>
            <w:tcW w:w="1640" w:type="dxa"/>
            <w:vAlign w:val="bottom"/>
            <w:gridSpan w:val="3"/>
          </w:tcPr>
          <w:p>
            <w:pPr>
              <w:ind w:left="280"/>
              <w:spacing w:after="0"/>
              <w:rPr>
                <w:sz w:val="20"/>
                <w:szCs w:val="20"/>
                <w:color w:val="auto"/>
              </w:rPr>
            </w:pPr>
            <w:r>
              <w:rPr>
                <w:rFonts w:ascii="Arial" w:cs="Arial" w:eastAsia="Arial" w:hAnsi="Arial"/>
                <w:sz w:val="18"/>
                <w:szCs w:val="18"/>
                <w:color w:val="auto"/>
              </w:rPr>
              <w:t>March 8, 2017</w:t>
            </w:r>
          </w:p>
        </w:tc>
        <w:tc>
          <w:tcPr>
            <w:tcW w:w="0" w:type="dxa"/>
            <w:vAlign w:val="bottom"/>
          </w:tcPr>
          <w:p>
            <w:pPr>
              <w:spacing w:after="0"/>
              <w:rPr>
                <w:sz w:val="1"/>
                <w:szCs w:val="1"/>
                <w:color w:val="auto"/>
              </w:rPr>
            </w:pPr>
          </w:p>
        </w:tc>
      </w:tr>
      <w:tr>
        <w:trPr>
          <w:trHeight w:val="264"/>
        </w:trPr>
        <w:tc>
          <w:tcPr>
            <w:tcW w:w="520" w:type="dxa"/>
            <w:vAlign w:val="bottom"/>
          </w:tcPr>
          <w:p>
            <w:pPr>
              <w:ind w:left="100"/>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2"/>
                <w:szCs w:val="22"/>
                <w:color w:val="auto"/>
              </w:rPr>
            </w:pPr>
          </w:p>
        </w:tc>
        <w:tc>
          <w:tcPr>
            <w:tcW w:w="2500" w:type="dxa"/>
            <w:vAlign w:val="bottom"/>
            <w:gridSpan w:val="23"/>
          </w:tcPr>
          <w:p>
            <w:pPr>
              <w:spacing w:after="0"/>
              <w:rPr>
                <w:sz w:val="20"/>
                <w:szCs w:val="20"/>
                <w:color w:val="auto"/>
              </w:rPr>
            </w:pPr>
            <w:r>
              <w:rPr>
                <w:rFonts w:ascii="Arial" w:cs="Arial" w:eastAsia="Arial" w:hAnsi="Arial"/>
                <w:sz w:val="18"/>
                <w:szCs w:val="18"/>
                <w:color w:val="0000EE"/>
              </w:rPr>
              <w:t>Consent of KPMG LLP, an</w:t>
            </w: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760" w:type="dxa"/>
            <w:vAlign w:val="bottom"/>
            <w:gridSpan w:val="10"/>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89"/>
              </w:rPr>
              <w:t>independent registered public</w:t>
            </w:r>
          </w:p>
        </w:tc>
        <w:tc>
          <w:tcPr>
            <w:tcW w:w="36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accounting firm.</w:t>
            </w:r>
          </w:p>
        </w:tc>
        <w:tc>
          <w:tcPr>
            <w:tcW w:w="1300" w:type="dxa"/>
            <w:vAlign w:val="bottom"/>
            <w:gridSpan w:val="19"/>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00"/>
              <w:spacing w:after="0"/>
              <w:rPr>
                <w:sz w:val="20"/>
                <w:szCs w:val="20"/>
                <w:color w:val="auto"/>
              </w:rPr>
            </w:pPr>
            <w:r>
              <w:rPr>
                <w:rFonts w:ascii="Arial" w:cs="Arial" w:eastAsia="Arial" w:hAnsi="Arial"/>
                <w:sz w:val="18"/>
                <w:szCs w:val="18"/>
                <w:color w:val="auto"/>
              </w:rPr>
              <w:t>23.2</w:t>
            </w:r>
          </w:p>
        </w:tc>
        <w:tc>
          <w:tcPr>
            <w:tcW w:w="240" w:type="dxa"/>
            <w:vAlign w:val="bottom"/>
          </w:tcPr>
          <w:p>
            <w:pPr>
              <w:spacing w:after="0"/>
              <w:rPr>
                <w:sz w:val="22"/>
                <w:szCs w:val="22"/>
                <w:color w:val="auto"/>
              </w:rPr>
            </w:pPr>
          </w:p>
        </w:tc>
        <w:tc>
          <w:tcPr>
            <w:tcW w:w="2500" w:type="dxa"/>
            <w:vAlign w:val="bottom"/>
            <w:gridSpan w:val="23"/>
          </w:tcPr>
          <w:p>
            <w:pPr>
              <w:spacing w:after="0"/>
              <w:rPr>
                <w:rFonts w:ascii="Arial" w:cs="Arial" w:eastAsia="Arial" w:hAnsi="Arial"/>
                <w:sz w:val="18"/>
                <w:szCs w:val="18"/>
                <w:color w:val="0000EE"/>
              </w:rPr>
            </w:pPr>
            <w:hyperlink r:id="rId113">
              <w:r>
                <w:rPr>
                  <w:rFonts w:ascii="Arial" w:cs="Arial" w:eastAsia="Arial" w:hAnsi="Arial"/>
                  <w:sz w:val="18"/>
                  <w:szCs w:val="18"/>
                  <w:color w:val="0000EE"/>
                </w:rPr>
                <w:t>Consent of Fenwick &amp; West</w:t>
              </w:r>
            </w:hyperlink>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gridSpan w:val="16"/>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00" w:type="dxa"/>
            <w:vAlign w:val="bottom"/>
            <w:gridSpan w:val="23"/>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LLP (included in Exhibit 5.1).</w:t>
              </w:r>
            </w:hyperlink>
          </w:p>
        </w:tc>
        <w:tc>
          <w:tcPr>
            <w:tcW w:w="68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S-1</w:t>
            </w:r>
          </w:p>
        </w:tc>
        <w:tc>
          <w:tcPr>
            <w:tcW w:w="2160" w:type="dxa"/>
            <w:vAlign w:val="bottom"/>
            <w:gridSpan w:val="3"/>
          </w:tcPr>
          <w:p>
            <w:pPr>
              <w:ind w:left="860"/>
              <w:spacing w:after="0" w:line="196" w:lineRule="exact"/>
              <w:rPr>
                <w:sz w:val="20"/>
                <w:szCs w:val="20"/>
                <w:color w:val="auto"/>
              </w:rPr>
            </w:pPr>
            <w:r>
              <w:rPr>
                <w:rFonts w:ascii="Arial" w:cs="Arial" w:eastAsia="Arial" w:hAnsi="Arial"/>
                <w:sz w:val="18"/>
                <w:szCs w:val="18"/>
                <w:color w:val="auto"/>
              </w:rPr>
              <w:t>333-220881</w:t>
            </w:r>
          </w:p>
        </w:tc>
        <w:tc>
          <w:tcPr>
            <w:tcW w:w="120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23.2</w:t>
            </w:r>
          </w:p>
        </w:tc>
        <w:tc>
          <w:tcPr>
            <w:tcW w:w="320" w:type="dxa"/>
            <w:vAlign w:val="bottom"/>
          </w:tcPr>
          <w:p>
            <w:pPr>
              <w:spacing w:after="0"/>
              <w:rPr>
                <w:sz w:val="17"/>
                <w:szCs w:val="17"/>
                <w:color w:val="auto"/>
              </w:rPr>
            </w:pPr>
          </w:p>
        </w:tc>
        <w:tc>
          <w:tcPr>
            <w:tcW w:w="1640" w:type="dxa"/>
            <w:vAlign w:val="bottom"/>
            <w:gridSpan w:val="3"/>
          </w:tcPr>
          <w:p>
            <w:pPr>
              <w:ind w:left="280"/>
              <w:spacing w:after="0" w:line="196" w:lineRule="exact"/>
              <w:rPr>
                <w:sz w:val="20"/>
                <w:szCs w:val="20"/>
                <w:color w:val="auto"/>
              </w:rPr>
            </w:pPr>
            <w:r>
              <w:rPr>
                <w:rFonts w:ascii="Arial" w:cs="Arial" w:eastAsia="Arial" w:hAnsi="Arial"/>
                <w:sz w:val="18"/>
                <w:szCs w:val="18"/>
                <w:color w:val="auto"/>
                <w:w w:val="96"/>
              </w:rPr>
              <w:t>October 10, 2017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gridSpan w:val="16"/>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ind w:left="100"/>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22"/>
                <w:szCs w:val="22"/>
                <w:color w:val="auto"/>
              </w:rPr>
            </w:pPr>
          </w:p>
        </w:tc>
        <w:tc>
          <w:tcPr>
            <w:tcW w:w="228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Power of Attorney (reference is</w:t>
              </w:r>
            </w:hyperlink>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made to the signature page).</w:t>
              </w:r>
            </w:hyperlink>
          </w:p>
        </w:tc>
        <w:tc>
          <w:tcPr>
            <w:tcW w:w="460" w:type="dxa"/>
            <w:vAlign w:val="bottom"/>
            <w:gridSpan w:val="7"/>
          </w:tcPr>
          <w:p>
            <w:pPr>
              <w:spacing w:after="0"/>
              <w:rPr>
                <w:sz w:val="17"/>
                <w:szCs w:val="17"/>
                <w:color w:val="auto"/>
              </w:rPr>
            </w:pPr>
          </w:p>
        </w:tc>
        <w:tc>
          <w:tcPr>
            <w:tcW w:w="68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S-1</w:t>
            </w:r>
          </w:p>
        </w:tc>
        <w:tc>
          <w:tcPr>
            <w:tcW w:w="2160" w:type="dxa"/>
            <w:vAlign w:val="bottom"/>
            <w:gridSpan w:val="3"/>
          </w:tcPr>
          <w:p>
            <w:pPr>
              <w:ind w:left="860"/>
              <w:spacing w:after="0" w:line="196" w:lineRule="exact"/>
              <w:rPr>
                <w:sz w:val="20"/>
                <w:szCs w:val="20"/>
                <w:color w:val="auto"/>
              </w:rPr>
            </w:pPr>
            <w:r>
              <w:rPr>
                <w:rFonts w:ascii="Arial" w:cs="Arial" w:eastAsia="Arial" w:hAnsi="Arial"/>
                <w:sz w:val="18"/>
                <w:szCs w:val="18"/>
                <w:color w:val="auto"/>
              </w:rPr>
              <w:t>333-220881</w:t>
            </w:r>
          </w:p>
        </w:tc>
        <w:tc>
          <w:tcPr>
            <w:tcW w:w="1200" w:type="dxa"/>
            <w:vAlign w:val="bottom"/>
            <w:gridSpan w:val="2"/>
          </w:tcPr>
          <w:p>
            <w:pPr>
              <w:ind w:left="600"/>
              <w:spacing w:after="0" w:line="196" w:lineRule="exact"/>
              <w:rPr>
                <w:sz w:val="20"/>
                <w:szCs w:val="20"/>
                <w:color w:val="auto"/>
              </w:rPr>
            </w:pPr>
            <w:r>
              <w:rPr>
                <w:rFonts w:ascii="Arial" w:cs="Arial" w:eastAsia="Arial" w:hAnsi="Arial"/>
                <w:sz w:val="18"/>
                <w:szCs w:val="18"/>
                <w:color w:val="auto"/>
              </w:rPr>
              <w:t>24.1</w:t>
            </w:r>
          </w:p>
        </w:tc>
        <w:tc>
          <w:tcPr>
            <w:tcW w:w="320" w:type="dxa"/>
            <w:vAlign w:val="bottom"/>
          </w:tcPr>
          <w:p>
            <w:pPr>
              <w:spacing w:after="0"/>
              <w:rPr>
                <w:sz w:val="17"/>
                <w:szCs w:val="17"/>
                <w:color w:val="auto"/>
              </w:rPr>
            </w:pPr>
          </w:p>
        </w:tc>
        <w:tc>
          <w:tcPr>
            <w:tcW w:w="1640" w:type="dxa"/>
            <w:vAlign w:val="bottom"/>
            <w:gridSpan w:val="3"/>
          </w:tcPr>
          <w:p>
            <w:pPr>
              <w:ind w:left="280"/>
              <w:spacing w:after="0" w:line="196" w:lineRule="exact"/>
              <w:rPr>
                <w:sz w:val="20"/>
                <w:szCs w:val="20"/>
                <w:color w:val="auto"/>
              </w:rPr>
            </w:pPr>
            <w:r>
              <w:rPr>
                <w:rFonts w:ascii="Arial" w:cs="Arial" w:eastAsia="Arial" w:hAnsi="Arial"/>
                <w:sz w:val="18"/>
                <w:szCs w:val="18"/>
                <w:color w:val="auto"/>
                <w:w w:val="96"/>
              </w:rPr>
              <w:t>October 10, 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88658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ind w:right="240"/>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ind w:right="240"/>
        <w:spacing w:after="0"/>
        <w:rPr>
          <w:sz w:val="20"/>
          <w:szCs w:val="20"/>
          <w:color w:val="auto"/>
        </w:rPr>
      </w:pPr>
      <w:r>
        <w:rPr>
          <w:rFonts w:ascii="Arial" w:cs="Arial" w:eastAsia="Arial" w:hAnsi="Arial"/>
          <w:sz w:val="13"/>
          <w:szCs w:val="13"/>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X</w:t>
      </w:r>
    </w:p>
    <w:p>
      <w:pPr>
        <w:spacing w:after="0" w:line="1195" w:lineRule="exact"/>
        <w:rPr>
          <w:sz w:val="20"/>
          <w:szCs w:val="20"/>
          <w:color w:val="auto"/>
        </w:rPr>
      </w:pPr>
    </w:p>
    <w:p>
      <w:pPr>
        <w:sectPr>
          <w:pgSz w:w="11900" w:h="16838" w:orient="portrait"/>
          <w:cols w:equalWidth="0" w:num="2">
            <w:col w:w="9880" w:space="720"/>
            <w:col w:w="800"/>
          </w:cols>
          <w:pgMar w:left="240" w:top="459" w:right="259" w:bottom="1440" w:gutter="0" w:footer="0" w:header="0"/>
          <w:type w:val="continuous"/>
        </w:sectPr>
      </w:pPr>
    </w:p>
    <w:p>
      <w:pPr>
        <w:spacing w:after="0" w:line="2" w:lineRule="exact"/>
        <w:rPr>
          <w:sz w:val="20"/>
          <w:szCs w:val="20"/>
          <w:color w:val="auto"/>
        </w:rPr>
      </w:pPr>
    </w:p>
    <w:p>
      <w:pPr>
        <w:ind w:left="220" w:right="180" w:hanging="212"/>
        <w:spacing w:after="0" w:line="277" w:lineRule="auto"/>
        <w:tabs>
          <w:tab w:leader="none" w:pos="220"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Registrant has omitted and filed separately with the SEC portions of the exhibit pursuant to a confidential treatment request under Rule 406 promulgated under the Securities Act.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financial statement schedules are provided because the information called for is not required or is shown either in the financial statements or notes.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59" w:right="25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right="60" w:firstLine="464"/>
        <w:spacing w:after="0" w:line="286" w:lineRule="auto"/>
        <w:tabs>
          <w:tab w:leader="none" w:pos="701" w:val="left"/>
        </w:tabs>
        <w:numPr>
          <w:ilvl w:val="0"/>
          <w:numId w:val="59"/>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firstLine="464"/>
        <w:spacing w:after="0" w:line="264" w:lineRule="auto"/>
        <w:tabs>
          <w:tab w:leader="none" w:pos="711"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60"/>
          </w:cols>
          <w:pgMar w:left="24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Pursuant to the requirements of the Securities Act, the Registrant has duly caused this Registration Statement to be signed on its behalf by the undersigned, thereunto duly authorized, in the City of San Diego, State of California, on this 11</w:t>
      </w:r>
      <w:r>
        <w:rPr>
          <w:rFonts w:ascii="Arial" w:cs="Arial" w:eastAsia="Arial" w:hAnsi="Arial"/>
          <w:sz w:val="14"/>
          <w:szCs w:val="14"/>
          <w:color w:val="auto"/>
        </w:rPr>
        <w:t>th</w:t>
      </w:r>
      <w:r>
        <w:rPr>
          <w:rFonts w:ascii="Arial" w:cs="Arial" w:eastAsia="Arial" w:hAnsi="Arial"/>
          <w:sz w:val="17"/>
          <w:szCs w:val="17"/>
          <w:color w:val="auto"/>
        </w:rPr>
        <w:t xml:space="preserve"> day of October 2017.</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Hamza Suria</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300" w:type="dxa"/>
            <w:vAlign w:val="bottom"/>
            <w:gridSpan w:val="2"/>
          </w:tcPr>
          <w:p>
            <w:pPr>
              <w:jc w:val="center"/>
              <w:ind w:right="2020"/>
              <w:spacing w:after="0"/>
              <w:rPr>
                <w:sz w:val="20"/>
                <w:szCs w:val="20"/>
                <w:color w:val="auto"/>
              </w:rPr>
            </w:pPr>
            <w:r>
              <w:rPr>
                <w:rFonts w:ascii="Arial" w:cs="Arial" w:eastAsia="Arial" w:hAnsi="Arial"/>
                <w:sz w:val="14"/>
                <w:szCs w:val="14"/>
                <w:b w:val="1"/>
                <w:bCs w:val="1"/>
                <w:color w:val="auto"/>
                <w:w w:val="97"/>
              </w:rPr>
              <w:t>Title</w:t>
            </w:r>
          </w:p>
        </w:tc>
        <w:tc>
          <w:tcPr>
            <w:tcW w:w="178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58"/>
        </w:trPr>
        <w:tc>
          <w:tcPr>
            <w:tcW w:w="2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8"/>
                <w:szCs w:val="18"/>
                <w:color w:val="auto"/>
                <w:w w:val="90"/>
              </w:rPr>
              <w:t>/s/ Hamza Suria</w:t>
            </w:r>
          </w:p>
        </w:tc>
        <w:tc>
          <w:tcPr>
            <w:tcW w:w="4420" w:type="dxa"/>
            <w:vAlign w:val="bottom"/>
            <w:gridSpan w:val="3"/>
          </w:tcPr>
          <w:p>
            <w:pPr>
              <w:jc w:val="center"/>
              <w:ind w:left="10"/>
              <w:spacing w:after="0"/>
              <w:rPr>
                <w:sz w:val="20"/>
                <w:szCs w:val="20"/>
                <w:color w:val="auto"/>
              </w:rPr>
            </w:pPr>
            <w:r>
              <w:rPr>
                <w:rFonts w:ascii="Arial" w:cs="Arial" w:eastAsia="Arial" w:hAnsi="Arial"/>
                <w:sz w:val="18"/>
                <w:szCs w:val="18"/>
                <w:color w:val="auto"/>
                <w:w w:val="92"/>
              </w:rPr>
              <w:t>President, Chief Executive Officer</w:t>
            </w:r>
          </w:p>
        </w:tc>
        <w:tc>
          <w:tcPr>
            <w:tcW w:w="178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October 11, 2017</w:t>
            </w:r>
          </w:p>
        </w:tc>
      </w:tr>
      <w:tr>
        <w:trPr>
          <w:trHeight w:val="182"/>
        </w:trPr>
        <w:tc>
          <w:tcPr>
            <w:tcW w:w="240" w:type="dxa"/>
            <w:vAlign w:val="bottom"/>
          </w:tcPr>
          <w:p>
            <w:pPr>
              <w:spacing w:after="0"/>
              <w:rPr>
                <w:sz w:val="15"/>
                <w:szCs w:val="15"/>
                <w:color w:val="auto"/>
              </w:rPr>
            </w:pPr>
          </w:p>
        </w:tc>
        <w:tc>
          <w:tcPr>
            <w:tcW w:w="4680" w:type="dxa"/>
            <w:vAlign w:val="bottom"/>
            <w:gridSpan w:val="3"/>
          </w:tcPr>
          <w:p>
            <w:pPr>
              <w:jc w:val="center"/>
              <w:ind w:right="240"/>
              <w:spacing w:after="0" w:line="182" w:lineRule="exact"/>
              <w:rPr>
                <w:sz w:val="20"/>
                <w:szCs w:val="20"/>
                <w:color w:val="auto"/>
              </w:rPr>
            </w:pPr>
            <w:r>
              <w:rPr>
                <w:rFonts w:ascii="Arial" w:cs="Arial" w:eastAsia="Arial" w:hAnsi="Arial"/>
                <w:sz w:val="18"/>
                <w:szCs w:val="18"/>
                <w:color w:val="auto"/>
                <w:w w:val="88"/>
              </w:rPr>
              <w:t>Hamza Suria</w:t>
            </w:r>
          </w:p>
        </w:tc>
        <w:tc>
          <w:tcPr>
            <w:tcW w:w="4420" w:type="dxa"/>
            <w:vAlign w:val="bottom"/>
            <w:gridSpan w:val="3"/>
          </w:tcPr>
          <w:p>
            <w:pPr>
              <w:jc w:val="center"/>
              <w:ind w:left="30"/>
              <w:spacing w:after="0" w:line="182" w:lineRule="exact"/>
              <w:rPr>
                <w:sz w:val="20"/>
                <w:szCs w:val="20"/>
                <w:color w:val="auto"/>
              </w:rPr>
            </w:pPr>
            <w:r>
              <w:rPr>
                <w:rFonts w:ascii="Arial" w:cs="Arial" w:eastAsia="Arial" w:hAnsi="Arial"/>
                <w:sz w:val="18"/>
                <w:szCs w:val="18"/>
                <w:color w:val="auto"/>
                <w:w w:val="91"/>
              </w:rPr>
              <w:t>and Director</w:t>
            </w: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230"/>
        </w:trPr>
        <w:tc>
          <w:tcPr>
            <w:tcW w:w="2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420" w:type="dxa"/>
            <w:vAlign w:val="bottom"/>
            <w:gridSpan w:val="3"/>
          </w:tcPr>
          <w:p>
            <w:pPr>
              <w:jc w:val="center"/>
              <w:ind w:left="30"/>
              <w:spacing w:after="0"/>
              <w:rPr>
                <w:sz w:val="20"/>
                <w:szCs w:val="20"/>
                <w:color w:val="auto"/>
              </w:rPr>
            </w:pPr>
            <w:r>
              <w:rPr>
                <w:rFonts w:ascii="Arial" w:cs="Arial" w:eastAsia="Arial" w:hAnsi="Arial"/>
                <w:sz w:val="18"/>
                <w:szCs w:val="18"/>
                <w:color w:val="auto"/>
                <w:w w:val="94"/>
              </w:rPr>
              <w:t>(Principal Executive Officer)</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24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color w:val="auto"/>
                <w:w w:val="95"/>
              </w:rPr>
              <w:t>/s/ Dominic G. Piscitelli</w:t>
            </w:r>
          </w:p>
        </w:tc>
        <w:tc>
          <w:tcPr>
            <w:tcW w:w="4420" w:type="dxa"/>
            <w:vAlign w:val="bottom"/>
            <w:gridSpan w:val="3"/>
          </w:tcPr>
          <w:p>
            <w:pPr>
              <w:jc w:val="center"/>
              <w:ind w:left="10"/>
              <w:spacing w:after="0"/>
              <w:rPr>
                <w:sz w:val="20"/>
                <w:szCs w:val="20"/>
                <w:color w:val="auto"/>
              </w:rPr>
            </w:pPr>
            <w:r>
              <w:rPr>
                <w:rFonts w:ascii="Arial" w:cs="Arial" w:eastAsia="Arial" w:hAnsi="Arial"/>
                <w:sz w:val="18"/>
                <w:szCs w:val="18"/>
                <w:color w:val="auto"/>
                <w:w w:val="94"/>
              </w:rPr>
              <w:t>Chief Financial Officer</w:t>
            </w:r>
          </w:p>
        </w:tc>
        <w:tc>
          <w:tcPr>
            <w:tcW w:w="178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October 11, 2017</w:t>
            </w:r>
          </w:p>
        </w:tc>
      </w:tr>
      <w:tr>
        <w:trPr>
          <w:trHeight w:val="224"/>
        </w:trPr>
        <w:tc>
          <w:tcPr>
            <w:tcW w:w="240" w:type="dxa"/>
            <w:vAlign w:val="bottom"/>
          </w:tcPr>
          <w:p>
            <w:pPr>
              <w:spacing w:after="0"/>
              <w:rPr>
                <w:sz w:val="19"/>
                <w:szCs w:val="19"/>
                <w:color w:val="auto"/>
              </w:rPr>
            </w:pPr>
          </w:p>
        </w:tc>
        <w:tc>
          <w:tcPr>
            <w:tcW w:w="4680" w:type="dxa"/>
            <w:vAlign w:val="bottom"/>
            <w:gridSpan w:val="3"/>
          </w:tcPr>
          <w:p>
            <w:pPr>
              <w:jc w:val="center"/>
              <w:ind w:right="240"/>
              <w:spacing w:after="0"/>
              <w:rPr>
                <w:sz w:val="20"/>
                <w:szCs w:val="20"/>
                <w:color w:val="auto"/>
              </w:rPr>
            </w:pPr>
            <w:r>
              <w:rPr>
                <w:rFonts w:ascii="Arial" w:cs="Arial" w:eastAsia="Arial" w:hAnsi="Arial"/>
                <w:sz w:val="18"/>
                <w:szCs w:val="18"/>
                <w:color w:val="auto"/>
                <w:w w:val="95"/>
              </w:rPr>
              <w:t>Dominic G. Piscitelli</w:t>
            </w:r>
          </w:p>
        </w:tc>
        <w:tc>
          <w:tcPr>
            <w:tcW w:w="4420" w:type="dxa"/>
            <w:vAlign w:val="bottom"/>
            <w:gridSpan w:val="3"/>
          </w:tcPr>
          <w:p>
            <w:pPr>
              <w:jc w:val="center"/>
              <w:ind w:left="10"/>
              <w:spacing w:after="0"/>
              <w:rPr>
                <w:sz w:val="20"/>
                <w:szCs w:val="20"/>
                <w:color w:val="auto"/>
              </w:rPr>
            </w:pPr>
            <w:r>
              <w:rPr>
                <w:rFonts w:ascii="Arial" w:cs="Arial" w:eastAsia="Arial" w:hAnsi="Arial"/>
                <w:sz w:val="18"/>
                <w:szCs w:val="18"/>
                <w:color w:val="auto"/>
                <w:w w:val="93"/>
              </w:rPr>
              <w:t>(Principal Accounting and Financial Officer)</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77"/>
        </w:trPr>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center"/>
              <w:ind w:left="18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420" w:type="dxa"/>
            <w:vAlign w:val="bottom"/>
            <w:gridSpan w:val="3"/>
          </w:tcPr>
          <w:p>
            <w:pPr>
              <w:jc w:val="center"/>
              <w:ind w:left="1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October 11, 2017</w:t>
            </w:r>
          </w:p>
        </w:tc>
      </w:tr>
      <w:tr>
        <w:trPr>
          <w:trHeight w:val="224"/>
        </w:trPr>
        <w:tc>
          <w:tcPr>
            <w:tcW w:w="240" w:type="dxa"/>
            <w:vAlign w:val="bottom"/>
          </w:tcPr>
          <w:p>
            <w:pPr>
              <w:spacing w:after="0"/>
              <w:rPr>
                <w:sz w:val="19"/>
                <w:szCs w:val="19"/>
                <w:color w:val="auto"/>
              </w:rPr>
            </w:pPr>
          </w:p>
        </w:tc>
        <w:tc>
          <w:tcPr>
            <w:tcW w:w="468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Carol G. Gallagher, Pharm.D.</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77"/>
        </w:trPr>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center"/>
              <w:ind w:left="18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420" w:type="dxa"/>
            <w:vAlign w:val="bottom"/>
            <w:gridSpan w:val="3"/>
          </w:tcPr>
          <w:p>
            <w:pPr>
              <w:jc w:val="center"/>
              <w:ind w:left="1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October 11, 2017</w:t>
            </w:r>
          </w:p>
        </w:tc>
      </w:tr>
      <w:tr>
        <w:trPr>
          <w:trHeight w:val="224"/>
        </w:trPr>
        <w:tc>
          <w:tcPr>
            <w:tcW w:w="240" w:type="dxa"/>
            <w:vAlign w:val="bottom"/>
          </w:tcPr>
          <w:p>
            <w:pPr>
              <w:spacing w:after="0"/>
              <w:rPr>
                <w:sz w:val="19"/>
                <w:szCs w:val="19"/>
                <w:color w:val="auto"/>
              </w:rPr>
            </w:pPr>
          </w:p>
        </w:tc>
        <w:tc>
          <w:tcPr>
            <w:tcW w:w="468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Nicholas B. Lydon, Ph.D., FRS</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77"/>
        </w:trPr>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center"/>
              <w:ind w:left="18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420" w:type="dxa"/>
            <w:vAlign w:val="bottom"/>
            <w:gridSpan w:val="3"/>
          </w:tcPr>
          <w:p>
            <w:pPr>
              <w:jc w:val="center"/>
              <w:ind w:left="1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October 11, 2017</w:t>
            </w:r>
          </w:p>
        </w:tc>
      </w:tr>
      <w:tr>
        <w:trPr>
          <w:trHeight w:val="224"/>
        </w:trPr>
        <w:tc>
          <w:tcPr>
            <w:tcW w:w="240" w:type="dxa"/>
            <w:vAlign w:val="bottom"/>
          </w:tcPr>
          <w:p>
            <w:pPr>
              <w:spacing w:after="0"/>
              <w:rPr>
                <w:sz w:val="19"/>
                <w:szCs w:val="19"/>
                <w:color w:val="auto"/>
              </w:rPr>
            </w:pPr>
          </w:p>
        </w:tc>
        <w:tc>
          <w:tcPr>
            <w:tcW w:w="468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Hollings Renton</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77"/>
        </w:trPr>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center"/>
              <w:ind w:left="18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420" w:type="dxa"/>
            <w:vAlign w:val="bottom"/>
            <w:gridSpan w:val="3"/>
          </w:tcPr>
          <w:p>
            <w:pPr>
              <w:jc w:val="center"/>
              <w:ind w:left="1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October 11, 2017</w:t>
            </w:r>
          </w:p>
        </w:tc>
      </w:tr>
      <w:tr>
        <w:trPr>
          <w:trHeight w:val="224"/>
        </w:trPr>
        <w:tc>
          <w:tcPr>
            <w:tcW w:w="240" w:type="dxa"/>
            <w:vAlign w:val="bottom"/>
          </w:tcPr>
          <w:p>
            <w:pPr>
              <w:spacing w:after="0"/>
              <w:rPr>
                <w:sz w:val="19"/>
                <w:szCs w:val="19"/>
                <w:color w:val="auto"/>
              </w:rPr>
            </w:pPr>
          </w:p>
        </w:tc>
        <w:tc>
          <w:tcPr>
            <w:tcW w:w="468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John Schmid</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77"/>
        </w:trPr>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center"/>
              <w:ind w:left="18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420" w:type="dxa"/>
            <w:vAlign w:val="bottom"/>
            <w:gridSpan w:val="3"/>
          </w:tcPr>
          <w:p>
            <w:pPr>
              <w:jc w:val="center"/>
              <w:ind w:left="1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October 11, 2017</w:t>
            </w:r>
          </w:p>
        </w:tc>
      </w:tr>
      <w:tr>
        <w:trPr>
          <w:trHeight w:val="224"/>
        </w:trPr>
        <w:tc>
          <w:tcPr>
            <w:tcW w:w="240" w:type="dxa"/>
            <w:vAlign w:val="bottom"/>
          </w:tcPr>
          <w:p>
            <w:pPr>
              <w:spacing w:after="0"/>
              <w:rPr>
                <w:sz w:val="19"/>
                <w:szCs w:val="19"/>
                <w:color w:val="auto"/>
              </w:rPr>
            </w:pPr>
          </w:p>
        </w:tc>
        <w:tc>
          <w:tcPr>
            <w:tcW w:w="468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James A. Schoeneck</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center"/>
              <w:ind w:left="18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420" w:type="dxa"/>
            <w:vAlign w:val="bottom"/>
            <w:gridSpan w:val="3"/>
          </w:tcPr>
          <w:p>
            <w:pPr>
              <w:jc w:val="center"/>
              <w:ind w:left="1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October 11, 2017</w:t>
            </w:r>
          </w:p>
        </w:tc>
      </w:tr>
      <w:tr>
        <w:trPr>
          <w:trHeight w:val="224"/>
        </w:trPr>
        <w:tc>
          <w:tcPr>
            <w:tcW w:w="240" w:type="dxa"/>
            <w:vAlign w:val="bottom"/>
          </w:tcPr>
          <w:p>
            <w:pPr>
              <w:spacing w:after="0"/>
              <w:rPr>
                <w:sz w:val="19"/>
                <w:szCs w:val="19"/>
                <w:color w:val="auto"/>
              </w:rPr>
            </w:pPr>
          </w:p>
        </w:tc>
        <w:tc>
          <w:tcPr>
            <w:tcW w:w="468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James N. Topper, M.D., Ph.D.</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31"/>
        </w:trPr>
        <w:tc>
          <w:tcPr>
            <w:tcW w:w="2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center"/>
              <w:ind w:left="18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420" w:type="dxa"/>
            <w:vAlign w:val="bottom"/>
            <w:gridSpan w:val="3"/>
          </w:tcPr>
          <w:p>
            <w:pPr>
              <w:jc w:val="center"/>
              <w:ind w:left="10"/>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452"/>
              <w:spacing w:after="0"/>
              <w:rPr>
                <w:sz w:val="20"/>
                <w:szCs w:val="20"/>
                <w:color w:val="auto"/>
              </w:rPr>
            </w:pPr>
            <w:r>
              <w:rPr>
                <w:rFonts w:ascii="Arial" w:cs="Arial" w:eastAsia="Arial" w:hAnsi="Arial"/>
                <w:sz w:val="18"/>
                <w:szCs w:val="18"/>
                <w:color w:val="auto"/>
                <w:w w:val="89"/>
              </w:rPr>
              <w:t>October 11, 2017</w:t>
            </w:r>
          </w:p>
        </w:tc>
      </w:tr>
      <w:tr>
        <w:trPr>
          <w:trHeight w:val="224"/>
        </w:trPr>
        <w:tc>
          <w:tcPr>
            <w:tcW w:w="240" w:type="dxa"/>
            <w:vAlign w:val="bottom"/>
          </w:tcPr>
          <w:p>
            <w:pPr>
              <w:spacing w:after="0"/>
              <w:rPr>
                <w:sz w:val="19"/>
                <w:szCs w:val="19"/>
                <w:color w:val="auto"/>
              </w:rPr>
            </w:pPr>
          </w:p>
        </w:tc>
        <w:tc>
          <w:tcPr>
            <w:tcW w:w="46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J. Anthony Ware</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458"/>
        </w:trPr>
        <w:tc>
          <w:tcPr>
            <w:tcW w:w="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80" w:type="dxa"/>
            <w:vAlign w:val="bottom"/>
            <w:gridSpan w:val="3"/>
          </w:tcPr>
          <w:p>
            <w:pPr>
              <w:ind w:left="140"/>
              <w:spacing w:after="0"/>
              <w:rPr>
                <w:sz w:val="20"/>
                <w:szCs w:val="20"/>
                <w:color w:val="auto"/>
              </w:rPr>
            </w:pPr>
            <w:r>
              <w:rPr>
                <w:rFonts w:ascii="Arial" w:cs="Arial" w:eastAsia="Arial" w:hAnsi="Arial"/>
                <w:sz w:val="18"/>
                <w:szCs w:val="18"/>
                <w:color w:val="auto"/>
              </w:rPr>
              <w:t>Pursuant to Power of Attorney</w:t>
            </w:r>
          </w:p>
        </w:tc>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By: /s/ Dominic G.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Dominic G. Piscitelli</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Attorney-in-Fact</w:t>
      </w:r>
    </w:p>
    <w:p>
      <w:pPr>
        <w:sectPr>
          <w:pgSz w:w="11900" w:h="16838" w:orient="portrait"/>
          <w:cols w:equalWidth="0" w:num="1">
            <w:col w:w="11120"/>
          </w:cols>
          <w:pgMar w:left="240" w:top="459" w:right="5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incorporated by reference and to the reference to our firm under the heading “Experts” in the 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10,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decimal"/>
      <w:start w:val="1"/>
    </w:lvl>
  </w:abstractNum>
  <w:abstractNum w:abstractNumId="1">
    <w:nsid w:val="1E7FF521"/>
    <w:multiLevelType w:val="hybridMultilevel"/>
    <w:lvl w:ilvl="0">
      <w:lvlJc w:val="left"/>
      <w:lvlText w:val="(%1)"/>
      <w:numFmt w:val="decimal"/>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1)"/>
      <w:numFmt w:val="decimal"/>
      <w:start w:val="2"/>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2"/>
    </w:lvl>
  </w:abstractNum>
  <w:abstractNum w:abstractNumId="29">
    <w:nsid w:val="2CD89A32"/>
    <w:multiLevelType w:val="hybridMultilevel"/>
    <w:lvl w:ilvl="0">
      <w:lvlJc w:val="left"/>
      <w:lvlText w:val="(%1)"/>
      <w:numFmt w:val="decimal"/>
      <w:start w:val="13"/>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1)"/>
      <w:numFmt w:val="lowerLetter"/>
      <w:start w:val="1"/>
    </w:lvl>
  </w:abstractNum>
  <w:abstractNum w:abstractNumId="42">
    <w:nsid w:val="1BA026FA"/>
    <w:multiLevelType w:val="hybridMultilevel"/>
    <w:lvl w:ilvl="0">
      <w:lvlJc w:val="left"/>
      <w:lvlText w:val="(%1)"/>
      <w:numFmt w:val="lowerLetter"/>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lowerLetter"/>
      <w:start w:val="1"/>
    </w:lvl>
  </w:abstractNum>
  <w:abstractNum w:abstractNumId="48">
    <w:nsid w:val="374A3FE6"/>
    <w:multiLevelType w:val="hybridMultilevel"/>
    <w:lvl w:ilvl="0">
      <w:lvlJc w:val="left"/>
      <w:lvlText w:val="(%1)"/>
      <w:numFmt w:val="lowerRoman"/>
      <w:start w:val="1"/>
    </w:lvl>
  </w:abstractNum>
  <w:abstractNum w:abstractNumId="49">
    <w:nsid w:val="4F4EF005"/>
    <w:multiLevelType w:val="hybridMultilevel"/>
    <w:lvl w:ilvl="0">
      <w:lvlJc w:val="left"/>
      <w:lvlText w:val="(%1)"/>
      <w:numFmt w:val="lowerRoman"/>
      <w:start w:val="1"/>
    </w:lvl>
  </w:abstractNum>
  <w:abstractNum w:abstractNumId="50">
    <w:nsid w:val="23F9C13C"/>
    <w:multiLevelType w:val="hybridMultilevel"/>
    <w:lvl w:ilvl="0">
      <w:lvlJc w:val="left"/>
      <w:lvlText w:val="(%1)"/>
      <w:numFmt w:val="lowerLetter"/>
      <w:start w:val="1"/>
    </w:lvl>
    <w:lvl w:ilvl="1">
      <w:lvlJc w:val="left"/>
      <w:lvlText w:val="(%2)"/>
      <w:numFmt w:val="lowerLetter"/>
      <w:start w:val="1"/>
    </w:lvl>
  </w:abstractNum>
  <w:abstractNum w:abstractNumId="51">
    <w:nsid w:val="649BB77C"/>
    <w:multiLevelType w:val="hybridMultilevel"/>
    <w:lvl w:ilvl="0">
      <w:lvlJc w:val="left"/>
      <w:lvlText w:val="(%1)"/>
      <w:numFmt w:val="lowerLetter"/>
      <w:start w:val="2"/>
    </w:lvl>
  </w:abstractNum>
  <w:abstractNum w:abstractNumId="52">
    <w:nsid w:val="275AC794"/>
    <w:multiLevelType w:val="hybridMultilevel"/>
    <w:lvl w:ilvl="0">
      <w:lvlJc w:val="left"/>
      <w:lvlText w:val="•"/>
      <w:numFmt w:val="bullet"/>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2" Type="http://schemas.openxmlformats.org/officeDocument/2006/relationships/image" Target="media/image100.png"/><Relationship Id="rId125"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07" Type="http://schemas.openxmlformats.org/officeDocument/2006/relationships/hyperlink" Target="http://www.sec.gov/Archives/edgar/data/1370053/000119312517307069/d453477dex11.htm" TargetMode="External"/><Relationship Id="rId108" Type="http://schemas.openxmlformats.org/officeDocument/2006/relationships/hyperlink" Target="http://www.sec.gov/Archives/edgar/data/1370053/000137005317000005/anab-033117x10qxexx31.htm" TargetMode="External"/><Relationship Id="rId109" Type="http://schemas.openxmlformats.org/officeDocument/2006/relationships/hyperlink" Target="http://www.sec.gov/Archives/edgar/data/1370053/000119312515315918/d942137dex34.htm" TargetMode="External"/><Relationship Id="rId110" Type="http://schemas.openxmlformats.org/officeDocument/2006/relationships/hyperlink" Target="http://www.sec.gov/Archives/edgar/data/1370053/000119312515412604/d942137dex41.htm" TargetMode="External"/><Relationship Id="rId111" Type="http://schemas.openxmlformats.org/officeDocument/2006/relationships/hyperlink" Target="http://www.sec.gov/Archives/edgar/data/1370053/000119312515315918/d942137dex42.htm" TargetMode="External"/><Relationship Id="rId113" Type="http://schemas.openxmlformats.org/officeDocument/2006/relationships/hyperlink" Target="http://www.sec.gov/Archives/edgar/data/1370053/000119312517307069/d453477dex51.htm" TargetMode="External"/><Relationship Id="rId114" Type="http://schemas.openxmlformats.org/officeDocument/2006/relationships/hyperlink" Target="http://www.sec.gov/Archives/edgar/data/1370053/000119312515315918/d942137dex101.htm" TargetMode="External"/><Relationship Id="rId115" Type="http://schemas.openxmlformats.org/officeDocument/2006/relationships/hyperlink" Target="http://www.sec.gov/Archives/edgar/data/1370053/000119312517010405/d320192dex102.htm" TargetMode="External"/><Relationship Id="rId116" Type="http://schemas.openxmlformats.org/officeDocument/2006/relationships/hyperlink" Target="http://www.sec.gov/Archives/edgar/data/1370053/000119312517010405/d320192dex103.htm" TargetMode="External"/><Relationship Id="rId117" Type="http://schemas.openxmlformats.org/officeDocument/2006/relationships/hyperlink" Target="http://www.sec.gov/Archives/edgar/data/1370053/000119312517010405/d320192dex104.htm" TargetMode="External"/><Relationship Id="rId118" Type="http://schemas.openxmlformats.org/officeDocument/2006/relationships/hyperlink" Target="http://www.sec.gov/Archives/edgar/data/1370053/000119312515315918/d942137dex105.htm" TargetMode="External"/><Relationship Id="rId119" Type="http://schemas.openxmlformats.org/officeDocument/2006/relationships/hyperlink" Target="http://www.sec.gov/Archives/edgar/data/1370053/000119312516805335/d320192dex106.htm" TargetMode="External"/><Relationship Id="rId120" Type="http://schemas.openxmlformats.org/officeDocument/2006/relationships/hyperlink" Target="http://www.sec.gov/Archives/edgar/data/1370053/000119312515315918/d942137dex108.htm" TargetMode="External"/><Relationship Id="rId121" Type="http://schemas.openxmlformats.org/officeDocument/2006/relationships/hyperlink" Target="http://www.sec.gov/Archives/edgar/data/1370053/000119312517307069/d453477dex108.htm" TargetMode="External"/><Relationship Id="rId122" Type="http://schemas.openxmlformats.org/officeDocument/2006/relationships/hyperlink" Target="http://www.sec.gov/Archives/edgar/data/1370053/000119312515412604/d942137dex108.htm" TargetMode="External"/><Relationship Id="rId123" Type="http://schemas.openxmlformats.org/officeDocument/2006/relationships/hyperlink" Target="http://www.sec.gov/Archives/edgar/data/1370053/000119312516805335/d320192dex109.htm" TargetMode="External"/><Relationship Id="rId124" Type="http://schemas.openxmlformats.org/officeDocument/2006/relationships/hyperlink" Target="http://www.sec.gov/Archives/edgar/data/1370053/000119312516585556/d942137dex1010.htm" TargetMode="External"/><Relationship Id="rId126" Type="http://schemas.openxmlformats.org/officeDocument/2006/relationships/hyperlink" Target="http://www.sec.gov/Archives/edgar/data/1370053/000119312515315918/d942137dex1012.htm" TargetMode="External"/><Relationship Id="rId127" Type="http://schemas.openxmlformats.org/officeDocument/2006/relationships/hyperlink" Target="http://www.sec.gov/Archives/edgar/data/1370053/000119312515315918/d942137dex1013.htm" TargetMode="External"/><Relationship Id="rId128" Type="http://schemas.openxmlformats.org/officeDocument/2006/relationships/hyperlink" Target="http://www.sec.gov/Archives/edgar/data/1370053/000119312516465517/d942137dex1013.htm" TargetMode="External"/><Relationship Id="rId129" Type="http://schemas.openxmlformats.org/officeDocument/2006/relationships/hyperlink" Target="http://www.sec.gov/Archives/edgar/data/1370053/000156459017003710/anab-ex211_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2019-12-07T03:31:29Z</dcterms:created>
  <dcterms:modified xsi:type="dcterms:W3CDTF">2019-12-07T03:31:29Z</dcterms:modified>
</cp:coreProperties>
</file>