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11, 2024</w:t>
      </w:r>
    </w:p>
    <w:p>
      <w:pPr>
        <w:spacing w:after="0" w:line="77"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7"/>
          <w:szCs w:val="17"/>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19"/>
        <w:spacing w:after="0" w:line="233"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139700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20-3828755</w:t>
      </w:r>
    </w:p>
    <w:p>
      <w:pPr>
        <w:spacing w:after="0" w:line="24" w:lineRule="exact"/>
        <w:rPr>
          <w:sz w:val="24"/>
          <w:szCs w:val="24"/>
          <w:color w:val="auto"/>
        </w:rPr>
      </w:pPr>
    </w:p>
    <w:p>
      <w:pPr>
        <w:sectPr>
          <w:pgSz w:w="11900" w:h="16838" w:orient="portrait"/>
          <w:cols w:equalWidth="0" w:num="2">
            <w:col w:w="7420" w:space="720"/>
            <w:col w:w="3100"/>
          </w:cols>
          <w:pgMar w:left="320" w:top="1440"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2">
            <w:col w:w="7140" w:space="720"/>
            <w:col w:w="3380"/>
          </w:cols>
          <w:pgMar w:left="320" w:top="1440" w:right="339" w:bottom="1440" w:gutter="0" w:footer="0" w:header="0"/>
          <w:type w:val="continuous"/>
        </w:sectPr>
      </w:pPr>
    </w:p>
    <w:p>
      <w:pPr>
        <w:ind w:left="4320"/>
        <w:spacing w:after="0"/>
        <w:rPr>
          <w:sz w:val="20"/>
          <w:szCs w:val="20"/>
          <w:color w:val="auto"/>
        </w:rPr>
      </w:pPr>
      <w:r>
        <w:rPr>
          <w:rFonts w:ascii="Times New Roman" w:cs="Times New Roman" w:eastAsia="Times New Roman" w:hAnsi="Times New Roman"/>
          <w:sz w:val="17"/>
          <w:szCs w:val="17"/>
          <w:b w:val="1"/>
          <w:bCs w:val="1"/>
          <w:color w:val="auto"/>
        </w:rPr>
        <w:t>10770 Wateridge Circle, Suite 210</w:t>
      </w:r>
    </w:p>
    <w:p>
      <w:pPr>
        <w:jc w:val="center"/>
        <w:spacing w:after="0" w:line="223" w:lineRule="auto"/>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362-6295</w:t>
      </w:r>
    </w:p>
    <w:p>
      <w:pPr>
        <w:sectPr>
          <w:pgSz w:w="11900" w:h="16838" w:orient="portrait"/>
          <w:cols w:equalWidth="0" w:num="1">
            <w:col w:w="11240"/>
          </w:cols>
          <w:pgMar w:left="320" w:top="1440" w:right="339" w:bottom="1440" w:gutter="0" w:footer="0" w:header="0"/>
          <w:type w:val="continuous"/>
        </w:sectPr>
      </w:pPr>
    </w:p>
    <w:p>
      <w:pPr>
        <w:jc w:val="center"/>
        <w:spacing w:after="0" w:line="197" w:lineRule="auto"/>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6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ind w:left="4240"/>
        <w:spacing w:after="0" w:line="209" w:lineRule="auto"/>
        <w:rPr>
          <w:sz w:val="20"/>
          <w:szCs w:val="20"/>
          <w:color w:val="auto"/>
        </w:rPr>
      </w:pPr>
      <w:r>
        <w:rPr>
          <w:rFonts w:ascii="Times New Roman" w:cs="Times New Roman" w:eastAsia="Times New Roman" w:hAnsi="Times New Roman"/>
          <w:sz w:val="18"/>
          <w:szCs w:val="18"/>
          <w:b w:val="1"/>
          <w:bCs w:val="1"/>
          <w:color w:val="auto"/>
        </w:rPr>
        <w:t>2017 Employee Stock Purchase Plan</w:t>
      </w: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74"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Daniel Faga</w:t>
      </w:r>
    </w:p>
    <w:p>
      <w:pPr>
        <w:ind w:left="4160"/>
        <w:spacing w:after="0" w:line="210"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AnaptysBio, Inc.</w:t>
      </w:r>
    </w:p>
    <w:p>
      <w:pPr>
        <w:jc w:val="center"/>
        <w:spacing w:after="0" w:line="220" w:lineRule="auto"/>
        <w:rPr>
          <w:sz w:val="20"/>
          <w:szCs w:val="20"/>
          <w:color w:val="auto"/>
        </w:rPr>
      </w:pPr>
      <w:r>
        <w:rPr>
          <w:rFonts w:ascii="Times New Roman" w:cs="Times New Roman" w:eastAsia="Times New Roman" w:hAnsi="Times New Roman"/>
          <w:sz w:val="18"/>
          <w:szCs w:val="18"/>
          <w:b w:val="1"/>
          <w:bCs w:val="1"/>
          <w:color w:val="auto"/>
        </w:rPr>
        <w:t>10770 Wateridge Circle, Suite 210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San Diego, CA 92121</w:t>
      </w:r>
    </w:p>
    <w:p>
      <w:pPr>
        <w:jc w:val="center"/>
        <w:spacing w:after="0" w:line="194" w:lineRule="auto"/>
        <w:rPr>
          <w:sz w:val="20"/>
          <w:szCs w:val="20"/>
          <w:color w:val="auto"/>
        </w:rPr>
      </w:pPr>
      <w:r>
        <w:rPr>
          <w:rFonts w:ascii="Times New Roman" w:cs="Times New Roman" w:eastAsia="Times New Roman" w:hAnsi="Times New Roman"/>
          <w:sz w:val="18"/>
          <w:szCs w:val="18"/>
          <w:b w:val="1"/>
          <w:bCs w:val="1"/>
          <w:color w:val="auto"/>
        </w:rPr>
        <w:t>(858) 362-6295</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send copies of all communications to:</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Effie Toshav, Esq.</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Ryan Mitteness, Esq.</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Fenwick &amp; West LLP</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401 Union Street, Floor 5</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Seattle, WA 98101</w:t>
      </w:r>
    </w:p>
    <w:p>
      <w:pPr>
        <w:ind w:left="5500" w:hanging="438"/>
        <w:spacing w:after="0" w:line="206" w:lineRule="auto"/>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389-4510</w:t>
      </w:r>
    </w:p>
    <w:p>
      <w:pPr>
        <w:ind w:left="4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b w:val="1"/>
          <w:bCs w:val="1"/>
          <w:u w:val="single" w:color="auto"/>
          <w:color w:val="auto"/>
        </w:rPr>
        <w:t>______________________</w:t>
      </w:r>
    </w:p>
    <w:p>
      <w:pPr>
        <w:spacing w:after="0" w:line="26"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0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00" w:type="dxa"/>
            <w:vAlign w:val="bottom"/>
          </w:tcPr>
          <w:p>
            <w:pPr>
              <w:ind w:left="740"/>
              <w:spacing w:after="0"/>
              <w:rPr>
                <w:sz w:val="20"/>
                <w:szCs w:val="20"/>
                <w:color w:val="auto"/>
              </w:rPr>
            </w:pPr>
            <w:r>
              <w:rPr>
                <w:rFonts w:ascii="Wingdings" w:cs="Wingdings" w:eastAsia="Wingdings" w:hAnsi="Wingdings"/>
                <w:sz w:val="14"/>
                <w:szCs w:val="14"/>
                <w:b w:val="1"/>
                <w:bCs w:val="1"/>
                <w:color w:val="auto"/>
              </w:rPr>
              <w:t>x</w:t>
            </w: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r>
        <w:trPr>
          <w:trHeight w:val="292"/>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366"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7(a)(2)(B) of the Securities Act. [ ]</w:t>
      </w:r>
    </w:p>
    <w:p>
      <w:pPr>
        <w:sectPr>
          <w:pgSz w:w="11900" w:h="16838" w:orient="portrait"/>
          <w:cols w:equalWidth="0" w:num="1">
            <w:col w:w="10960"/>
          </w:cols>
          <w:pgMar w:left="360" w:top="1440" w:right="579" w:bottom="1440" w:gutter="0" w:footer="0" w:header="0"/>
        </w:sectPr>
      </w:pPr>
    </w:p>
    <w:bookmarkStart w:id="2" w:name="page3"/>
    <w:bookmarkEnd w:id="2"/>
    <w:p>
      <w:pPr>
        <w:spacing w:after="0" w:line="19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05" w:lineRule="exact"/>
        <w:rPr>
          <w:sz w:val="20"/>
          <w:szCs w:val="20"/>
          <w:color w:val="auto"/>
        </w:rPr>
      </w:pPr>
    </w:p>
    <w:p>
      <w:pPr>
        <w:ind w:firstLine="405"/>
        <w:spacing w:after="0" w:line="229" w:lineRule="auto"/>
        <w:rPr>
          <w:sz w:val="20"/>
          <w:szCs w:val="20"/>
          <w:color w:val="auto"/>
        </w:rPr>
      </w:pPr>
      <w:r>
        <w:rPr>
          <w:rFonts w:ascii="Times New Roman" w:cs="Times New Roman" w:eastAsia="Times New Roman" w:hAnsi="Times New Roman"/>
          <w:sz w:val="17"/>
          <w:szCs w:val="17"/>
          <w:color w:val="auto"/>
        </w:rPr>
        <w:t>Pursuant to General Instruction E of Form S-8, AnaptysBio, Inc. (the “Registrant”) is filing this Registration Statement with the Securities and Exchange Commission (the “Commission”) to register 1,063,871 additional shares of Common Stock under the Registrant’s 2017 Equity Incentive Plan (“EIP”), pursuant to the provisions of the EIP providing for an automatic increase in the number of shares reserved for issuance under the EIP, and 265,967</w:t>
      </w:r>
    </w:p>
    <w:p>
      <w:pPr>
        <w:ind w:right="360"/>
        <w:spacing w:after="0"/>
        <w:rPr>
          <w:sz w:val="20"/>
          <w:szCs w:val="20"/>
          <w:color w:val="auto"/>
        </w:rPr>
      </w:pPr>
      <w:r>
        <w:rPr>
          <w:rFonts w:ascii="Times New Roman" w:cs="Times New Roman" w:eastAsia="Times New Roman" w:hAnsi="Times New Roman"/>
          <w:sz w:val="17"/>
          <w:szCs w:val="17"/>
          <w:color w:val="auto"/>
        </w:rPr>
        <w:t>additional shares of Common Stock under the Registrant’s 2017 Employee Stock Purchase Plan (“ESPP”), pursuant to the provisions of the ESPP providing for an automatic increase in the number of shares reserved for issuance under the ESPP. This Registration Statement hereby incorporates by</w:t>
      </w:r>
    </w:p>
    <w:p>
      <w:pPr>
        <w:spacing w:after="0" w:line="1"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8"/>
          <w:szCs w:val="18"/>
          <w:color w:val="auto"/>
        </w:rPr>
        <w:t>reference the contents of the Registrant’s registration statements on Form S-8 filed with the Commission on January 26, 2017 (Registration No. 333-215741), March 5, 2018 (Registration No. 333-223446), February 28, 2019 (Registration No. 333-229927), March 2, 2020 (Registration No. 333-236805),</w:t>
      </w:r>
    </w:p>
    <w:p>
      <w:pPr>
        <w:spacing w:after="0" w:line="1"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February 25, 2021 (Registration No. 333-253504), March 7, 2022 (Registration No. 333-263332), and March 1, 2023 (Registration No. 333-270175).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80"/>
          </w:cols>
          <w:pgMar w:left="320" w:top="1440" w:right="399" w:bottom="1440" w:gutter="0" w:footer="0" w:header="0"/>
        </w:sectPr>
      </w:pPr>
    </w:p>
    <w:bookmarkStart w:id="3" w:name="page4"/>
    <w:bookmarkEnd w:id="3"/>
    <w:p>
      <w:pPr>
        <w:spacing w:after="0" w:line="203"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320" w:type="dxa"/>
            <w:vAlign w:val="bottom"/>
            <w:vMerge w:val="continue"/>
          </w:tcPr>
          <w:p>
            <w:pPr>
              <w:spacing w:after="0"/>
              <w:rPr>
                <w:sz w:val="2"/>
                <w:szCs w:val="2"/>
                <w:color w:val="auto"/>
              </w:rPr>
            </w:pPr>
          </w:p>
        </w:tc>
        <w:tc>
          <w:tcPr>
            <w:tcW w:w="558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80" w:type="dxa"/>
            <w:vAlign w:val="bottom"/>
            <w:gridSpan w:val="10"/>
            <w:vMerge w:val="continue"/>
          </w:tcPr>
          <w:p>
            <w:pPr>
              <w:spacing w:after="0"/>
              <w:rPr>
                <w:sz w:val="16"/>
                <w:szCs w:val="16"/>
                <w:color w:val="auto"/>
              </w:rPr>
            </w:pPr>
          </w:p>
        </w:tc>
        <w:tc>
          <w:tcPr>
            <w:tcW w:w="58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80" w:type="dxa"/>
            <w:vAlign w:val="bottom"/>
            <w:gridSpan w:val="10"/>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Amended and Restated Certificate of Incorporation of the Registrant</w:t>
              </w:r>
            </w:hyperlink>
          </w:p>
        </w:tc>
        <w:tc>
          <w:tcPr>
            <w:tcW w:w="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7"/>
              </w:rPr>
              <w:t>10-Q</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001-37985</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92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Second Amended and Restated Bylaws of the Registrant</w:t>
              </w:r>
            </w:hyperlink>
          </w:p>
        </w:tc>
        <w:tc>
          <w:tcPr>
            <w:tcW w:w="660" w:type="dxa"/>
            <w:vAlign w:val="bottom"/>
            <w:gridSpan w:val="2"/>
          </w:tcPr>
          <w:p>
            <w:pPr>
              <w:spacing w:after="0"/>
              <w:rPr>
                <w:sz w:val="24"/>
                <w:szCs w:val="24"/>
                <w:color w:val="auto"/>
              </w:rPr>
            </w:pPr>
          </w:p>
        </w:tc>
        <w:tc>
          <w:tcPr>
            <w:tcW w:w="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8-K</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001-37985</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4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8"/>
              </w:rPr>
            </w:pPr>
            <w:hyperlink r:id="rId15">
              <w:r>
                <w:rPr>
                  <w:rFonts w:ascii="Times New Roman" w:cs="Times New Roman" w:eastAsia="Times New Roman" w:hAnsi="Times New Roman"/>
                  <w:sz w:val="18"/>
                  <w:szCs w:val="18"/>
                  <w:color w:val="0000FF"/>
                  <w:w w:val="98"/>
                </w:rPr>
                <w:t>Form of Registrant’s Common Stock certificate</w:t>
              </w:r>
            </w:hyperlink>
          </w:p>
        </w:tc>
        <w:tc>
          <w:tcPr>
            <w:tcW w:w="640" w:type="dxa"/>
            <w:vAlign w:val="bottom"/>
            <w:tcBorders>
              <w:top w:val="single" w:sz="8" w:color="0000FF"/>
            </w:tcBorders>
          </w:tcPr>
          <w:p>
            <w:pPr>
              <w:spacing w:after="0"/>
              <w:rPr>
                <w:sz w:val="24"/>
                <w:szCs w:val="24"/>
                <w:color w:val="auto"/>
              </w:rPr>
            </w:pPr>
          </w:p>
        </w:tc>
        <w:tc>
          <w:tcPr>
            <w:tcW w:w="1520" w:type="dxa"/>
            <w:vAlign w:val="bottom"/>
            <w:gridSpan w:val="5"/>
          </w:tcPr>
          <w:p>
            <w:pPr>
              <w:spacing w:after="0"/>
              <w:rPr>
                <w:sz w:val="24"/>
                <w:szCs w:val="24"/>
                <w:color w:val="auto"/>
              </w:rPr>
            </w:pPr>
          </w:p>
        </w:tc>
        <w:tc>
          <w:tcPr>
            <w:tcW w:w="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5"/>
              </w:rPr>
              <w:t>S-1</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333-206849</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2017 Equity Incentive Plan and forms of award agreements</w:t>
              </w:r>
            </w:hyperlink>
          </w:p>
        </w:tc>
        <w:tc>
          <w:tcPr>
            <w:tcW w:w="1300" w:type="dxa"/>
            <w:vAlign w:val="bottom"/>
            <w:gridSpan w:val="4"/>
          </w:tcPr>
          <w:p>
            <w:pPr>
              <w:spacing w:after="0"/>
              <w:rPr>
                <w:sz w:val="24"/>
                <w:szCs w:val="24"/>
                <w:color w:val="auto"/>
              </w:rPr>
            </w:pPr>
          </w:p>
        </w:tc>
        <w:tc>
          <w:tcPr>
            <w:tcW w:w="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5"/>
              </w:rPr>
              <w:t>S-1</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333-206849</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9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2017 Employee Stock Purchase Plan and forms of award agreements</w:t>
              </w:r>
            </w:hyperlink>
          </w:p>
        </w:tc>
        <w:tc>
          <w:tcPr>
            <w:tcW w:w="620" w:type="dxa"/>
            <w:vAlign w:val="bottom"/>
          </w:tcPr>
          <w:p>
            <w:pPr>
              <w:spacing w:after="0"/>
              <w:rPr>
                <w:sz w:val="24"/>
                <w:szCs w:val="24"/>
                <w:color w:val="auto"/>
              </w:rPr>
            </w:pPr>
          </w:p>
        </w:tc>
        <w:tc>
          <w:tcPr>
            <w:tcW w:w="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5"/>
              </w:rPr>
              <w:t>S-1</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333-206849</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Opinion of Fenwick &amp; West LLP</w:t>
            </w:r>
          </w:p>
        </w:tc>
        <w:tc>
          <w:tcPr>
            <w:tcW w:w="318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Fenwick &amp; West LLP (contained in Exhibit 5.1)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KPMG, independent registered public accounting firm</w:t>
            </w:r>
          </w:p>
        </w:tc>
        <w:tc>
          <w:tcPr>
            <w:tcW w:w="82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Power of Attorney</w:t>
            </w:r>
          </w:p>
        </w:tc>
        <w:tc>
          <w:tcPr>
            <w:tcW w:w="424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44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9880" w:space="560"/>
            <w:col w:w="580"/>
          </w:cols>
          <w:pgMar w:left="320" w:top="1440" w:right="55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w:t>
      </w:r>
    </w:p>
    <w:p>
      <w:pPr>
        <w:spacing w:after="0" w:line="2" w:lineRule="exact"/>
        <w:rPr>
          <w:sz w:val="20"/>
          <w:szCs w:val="20"/>
          <w:color w:val="auto"/>
        </w:rPr>
      </w:pPr>
    </w:p>
    <w:p>
      <w:pPr>
        <w:ind w:right="700"/>
        <w:spacing w:after="0" w:line="233" w:lineRule="auto"/>
        <w:rPr>
          <w:sz w:val="20"/>
          <w:szCs w:val="20"/>
          <w:color w:val="auto"/>
        </w:rPr>
      </w:pPr>
      <w:r>
        <w:rPr>
          <w:rFonts w:ascii="Times New Roman" w:cs="Times New Roman" w:eastAsia="Times New Roman" w:hAnsi="Times New Roman"/>
          <w:sz w:val="18"/>
          <w:szCs w:val="18"/>
          <w:color w:val="auto"/>
        </w:rPr>
        <w:t>requirements for filing on Form S-8 and has duly caused this Registration Statement to be signed on its behalf by the undersigned, thereunto duly authorized, in the City of San Diego, State of California, on this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Faga</w:t>
      </w:r>
    </w:p>
    <w:p>
      <w:pPr>
        <w:spacing w:after="0" w:line="203" w:lineRule="auto"/>
        <w:rPr>
          <w:sz w:val="20"/>
          <w:szCs w:val="20"/>
          <w:color w:val="auto"/>
        </w:rPr>
      </w:pPr>
      <w:r>
        <w:rPr>
          <w:rFonts w:ascii="Times New Roman" w:cs="Times New Roman" w:eastAsia="Times New Roman" w:hAnsi="Times New Roman"/>
          <w:sz w:val="18"/>
          <w:szCs w:val="18"/>
          <w:color w:val="auto"/>
        </w:rPr>
        <w:t>Daniel Faga</w:t>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2"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7"/>
          <w:szCs w:val="17"/>
          <w:b w:val="1"/>
          <w:bCs w:val="1"/>
          <w:color w:val="auto"/>
        </w:rPr>
        <w:t>KNOW ALL PERSONS BY THESE PRESENTS</w:t>
      </w:r>
      <w:r>
        <w:rPr>
          <w:rFonts w:ascii="Times New Roman" w:cs="Times New Roman" w:eastAsia="Times New Roman" w:hAnsi="Times New Roman"/>
          <w:sz w:val="17"/>
          <w:szCs w:val="17"/>
          <w:color w:val="auto"/>
        </w:rPr>
        <w:t>, that the undersigned officers and directors of AnaptysBio, Inc., a Delaware corporation, do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constitute and appoint Daniel Faga, Dennis Mulroy and Eric Loumeau, and each of them, the lawful attorneys-in-fact and agents with full power</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thereof, and each of the undersigned hereby ratifies and confirms that all said attorneys and agents, or any one of them, shall do or cause to be done by virtue hereof.</w:t>
      </w:r>
    </w:p>
    <w:p>
      <w:pPr>
        <w:spacing w:after="0" w:line="18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behalf of the Registrant in the capacities and on the dates indicated.</w:t>
      </w:r>
    </w:p>
    <w:p>
      <w:pPr>
        <w:sectPr>
          <w:pgSz w:w="11900" w:h="16838" w:orient="portrait"/>
          <w:cols w:equalWidth="0" w:num="1">
            <w:col w:w="11180"/>
          </w:cols>
          <w:pgMar w:left="320" w:top="1400" w:right="399" w:bottom="1440" w:gutter="0" w:footer="0" w:header="0"/>
        </w:sectPr>
      </w:pPr>
    </w:p>
    <w:bookmarkStart w:id="5" w:name="page6"/>
    <w:bookmarkEnd w:id="5"/>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19685</wp:posOffset>
            </wp:positionV>
            <wp:extent cx="445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4620" w:space="720"/>
            <w:col w:w="4380"/>
          </w:cols>
          <w:pgMar w:left="1440" w:top="1440" w:right="739" w:bottom="1440" w:gutter="0" w:footer="0" w:header="0"/>
        </w:sectPr>
      </w:pPr>
    </w:p>
    <w:p>
      <w:pPr>
        <w:jc w:val="center"/>
        <w:ind w:right="136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Daniel Faga</w:t>
      </w:r>
    </w:p>
    <w:p>
      <w:pPr>
        <w:spacing w:after="0" w:line="11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Dennis Mulroy</w:t>
      </w:r>
    </w:p>
    <w:p>
      <w:pPr>
        <w:spacing w:after="0" w:line="144"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Dennis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Dennis Fenton Ph.D.</w:t>
      </w:r>
    </w:p>
    <w:p>
      <w:pPr>
        <w:spacing w:after="0" w:line="158"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Rita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251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Rita Jain, M.D</w:t>
      </w:r>
    </w:p>
    <w:p>
      <w:pPr>
        <w:spacing w:after="0" w:line="131"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Magda Marquet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Magda Marquet, Ph.D.</w:t>
      </w:r>
    </w:p>
    <w:p>
      <w:pPr>
        <w:spacing w:after="0" w:line="144"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Oleg Nodelman</w:t>
      </w:r>
    </w:p>
    <w:p>
      <w:pPr>
        <w:spacing w:after="0" w:line="131"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/s/John Orwin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2511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John Orwin</w:t>
      </w:r>
    </w:p>
    <w:p>
      <w:pPr>
        <w:spacing w:after="0" w:line="131"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Hollings Renton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Hollings Renton</w:t>
      </w:r>
    </w:p>
    <w:p>
      <w:pPr>
        <w:spacing w:after="0" w:line="144"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John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John Schmid</w:t>
      </w:r>
    </w:p>
    <w:p>
      <w:pPr>
        <w:spacing w:after="0" w:line="144"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/s/ J. Anthony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J. Anthony Ware, M.D.</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6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3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6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2024</w:t>
      </w:r>
    </w:p>
    <w:p>
      <w:pPr>
        <w:sectPr>
          <w:pgSz w:w="11900" w:h="16838" w:orient="portrait"/>
          <w:cols w:equalWidth="0" w:num="3">
            <w:col w:w="3080" w:space="720"/>
            <w:col w:w="4060" w:space="720"/>
            <w:col w:w="1140"/>
          </w:cols>
          <w:pgMar w:left="1440" w:top="1440" w:right="739" w:bottom="1440" w:gutter="0" w:footer="0" w:header="0"/>
          <w:type w:val="continuous"/>
        </w:sectPr>
      </w:pPr>
    </w:p>
    <w:bookmarkStart w:id="6" w:name="page7"/>
    <w:bookmarkEnd w:id="6"/>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19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2"/>
          <w:szCs w:val="22"/>
          <w:color w:val="auto"/>
        </w:rPr>
        <w:t>Calculation of Filing Fee Tables</w:t>
      </w:r>
    </w:p>
    <w:p>
      <w:pPr>
        <w:jc w:val="center"/>
        <w:ind w:left="640"/>
        <w:spacing w:after="0" w:line="204" w:lineRule="auto"/>
        <w:rPr>
          <w:sz w:val="20"/>
          <w:szCs w:val="20"/>
          <w:color w:val="auto"/>
        </w:rPr>
      </w:pPr>
      <w:r>
        <w:rPr>
          <w:rFonts w:ascii="Times New Roman" w:cs="Times New Roman" w:eastAsia="Times New Roman" w:hAnsi="Times New Roman"/>
          <w:sz w:val="22"/>
          <w:szCs w:val="22"/>
          <w:color w:val="auto"/>
        </w:rPr>
        <w:t>Form S-8</w:t>
      </w:r>
    </w:p>
    <w:p>
      <w:pPr>
        <w:spacing w:after="0" w:line="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(Form Type)</w:t>
      </w:r>
    </w:p>
    <w:p>
      <w:pPr>
        <w:spacing w:after="0" w:line="1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AnaptysBio, Inc.</w:t>
      </w:r>
    </w:p>
    <w:p>
      <w:pPr>
        <w:jc w:val="center"/>
        <w:ind w:left="640"/>
        <w:spacing w:after="0" w:line="209" w:lineRule="auto"/>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Newly Registered Securities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60" w:type="dxa"/>
            <w:vAlign w:val="bottom"/>
            <w:tcBorders>
              <w:top w:val="single" w:sz="8" w:color="auto"/>
              <w:left w:val="single" w:sz="8" w:color="auto"/>
              <w:right w:val="single" w:sz="8" w:color="auto"/>
            </w:tcBorders>
          </w:tcPr>
          <w:p>
            <w:pPr>
              <w:spacing w:after="0"/>
              <w:rPr>
                <w:sz w:val="21"/>
                <w:szCs w:val="21"/>
                <w:color w:val="auto"/>
              </w:rPr>
            </w:pPr>
          </w:p>
        </w:tc>
        <w:tc>
          <w:tcPr>
            <w:tcW w:w="250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Proposed</w:t>
            </w:r>
          </w:p>
        </w:tc>
        <w:tc>
          <w:tcPr>
            <w:tcW w:w="1500" w:type="dxa"/>
            <w:vAlign w:val="bottom"/>
            <w:tcBorders>
              <w:top w:val="single" w:sz="8" w:color="auto"/>
              <w:right w:val="single" w:sz="8" w:color="auto"/>
            </w:tcBorders>
          </w:tcPr>
          <w:p>
            <w:pPr>
              <w:spacing w:after="0"/>
              <w:rPr>
                <w:sz w:val="21"/>
                <w:szCs w:val="21"/>
                <w:color w:val="auto"/>
              </w:rPr>
            </w:pPr>
          </w:p>
        </w:tc>
        <w:tc>
          <w:tcPr>
            <w:tcW w:w="118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Security</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Security Class Title</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 Calculation Rule</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Maximum</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Maximum Aggregate</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Fee Rate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Amount of</w:t>
            </w:r>
          </w:p>
        </w:tc>
        <w:tc>
          <w:tcPr>
            <w:tcW w:w="0" w:type="dxa"/>
            <w:vAlign w:val="bottom"/>
          </w:tcPr>
          <w:p>
            <w:pPr>
              <w:spacing w:after="0"/>
              <w:rPr>
                <w:sz w:val="1"/>
                <w:szCs w:val="1"/>
                <w:color w:val="auto"/>
              </w:rPr>
            </w:pPr>
          </w:p>
        </w:tc>
      </w:tr>
      <w:tr>
        <w:trPr>
          <w:trHeight w:val="102"/>
        </w:trPr>
        <w:tc>
          <w:tcPr>
            <w:tcW w:w="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Type</w:t>
            </w:r>
          </w:p>
        </w:tc>
        <w:tc>
          <w:tcPr>
            <w:tcW w:w="25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203" w:lineRule="exact"/>
              <w:rPr>
                <w:sz w:val="20"/>
                <w:szCs w:val="20"/>
                <w:color w:val="auto"/>
              </w:rPr>
            </w:pPr>
            <w:r>
              <w:rPr>
                <w:rFonts w:ascii="Times New Roman" w:cs="Times New Roman" w:eastAsia="Times New Roman" w:hAnsi="Times New Roman"/>
                <w:sz w:val="16"/>
                <w:szCs w:val="16"/>
                <w:color w:val="auto"/>
                <w:w w:val="96"/>
              </w:rPr>
              <w:t xml:space="preserve">Registered </w:t>
            </w:r>
            <w:r>
              <w:rPr>
                <w:rFonts w:ascii="Times New Roman" w:cs="Times New Roman" w:eastAsia="Times New Roman" w:hAnsi="Times New Roman"/>
                <w:sz w:val="21"/>
                <w:szCs w:val="21"/>
                <w:color w:val="auto"/>
                <w:w w:val="96"/>
                <w:vertAlign w:val="superscript"/>
              </w:rPr>
              <w:t>(1)</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Offering Price</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Offering Price</w:t>
            </w:r>
          </w:p>
        </w:tc>
        <w:tc>
          <w:tcPr>
            <w:tcW w:w="118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Registration Fee</w:t>
            </w:r>
          </w:p>
        </w:tc>
        <w:tc>
          <w:tcPr>
            <w:tcW w:w="0" w:type="dxa"/>
            <w:vAlign w:val="bottom"/>
          </w:tcPr>
          <w:p>
            <w:pPr>
              <w:spacing w:after="0"/>
              <w:rPr>
                <w:sz w:val="1"/>
                <w:szCs w:val="1"/>
                <w:color w:val="auto"/>
              </w:rPr>
            </w:pPr>
          </w:p>
        </w:tc>
      </w:tr>
      <w:tr>
        <w:trPr>
          <w:trHeight w:val="100"/>
        </w:trPr>
        <w:tc>
          <w:tcPr>
            <w:tcW w:w="860" w:type="dxa"/>
            <w:vAlign w:val="bottom"/>
            <w:tcBorders>
              <w:left w:val="single" w:sz="8" w:color="auto"/>
              <w:right w:val="single" w:sz="8" w:color="auto"/>
            </w:tcBorders>
            <w:vMerge w:val="continue"/>
          </w:tcPr>
          <w:p>
            <w:pPr>
              <w:spacing w:after="0"/>
              <w:rPr>
                <w:sz w:val="8"/>
                <w:szCs w:val="8"/>
                <w:color w:val="auto"/>
              </w:rPr>
            </w:pPr>
          </w:p>
        </w:tc>
        <w:tc>
          <w:tcPr>
            <w:tcW w:w="250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Per Unit</w:t>
            </w:r>
          </w:p>
        </w:tc>
        <w:tc>
          <w:tcPr>
            <w:tcW w:w="15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457(c) and Rule</w:t>
            </w:r>
          </w:p>
        </w:tc>
        <w:tc>
          <w:tcPr>
            <w:tcW w:w="1300" w:type="dxa"/>
            <w:vAlign w:val="bottom"/>
            <w:tcBorders>
              <w:right w:val="single" w:sz="8" w:color="auto"/>
            </w:tcBorders>
          </w:tcPr>
          <w:p>
            <w:pPr>
              <w:jc w:val="center"/>
              <w:ind w:right="159"/>
              <w:spacing w:after="0" w:line="216" w:lineRule="exact"/>
              <w:rPr>
                <w:sz w:val="20"/>
                <w:szCs w:val="20"/>
                <w:color w:val="auto"/>
              </w:rPr>
            </w:pPr>
            <w:r>
              <w:rPr>
                <w:rFonts w:ascii="Times New Roman" w:cs="Times New Roman" w:eastAsia="Times New Roman" w:hAnsi="Times New Roman"/>
                <w:sz w:val="16"/>
                <w:szCs w:val="16"/>
                <w:color w:val="auto"/>
              </w:rPr>
              <w:t xml:space="preserve">1,063,871 </w:t>
            </w:r>
            <w:r>
              <w:rPr>
                <w:rFonts w:ascii="Times New Roman" w:cs="Times New Roman" w:eastAsia="Times New Roman" w:hAnsi="Times New Roman"/>
                <w:sz w:val="21"/>
                <w:szCs w:val="21"/>
                <w:color w:val="auto"/>
                <w:vertAlign w:val="superscript"/>
              </w:rPr>
              <w:t>(2)</w:t>
            </w:r>
          </w:p>
        </w:tc>
        <w:tc>
          <w:tcPr>
            <w:tcW w:w="1120" w:type="dxa"/>
            <w:vAlign w:val="bottom"/>
            <w:tcBorders>
              <w:right w:val="single" w:sz="8" w:color="auto"/>
            </w:tcBorders>
          </w:tcPr>
          <w:p>
            <w:pPr>
              <w:jc w:val="center"/>
              <w:ind w:right="199"/>
              <w:spacing w:after="0" w:line="216" w:lineRule="exact"/>
              <w:rPr>
                <w:sz w:val="20"/>
                <w:szCs w:val="20"/>
                <w:color w:val="auto"/>
              </w:rPr>
            </w:pPr>
            <w:r>
              <w:rPr>
                <w:rFonts w:ascii="Times New Roman" w:cs="Times New Roman" w:eastAsia="Times New Roman" w:hAnsi="Times New Roman"/>
                <w:sz w:val="16"/>
                <w:szCs w:val="16"/>
                <w:color w:val="auto"/>
              </w:rPr>
              <w:t>$25.92</w:t>
            </w:r>
            <w:r>
              <w:rPr>
                <w:rFonts w:ascii="Times New Roman" w:cs="Times New Roman" w:eastAsia="Times New Roman" w:hAnsi="Times New Roman"/>
                <w:sz w:val="21"/>
                <w:szCs w:val="21"/>
                <w:color w:val="auto"/>
                <w:vertAlign w:val="superscript"/>
              </w:rPr>
              <w:t>(3)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$27,575,536.32</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0.00014760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$4,070.15</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 reserved for issuance pursuant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457(h)</w:t>
            </w:r>
          </w:p>
        </w:tc>
        <w:tc>
          <w:tcPr>
            <w:tcW w:w="13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the 2017 Equity Incentive Plan</w:t>
            </w:r>
          </w:p>
        </w:tc>
        <w:tc>
          <w:tcPr>
            <w:tcW w:w="15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457(c) and Rule</w:t>
            </w:r>
          </w:p>
        </w:tc>
        <w:tc>
          <w:tcPr>
            <w:tcW w:w="1300" w:type="dxa"/>
            <w:vAlign w:val="bottom"/>
            <w:tcBorders>
              <w:right w:val="single" w:sz="8" w:color="auto"/>
            </w:tcBorders>
          </w:tcPr>
          <w:p>
            <w:pPr>
              <w:jc w:val="center"/>
              <w:ind w:right="219"/>
              <w:spacing w:after="0" w:line="216" w:lineRule="exact"/>
              <w:rPr>
                <w:sz w:val="20"/>
                <w:szCs w:val="20"/>
                <w:color w:val="auto"/>
              </w:rPr>
            </w:pPr>
            <w:r>
              <w:rPr>
                <w:rFonts w:ascii="Times New Roman" w:cs="Times New Roman" w:eastAsia="Times New Roman" w:hAnsi="Times New Roman"/>
                <w:sz w:val="16"/>
                <w:szCs w:val="16"/>
                <w:color w:val="auto"/>
              </w:rPr>
              <w:t xml:space="preserve">265,967 </w:t>
            </w:r>
            <w:r>
              <w:rPr>
                <w:rFonts w:ascii="Times New Roman" w:cs="Times New Roman" w:eastAsia="Times New Roman" w:hAnsi="Times New Roman"/>
                <w:sz w:val="21"/>
                <w:szCs w:val="21"/>
                <w:color w:val="auto"/>
                <w:vertAlign w:val="superscript"/>
              </w:rPr>
              <w:t>(4)</w:t>
            </w:r>
          </w:p>
        </w:tc>
        <w:tc>
          <w:tcPr>
            <w:tcW w:w="1120" w:type="dxa"/>
            <w:vAlign w:val="bottom"/>
            <w:tcBorders>
              <w:right w:val="single" w:sz="8" w:color="auto"/>
            </w:tcBorders>
          </w:tcPr>
          <w:p>
            <w:pPr>
              <w:jc w:val="center"/>
              <w:ind w:right="179"/>
              <w:spacing w:after="0" w:line="216" w:lineRule="exact"/>
              <w:rPr>
                <w:sz w:val="20"/>
                <w:szCs w:val="20"/>
                <w:color w:val="auto"/>
              </w:rPr>
            </w:pPr>
            <w:r>
              <w:rPr>
                <w:rFonts w:ascii="Times New Roman" w:cs="Times New Roman" w:eastAsia="Times New Roman" w:hAnsi="Times New Roman"/>
                <w:sz w:val="16"/>
                <w:szCs w:val="16"/>
                <w:color w:val="auto"/>
              </w:rPr>
              <w:t xml:space="preserve">$22.04 </w:t>
            </w:r>
            <w:r>
              <w:rPr>
                <w:rFonts w:ascii="Times New Roman" w:cs="Times New Roman" w:eastAsia="Times New Roman" w:hAnsi="Times New Roman"/>
                <w:sz w:val="21"/>
                <w:szCs w:val="21"/>
                <w:color w:val="auto"/>
                <w:vertAlign w:val="superscript"/>
              </w:rPr>
              <w:t>(5)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$5,861,912.68</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0.00014760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$865.22</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 reserved for issuance pursuant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457(h)</w:t>
            </w:r>
          </w:p>
        </w:tc>
        <w:tc>
          <w:tcPr>
            <w:tcW w:w="13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to the 2017 Equity Stock Purchase</w:t>
            </w:r>
          </w:p>
        </w:tc>
        <w:tc>
          <w:tcPr>
            <w:tcW w:w="15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Plan</w:t>
            </w:r>
          </w:p>
        </w:tc>
        <w:tc>
          <w:tcPr>
            <w:tcW w:w="15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tcBorders>
          </w:tcPr>
          <w:p>
            <w:pPr>
              <w:spacing w:after="0"/>
              <w:rPr>
                <w:sz w:val="19"/>
                <w:szCs w:val="19"/>
                <w:color w:val="auto"/>
              </w:rPr>
            </w:pPr>
          </w:p>
        </w:tc>
        <w:tc>
          <w:tcPr>
            <w:tcW w:w="408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3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$33,437,449.00</w:t>
            </w:r>
          </w:p>
        </w:tc>
        <w:tc>
          <w:tcPr>
            <w:tcW w:w="118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$4,935.37</w:t>
            </w: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60" w:type="dxa"/>
            <w:vAlign w:val="bottom"/>
            <w:tcBorders>
              <w:left w:val="single" w:sz="8" w:color="auto"/>
            </w:tcBorders>
          </w:tcPr>
          <w:p>
            <w:pPr>
              <w:spacing w:after="0"/>
              <w:rPr>
                <w:sz w:val="19"/>
                <w:szCs w:val="19"/>
                <w:color w:val="auto"/>
              </w:rPr>
            </w:pPr>
          </w:p>
        </w:tc>
        <w:tc>
          <w:tcPr>
            <w:tcW w:w="408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9"/>
              </w:rPr>
              <w:t>Total Fee Offsets</w:t>
            </w:r>
          </w:p>
        </w:tc>
        <w:tc>
          <w:tcPr>
            <w:tcW w:w="13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tcBorders>
          </w:tcPr>
          <w:p>
            <w:pPr>
              <w:spacing w:after="0"/>
              <w:rPr>
                <w:sz w:val="19"/>
                <w:szCs w:val="19"/>
                <w:color w:val="auto"/>
              </w:rPr>
            </w:pPr>
          </w:p>
        </w:tc>
        <w:tc>
          <w:tcPr>
            <w:tcW w:w="408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3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$4,935.37</w:t>
            </w: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40" w:right="220" w:hanging="332"/>
        <w:spacing w:after="0"/>
        <w:tabs>
          <w:tab w:leader="none" w:pos="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under the Securities Act of 1933, as amended (the “Securities Act”), this Registration Statement shall also cover any additional shares of the Registrant’s Common Stock that becomes issuable under the Registrant’s 2017 Equity Incentive Plan (the “2017 EIP”) and 2017 Employee Stock Purchase Plan (the “2017 ESPP”) by reason of any stock dividend, stock split, recapitalization or other similar transaction effected without the receipt of consideration that increases the number of the Registrant’s outstanding shares of Common Stock.</w:t>
      </w:r>
    </w:p>
    <w:p>
      <w:pPr>
        <w:spacing w:after="0" w:line="13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additional shares reserved for issuance under the 2017 EIP as of the date of this Registration Statement.</w:t>
      </w:r>
    </w:p>
    <w:p>
      <w:pPr>
        <w:spacing w:after="0" w:line="41" w:lineRule="exact"/>
        <w:rPr>
          <w:rFonts w:ascii="Times New Roman" w:cs="Times New Roman" w:eastAsia="Times New Roman" w:hAnsi="Times New Roman"/>
          <w:sz w:val="14"/>
          <w:szCs w:val="14"/>
          <w:color w:val="auto"/>
        </w:rPr>
      </w:pPr>
    </w:p>
    <w:p>
      <w:pPr>
        <w:ind w:left="340" w:right="40" w:hanging="332"/>
        <w:spacing w:after="0" w:line="251" w:lineRule="auto"/>
        <w:tabs>
          <w:tab w:leader="none" w:pos="22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solely for the purposes of this offering under Rules 457(c) and (h) of the Securities Act on the basis of the average of the high and low prices of the Registrant’s Common Stock as reported on the Nasdaq Global Select Market on March 4, 2024.</w:t>
      </w:r>
    </w:p>
    <w:p>
      <w:pPr>
        <w:ind w:left="220" w:hanging="212"/>
        <w:spacing w:after="0"/>
        <w:tabs>
          <w:tab w:leader="none" w:pos="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additional shares reserved for issuance under the 2017 ESPP as of the date of this Registration Statement.</w:t>
      </w:r>
    </w:p>
    <w:p>
      <w:pPr>
        <w:spacing w:after="0" w:line="82" w:lineRule="exact"/>
        <w:rPr>
          <w:rFonts w:ascii="Times New Roman" w:cs="Times New Roman" w:eastAsia="Times New Roman" w:hAnsi="Times New Roman"/>
          <w:sz w:val="14"/>
          <w:szCs w:val="14"/>
          <w:color w:val="auto"/>
        </w:rPr>
      </w:pPr>
    </w:p>
    <w:p>
      <w:pPr>
        <w:ind w:left="340" w:right="20" w:hanging="332"/>
        <w:spacing w:after="0" w:line="234" w:lineRule="auto"/>
        <w:tabs>
          <w:tab w:leader="none" w:pos="22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solely for the purposes of this offering under Rules 457(c) and (h) of the Securities Act on the basis of the average of the high and low prices of the Registrant’s Common Stock as reported on the Nasdaq Global Select Market on March 4, 2024. In the case of the 2017 Employee Stock Purchase Plan, this price per share is multiplied by 85%, which is the percentage of the price per share applicable to purchases under the 2017 ESPP.</w:t>
      </w:r>
    </w:p>
    <w:p>
      <w:pPr>
        <w:sectPr>
          <w:pgSz w:w="11900" w:h="16838" w:orient="portrait"/>
          <w:cols w:equalWidth="0" w:num="1">
            <w:col w:w="11260"/>
          </w:cols>
          <w:pgMar w:left="320" w:top="1400"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131445</wp:posOffset>
            </wp:positionV>
            <wp:extent cx="6471920" cy="746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4719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11,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04" w:lineRule="auto"/>
        <w:rPr>
          <w:sz w:val="20"/>
          <w:szCs w:val="20"/>
          <w:color w:val="auto"/>
        </w:rPr>
      </w:pPr>
      <w:r>
        <w:rPr>
          <w:rFonts w:ascii="Times New Roman" w:cs="Times New Roman" w:eastAsia="Times New Roman" w:hAnsi="Times New Roman"/>
          <w:sz w:val="22"/>
          <w:szCs w:val="22"/>
          <w:color w:val="auto"/>
        </w:rPr>
        <w:t>10770 Wateridge Circle, Suite 210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 92121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Registration Statement on Form S-8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As counsel to AnaptysBio,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we have examined the Registration Statement on Form S-8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to be filed by the Company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on or about March 11, 2024 in connection with the registration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of an aggregate of 1,329,838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Company’s Common Stock, $0.001 par value per share, that consists of (a) 1,063,871 Shares that are subject to issuance by the Company upon the exercise or settlement of awards to be granted under the 2017 Equity Incentive Plan (the “</w:t>
      </w:r>
      <w:r>
        <w:rPr>
          <w:rFonts w:ascii="Times New Roman" w:cs="Times New Roman" w:eastAsia="Times New Roman" w:hAnsi="Times New Roman"/>
          <w:sz w:val="22"/>
          <w:szCs w:val="22"/>
          <w:b w:val="1"/>
          <w:bCs w:val="1"/>
          <w:i w:val="1"/>
          <w:iCs w:val="1"/>
          <w:color w:val="auto"/>
        </w:rPr>
        <w:t>2017 EIP</w:t>
      </w:r>
      <w:r>
        <w:rPr>
          <w:rFonts w:ascii="Times New Roman" w:cs="Times New Roman" w:eastAsia="Times New Roman" w:hAnsi="Times New Roman"/>
          <w:sz w:val="22"/>
          <w:szCs w:val="22"/>
          <w:color w:val="auto"/>
        </w:rPr>
        <w:t>”) and (b) 265,967 Shares that are subject to issuance by the Company pursuant to purchase rights to be granted under the 2017 Employee Stock Purchase Plan (the “</w:t>
      </w:r>
      <w:r>
        <w:rPr>
          <w:rFonts w:ascii="Times New Roman" w:cs="Times New Roman" w:eastAsia="Times New Roman" w:hAnsi="Times New Roman"/>
          <w:sz w:val="22"/>
          <w:szCs w:val="22"/>
          <w:b w:val="1"/>
          <w:bCs w:val="1"/>
          <w:i w:val="1"/>
          <w:iCs w:val="1"/>
          <w:color w:val="auto"/>
        </w:rPr>
        <w:t>2017 ESPP</w:t>
      </w:r>
      <w:r>
        <w:rPr>
          <w:rFonts w:ascii="Times New Roman" w:cs="Times New Roman" w:eastAsia="Times New Roman" w:hAnsi="Times New Roman"/>
          <w:sz w:val="22"/>
          <w:szCs w:val="22"/>
          <w:color w:val="auto"/>
        </w:rPr>
        <w:t>” and, together with the 2017 EIP, the “</w:t>
      </w:r>
      <w:r>
        <w:rPr>
          <w:rFonts w:ascii="Times New Roman" w:cs="Times New Roman" w:eastAsia="Times New Roman" w:hAnsi="Times New Roman"/>
          <w:sz w:val="22"/>
          <w:szCs w:val="22"/>
          <w:b w:val="1"/>
          <w:bCs w:val="1"/>
          <w:i w:val="1"/>
          <w:iCs w:val="1"/>
          <w:color w:val="auto"/>
        </w:rPr>
        <w:t>Plans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22"/>
          <w:szCs w:val="22"/>
          <w:b w:val="1"/>
          <w:bCs w:val="1"/>
          <w:i w:val="1"/>
          <w:iCs w:val="1"/>
          <w:color w:val="auto"/>
        </w:rPr>
        <w:t>EDGAR</w:t>
      </w:r>
      <w:r>
        <w:rPr>
          <w:rFonts w:ascii="Times New Roman" w:cs="Times New Roman" w:eastAsia="Times New Roman" w:hAnsi="Times New Roman"/>
          <w:sz w:val="22"/>
          <w:szCs w:val="22"/>
          <w:color w:val="auto"/>
        </w:rPr>
        <w:t>”), except for required EDGAR formatting changes, to physical copies submitted for our examination.</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opinions in this letter are limited to the existing General Corporation Law of the State of Delaware now in effect. We express no opinion with respect to any other laws.</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Based upon, and subject to, the foregoing, it is our opinion that the Shares, when issued and sold by the Company in accordance with the terms (including, without limitation, payment and authorization provisions) of the applicable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FENWICK &amp; WEST LLP</w:t>
      </w:r>
    </w:p>
    <w:p>
      <w:pPr>
        <w:ind w:left="3900"/>
        <w:spacing w:after="0"/>
        <w:rPr>
          <w:sz w:val="20"/>
          <w:szCs w:val="20"/>
          <w:color w:val="auto"/>
        </w:rPr>
      </w:pPr>
      <w:r>
        <w:rPr>
          <w:rFonts w:ascii="Times New Roman" w:cs="Times New Roman" w:eastAsia="Times New Roman" w:hAnsi="Times New Roman"/>
          <w:sz w:val="22"/>
          <w:szCs w:val="22"/>
          <w:color w:val="auto"/>
        </w:rPr>
        <w:t>FENWICK &amp; WEST LLP</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11, 2024, with respect to the consolidated financial statements of AnaptysBio, Inc., incorporated herein by reference.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eg"/><Relationship Id="rId13" Type="http://schemas.openxmlformats.org/officeDocument/2006/relationships/hyperlink" Target="https://www.sec.gov/Archives/edgar/data/1370053/000137005323000049/anaptysbioinc-derestated.htm" TargetMode="External"/><Relationship Id="rId14" Type="http://schemas.openxmlformats.org/officeDocument/2006/relationships/hyperlink" Target="https://www.sec.gov/Archives/edgar/data/1370053/000137005323000013/anaptysbio-secondamended.htm" TargetMode="External"/><Relationship Id="rId15" Type="http://schemas.openxmlformats.org/officeDocument/2006/relationships/hyperlink" Target="http://www.sec.gov/Archives/edgar/data/1370053/000119312515412604/d942137dex41.htm" TargetMode="External"/><Relationship Id="rId16" Type="http://schemas.openxmlformats.org/officeDocument/2006/relationships/hyperlink" Target="http://www.sec.gov/Archives/edgar/data/1370053/000119312517010405/d320192dex103.htm" TargetMode="External"/><Relationship Id="rId17" Type="http://schemas.openxmlformats.org/officeDocument/2006/relationships/hyperlink" Target="http://www.sec.gov/Archives/edgar/data/1370053/000119312517010405/d320192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2024-03-11T15:47:02Z</dcterms:created>
  <dcterms:modified xsi:type="dcterms:W3CDTF">2024-03-11T15:47:02Z</dcterms:modified>
</cp:coreProperties>
</file>