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2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ANAPTYSBIO,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2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02/23/2021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bottom w:val="single" w:sz="8" w:color="2C2C2C"/>
            </w:tcBorders>
            <w:gridSpan w:val="3"/>
          </w:tcPr>
          <w:p>
            <w:pPr>
              <w:spacing w:after="0"/>
              <w:rPr>
                <w:sz w:val="12"/>
                <w:szCs w:val="12"/>
                <w:color w:val="auto"/>
              </w:rPr>
            </w:pPr>
          </w:p>
        </w:tc>
        <w:tc>
          <w:tcPr>
            <w:tcW w:w="2080" w:type="dxa"/>
            <w:vAlign w:val="bottom"/>
            <w:tcBorders>
              <w:bottom w:val="single" w:sz="8" w:color="2C2C2C"/>
            </w:tcBorders>
            <w:gridSpan w:val="4"/>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40" w:type="dxa"/>
            <w:vAlign w:val="bottom"/>
            <w:gridSpan w:val="4"/>
            <w:vMerge w:val="restart"/>
          </w:tcPr>
          <w:p>
            <w:pPr>
              <w:jc w:val="right"/>
              <w:ind w:right="157"/>
              <w:spacing w:after="0"/>
              <w:rPr>
                <w:sz w:val="20"/>
                <w:szCs w:val="20"/>
                <w:color w:val="auto"/>
              </w:rPr>
            </w:pPr>
            <w:r>
              <w:rPr>
                <w:rFonts w:ascii="Arial" w:cs="Arial" w:eastAsia="Arial" w:hAnsi="Arial"/>
                <w:sz w:val="17"/>
                <w:szCs w:val="17"/>
                <w:color w:val="0000FF"/>
              </w:rPr>
              <w:t>02/23/2021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60"/>
              <w:spacing w:after="0"/>
              <w:rPr>
                <w:sz w:val="20"/>
                <w:szCs w:val="20"/>
                <w:color w:val="auto"/>
              </w:rPr>
            </w:pPr>
            <w:r>
              <w:rPr>
                <w:rFonts w:ascii="Arial" w:cs="Arial" w:eastAsia="Arial" w:hAnsi="Arial"/>
                <w:sz w:val="17"/>
                <w:szCs w:val="17"/>
                <w:color w:val="0000FF"/>
              </w:rPr>
              <w:t>29,500</w:t>
            </w:r>
            <w:r>
              <w:rPr>
                <w:rFonts w:ascii="Arial" w:cs="Arial" w:eastAsia="Arial" w:hAnsi="Arial"/>
                <w:sz w:val="22"/>
                <w:szCs w:val="22"/>
                <w:color w:val="008000"/>
                <w:vertAlign w:val="superscript"/>
              </w:rPr>
              <w:t>(2)</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25.4799</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3,842,824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7"/>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7"/>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6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persons (the "Filers" are EcoR1 Capital, LLC ("EcoR1"), Oleg Nodelman and EcoR1 Capital Fund Qualified, L.P. ("Qualified Fund"). EcoR1 is the investment adviser and general partner of private funds, including Qualified Fund (collectively, the "Funds"). Mr. Nodelman is the manager and controlling owner of EcoR1. EcoR1 is filing this Form 4 for itself, Mr. Nodelman and Qualified Fund.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indirectly beneficially owns them as the investment adviser to the Funds, and Mr. Nodelman indirectly beneficially owns them as the control person of EcoR1. The Filers disclaim beneficial ownership of such securities except to the extent of their pecuniary interest therein.</w:t>
      </w:r>
    </w:p>
    <w:p>
      <w:pPr>
        <w:spacing w:after="0" w:line="15"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13,862 shares of the Common Stock purchased in this transaction. After this transaction, Qualified Fund owned 3,226,206 shares of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Oleg Nodelman, Manager of</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02/25/2021</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EcoR1 Capital, LLC</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114"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2021-02-25T17:04:16Z</dcterms:created>
  <dcterms:modified xsi:type="dcterms:W3CDTF">2021-02-25T17:04:16Z</dcterms:modified>
</cp:coreProperties>
</file>