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ind w:left="4360"/>
        <w:spacing w:after="0"/>
        <w:rPr>
          <w:sz w:val="20"/>
          <w:szCs w:val="20"/>
          <w:color w:val="auto"/>
        </w:rPr>
      </w:pPr>
      <w:r>
        <w:rPr>
          <w:rFonts w:ascii="Arial" w:cs="Arial" w:eastAsia="Arial" w:hAnsi="Arial"/>
          <w:sz w:val="20"/>
          <w:szCs w:val="20"/>
          <w:b w:val="1"/>
          <w:bCs w:val="1"/>
          <w:color w:val="auto"/>
        </w:rPr>
        <w:t>Date of Report: June 19, 2020</w:t>
      </w:r>
    </w:p>
    <w:p>
      <w:pPr>
        <w:spacing w:after="0" w:line="22" w:lineRule="exact"/>
        <w:rPr>
          <w:sz w:val="24"/>
          <w:szCs w:val="24"/>
          <w:color w:val="auto"/>
        </w:rPr>
      </w:pPr>
    </w:p>
    <w:p>
      <w:pPr>
        <w:ind w:left="4360"/>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26"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jc w:val="center"/>
        <w:ind w:right="200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105" w:lineRule="exact"/>
        <w:rPr>
          <w:sz w:val="24"/>
          <w:szCs w:val="24"/>
          <w:color w:val="auto"/>
        </w:rPr>
      </w:pPr>
    </w:p>
    <w:p>
      <w:pPr>
        <w:sectPr>
          <w:pgSz w:w="11900" w:h="16838" w:orient="portrait"/>
          <w:cols w:equalWidth="0" w:num="3">
            <w:col w:w="4520" w:space="720"/>
            <w:col w:w="2860" w:space="720"/>
            <w:col w:w="2420"/>
          </w:cols>
          <w:pgMar w:left="320" w:top="1440" w:right="339" w:bottom="1440" w:gutter="0" w:footer="0" w:header="0"/>
          <w:type w:val="continuous"/>
        </w:sectPr>
      </w:pPr>
    </w:p>
    <w:p>
      <w:pPr>
        <w:ind w:left="20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60" w:space="720"/>
            <w:col w:w="2640" w:space="720"/>
            <w:col w:w="3300"/>
          </w:cols>
          <w:pgMar w:left="320" w:top="1440" w:right="339" w:bottom="1440" w:gutter="0" w:footer="0" w:header="0"/>
          <w:type w:val="continuous"/>
        </w:sectPr>
      </w:pP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68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400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20" w:type="dxa"/>
            <w:vAlign w:val="bottom"/>
            <w:tcBorders>
              <w:bottom w:val="single" w:sz="8" w:color="auto"/>
              <w:right w:val="single" w:sz="8" w:color="auto"/>
            </w:tcBorders>
          </w:tcPr>
          <w:p>
            <w:pPr>
              <w:spacing w:after="0"/>
              <w:rPr>
                <w:sz w:val="3"/>
                <w:szCs w:val="3"/>
                <w:color w:val="auto"/>
              </w:rPr>
            </w:pPr>
          </w:p>
        </w:tc>
      </w:tr>
      <w:tr>
        <w:trPr>
          <w:trHeight w:val="224"/>
        </w:trPr>
        <w:tc>
          <w:tcPr>
            <w:tcW w:w="4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40"/>
        </w:trPr>
        <w:tc>
          <w:tcPr>
            <w:tcW w:w="400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20" w:type="dxa"/>
            <w:vAlign w:val="bottom"/>
            <w:tcBorders>
              <w:bottom w:val="single" w:sz="8" w:color="auto"/>
              <w:right w:val="single" w:sz="8" w:color="auto"/>
            </w:tcBorders>
          </w:tcPr>
          <w:p>
            <w:pPr>
              <w:spacing w:after="0"/>
              <w:rPr>
                <w:sz w:val="3"/>
                <w:szCs w:val="3"/>
                <w:color w:val="auto"/>
              </w:rPr>
            </w:pP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5.07. Submission of Matters to a Vote of Security Holders.</w:t>
      </w:r>
    </w:p>
    <w:p>
      <w:pPr>
        <w:spacing w:after="0" w:line="87"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On June 19, 2020, AnaptysBio, Inc. (the “Company”) held its 2020 Annual Meeting of Stockholders and the following proposals were adopted:</w:t>
      </w:r>
    </w:p>
    <w:p>
      <w:pPr>
        <w:spacing w:after="0" w:line="204" w:lineRule="exact"/>
        <w:rPr>
          <w:sz w:val="20"/>
          <w:szCs w:val="20"/>
          <w:color w:val="auto"/>
        </w:rPr>
      </w:pPr>
    </w:p>
    <w:p>
      <w:pPr>
        <w:ind w:left="660" w:right="20" w:hanging="328"/>
        <w:spacing w:after="0" w:line="250" w:lineRule="auto"/>
        <w:tabs>
          <w:tab w:leader="none" w:pos="660" w:val="left"/>
        </w:tabs>
        <w:numPr>
          <w:ilvl w:val="0"/>
          <w:numId w:val="1"/>
        </w:numPr>
        <w:rPr>
          <w:rFonts w:ascii="Arial" w:cs="Arial" w:eastAsia="Arial" w:hAnsi="Arial"/>
          <w:sz w:val="20"/>
          <w:szCs w:val="20"/>
          <w:color w:val="auto"/>
        </w:rPr>
      </w:pPr>
      <w:r>
        <w:rPr>
          <w:rFonts w:ascii="Arial" w:cs="Arial" w:eastAsia="Arial" w:hAnsi="Arial"/>
          <w:sz w:val="20"/>
          <w:szCs w:val="20"/>
          <w:color w:val="auto"/>
        </w:rPr>
        <w:t>Election of two Class III directors, Hollings Renton, M.B.A. and John P. Schmid, M.B.A., each to serve a three-year term, which will expire at the 2023 Annual Meeting of Stockholders or until such time as their respective successors have been duly elected and qualified:</w:t>
      </w: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w:t>
            </w:r>
          </w:p>
        </w:tc>
        <w:tc>
          <w:tcPr>
            <w:tcW w:w="2120" w:type="dxa"/>
            <w:vAlign w:val="bottom"/>
          </w:tcPr>
          <w:p>
            <w:pPr>
              <w:spacing w:after="0"/>
              <w:rPr>
                <w:sz w:val="18"/>
                <w:szCs w:val="18"/>
                <w:color w:val="auto"/>
              </w:rPr>
            </w:pPr>
          </w:p>
        </w:tc>
      </w:tr>
      <w:tr>
        <w:trPr>
          <w:trHeight w:val="234"/>
        </w:trPr>
        <w:tc>
          <w:tcPr>
            <w:tcW w:w="2800" w:type="dxa"/>
            <w:vAlign w:val="bottom"/>
            <w:gridSpan w:val="2"/>
          </w:tcPr>
          <w:p>
            <w:pPr>
              <w:ind w:left="20"/>
              <w:spacing w:after="0"/>
              <w:rPr>
                <w:sz w:val="20"/>
                <w:szCs w:val="20"/>
                <w:color w:val="auto"/>
              </w:rPr>
            </w:pPr>
            <w:r>
              <w:rPr>
                <w:rFonts w:ascii="Arial" w:cs="Arial" w:eastAsia="Arial" w:hAnsi="Arial"/>
                <w:sz w:val="18"/>
                <w:szCs w:val="18"/>
                <w:b w:val="1"/>
                <w:bCs w:val="1"/>
                <w:color w:val="auto"/>
              </w:rPr>
              <w:t>Nominees</w:t>
            </w:r>
          </w:p>
        </w:tc>
        <w:tc>
          <w:tcPr>
            <w:tcW w:w="21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 For</w:t>
            </w:r>
          </w:p>
        </w:tc>
        <w:tc>
          <w:tcPr>
            <w:tcW w:w="2180" w:type="dxa"/>
            <w:vAlign w:val="bottom"/>
            <w:gridSpan w:val="2"/>
          </w:tcPr>
          <w:p>
            <w:pPr>
              <w:ind w:left="20"/>
              <w:spacing w:after="0"/>
              <w:rPr>
                <w:sz w:val="20"/>
                <w:szCs w:val="20"/>
                <w:color w:val="auto"/>
              </w:rPr>
            </w:pPr>
            <w:r>
              <w:rPr>
                <w:rFonts w:ascii="Arial" w:cs="Arial" w:eastAsia="Arial" w:hAnsi="Arial"/>
                <w:sz w:val="18"/>
                <w:szCs w:val="18"/>
                <w:b w:val="1"/>
                <w:bCs w:val="1"/>
                <w:color w:val="auto"/>
              </w:rPr>
              <w:t>Withheld/Abstaining</w:t>
            </w:r>
          </w:p>
        </w:tc>
        <w:tc>
          <w:tcPr>
            <w:tcW w:w="2120" w:type="dxa"/>
            <w:vAlign w:val="bottom"/>
          </w:tcPr>
          <w:p>
            <w:pPr>
              <w:jc w:val="right"/>
              <w:ind w:right="630"/>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2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264"/>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Hollings Renton, M.B.A.</w:t>
            </w: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18,222,374</w:t>
            </w:r>
          </w:p>
        </w:tc>
        <w:tc>
          <w:tcPr>
            <w:tcW w:w="120" w:type="dxa"/>
            <w:vAlign w:val="bottom"/>
            <w:shd w:val="clear" w:color="auto" w:fill="CCEEFF"/>
          </w:tcPr>
          <w:p>
            <w:pPr>
              <w:spacing w:after="0"/>
              <w:rPr>
                <w:sz w:val="22"/>
                <w:szCs w:val="22"/>
                <w:color w:val="auto"/>
              </w:rPr>
            </w:pPr>
          </w:p>
        </w:tc>
        <w:tc>
          <w:tcPr>
            <w:tcW w:w="2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2,794,237</w:t>
            </w:r>
          </w:p>
        </w:tc>
        <w:tc>
          <w:tcPr>
            <w:tcW w:w="100" w:type="dxa"/>
            <w:vAlign w:val="bottom"/>
            <w:shd w:val="clear" w:color="auto" w:fill="CCEEFF"/>
          </w:tcPr>
          <w:p>
            <w:pPr>
              <w:spacing w:after="0"/>
              <w:rPr>
                <w:sz w:val="22"/>
                <w:szCs w:val="22"/>
                <w:color w:val="auto"/>
              </w:rPr>
            </w:pPr>
          </w:p>
        </w:tc>
        <w:tc>
          <w:tcPr>
            <w:tcW w:w="2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1,647,343</w:t>
            </w:r>
          </w:p>
        </w:tc>
      </w:tr>
      <w:tr>
        <w:trPr>
          <w:trHeight w:val="274"/>
        </w:trPr>
        <w:tc>
          <w:tcPr>
            <w:tcW w:w="2800" w:type="dxa"/>
            <w:vAlign w:val="bottom"/>
            <w:gridSpan w:val="2"/>
          </w:tcPr>
          <w:p>
            <w:pPr>
              <w:ind w:left="20"/>
              <w:spacing w:after="0"/>
              <w:rPr>
                <w:sz w:val="20"/>
                <w:szCs w:val="20"/>
                <w:color w:val="auto"/>
              </w:rPr>
            </w:pPr>
            <w:r>
              <w:rPr>
                <w:rFonts w:ascii="Arial" w:cs="Arial" w:eastAsia="Arial" w:hAnsi="Arial"/>
                <w:sz w:val="20"/>
                <w:szCs w:val="20"/>
                <w:color w:val="auto"/>
              </w:rPr>
              <w:t>John P. Schmid, M.B.A</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18,337,228</w:t>
            </w:r>
          </w:p>
        </w:tc>
        <w:tc>
          <w:tcPr>
            <w:tcW w:w="120" w:type="dxa"/>
            <w:vAlign w:val="bottom"/>
          </w:tcPr>
          <w:p>
            <w:pPr>
              <w:spacing w:after="0"/>
              <w:rPr>
                <w:sz w:val="23"/>
                <w:szCs w:val="23"/>
                <w:color w:val="auto"/>
              </w:rPr>
            </w:pP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2,679,383</w:t>
            </w:r>
          </w:p>
        </w:tc>
        <w:tc>
          <w:tcPr>
            <w:tcW w:w="100" w:type="dxa"/>
            <w:vAlign w:val="bottom"/>
          </w:tcPr>
          <w:p>
            <w:pPr>
              <w:spacing w:after="0"/>
              <w:rPr>
                <w:sz w:val="23"/>
                <w:szCs w:val="23"/>
                <w:color w:val="auto"/>
              </w:rPr>
            </w:pPr>
          </w:p>
        </w:tc>
        <w:tc>
          <w:tcPr>
            <w:tcW w:w="2120" w:type="dxa"/>
            <w:vAlign w:val="bottom"/>
          </w:tcPr>
          <w:p>
            <w:pPr>
              <w:jc w:val="right"/>
              <w:ind w:right="50"/>
              <w:spacing w:after="0"/>
              <w:rPr>
                <w:sz w:val="20"/>
                <w:szCs w:val="20"/>
                <w:color w:val="auto"/>
              </w:rPr>
            </w:pPr>
            <w:r>
              <w:rPr>
                <w:rFonts w:ascii="Arial" w:cs="Arial" w:eastAsia="Arial" w:hAnsi="Arial"/>
                <w:sz w:val="18"/>
                <w:szCs w:val="18"/>
                <w:color w:val="auto"/>
              </w:rPr>
              <w:t>1,647,343</w:t>
            </w:r>
          </w:p>
        </w:tc>
      </w:tr>
    </w:tbl>
    <w:p>
      <w:pPr>
        <w:spacing w:after="0" w:line="330" w:lineRule="exact"/>
        <w:rPr>
          <w:sz w:val="20"/>
          <w:szCs w:val="20"/>
          <w:color w:val="auto"/>
        </w:rPr>
      </w:pPr>
    </w:p>
    <w:p>
      <w:pPr>
        <w:ind w:left="660" w:right="280" w:hanging="328"/>
        <w:spacing w:after="0" w:line="260"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color w:val="auto"/>
        </w:rPr>
        <w:t>Ratification of the appointment of KPMG LLP as the Company’s independent registered public accounting firm for the fiscal year ending December 31, 2020:</w:t>
      </w:r>
    </w:p>
    <w:p>
      <w:pPr>
        <w:spacing w:after="0" w:line="1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w:t>
            </w:r>
          </w:p>
        </w:tc>
        <w:tc>
          <w:tcPr>
            <w:tcW w:w="2120" w:type="dxa"/>
            <w:vAlign w:val="bottom"/>
          </w:tcPr>
          <w:p>
            <w:pPr>
              <w:spacing w:after="0"/>
              <w:rPr>
                <w:sz w:val="18"/>
                <w:szCs w:val="18"/>
                <w:color w:val="auto"/>
              </w:rPr>
            </w:pPr>
          </w:p>
        </w:tc>
      </w:tr>
      <w:tr>
        <w:trPr>
          <w:trHeight w:val="234"/>
        </w:trPr>
        <w:tc>
          <w:tcPr>
            <w:tcW w:w="280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 For</w:t>
            </w:r>
          </w:p>
        </w:tc>
        <w:tc>
          <w:tcPr>
            <w:tcW w:w="21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 Against</w:t>
            </w:r>
          </w:p>
        </w:tc>
        <w:tc>
          <w:tcPr>
            <w:tcW w:w="2180" w:type="dxa"/>
            <w:vAlign w:val="bottom"/>
            <w:gridSpan w:val="2"/>
          </w:tcPr>
          <w:p>
            <w:pPr>
              <w:ind w:left="20"/>
              <w:spacing w:after="0"/>
              <w:rPr>
                <w:sz w:val="20"/>
                <w:szCs w:val="20"/>
                <w:color w:val="auto"/>
              </w:rPr>
            </w:pPr>
            <w:r>
              <w:rPr>
                <w:rFonts w:ascii="Arial" w:cs="Arial" w:eastAsia="Arial" w:hAnsi="Arial"/>
                <w:sz w:val="18"/>
                <w:szCs w:val="18"/>
                <w:b w:val="1"/>
                <w:bCs w:val="1"/>
                <w:color w:val="auto"/>
              </w:rPr>
              <w:t>Withheld/Abstaining</w:t>
            </w:r>
          </w:p>
        </w:tc>
        <w:tc>
          <w:tcPr>
            <w:tcW w:w="2120" w:type="dxa"/>
            <w:vAlign w:val="bottom"/>
          </w:tcPr>
          <w:p>
            <w:pPr>
              <w:jc w:val="right"/>
              <w:ind w:right="630"/>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2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237"/>
        </w:trPr>
        <w:tc>
          <w:tcPr>
            <w:tcW w:w="2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22,584,434</w:t>
            </w:r>
          </w:p>
        </w:tc>
        <w:tc>
          <w:tcPr>
            <w:tcW w:w="100" w:type="dxa"/>
            <w:vAlign w:val="bottom"/>
            <w:shd w:val="clear" w:color="auto" w:fill="CCEEFF"/>
          </w:tcPr>
          <w:p>
            <w:pPr>
              <w:spacing w:after="0"/>
              <w:rPr>
                <w:sz w:val="20"/>
                <w:szCs w:val="20"/>
                <w:color w:val="auto"/>
              </w:rPr>
            </w:pP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77,152</w:t>
            </w: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2,368</w:t>
            </w:r>
          </w:p>
        </w:tc>
        <w:tc>
          <w:tcPr>
            <w:tcW w:w="100" w:type="dxa"/>
            <w:vAlign w:val="bottom"/>
            <w:shd w:val="clear" w:color="auto" w:fill="CCEEFF"/>
          </w:tcPr>
          <w:p>
            <w:pPr>
              <w:spacing w:after="0"/>
              <w:rPr>
                <w:sz w:val="20"/>
                <w:szCs w:val="20"/>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7"/>
        </w:trPr>
        <w:tc>
          <w:tcPr>
            <w:tcW w:w="2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8"/>
          <w:szCs w:val="18"/>
          <w:color w:val="auto"/>
        </w:rPr>
        <w:t>Non-binding, advisory approval of compensation paid to the Company’s named executive officers: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w:t>
            </w:r>
          </w:p>
        </w:tc>
        <w:tc>
          <w:tcPr>
            <w:tcW w:w="2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280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 For</w:t>
            </w:r>
          </w:p>
        </w:tc>
        <w:tc>
          <w:tcPr>
            <w:tcW w:w="21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 Against</w:t>
            </w:r>
          </w:p>
        </w:tc>
        <w:tc>
          <w:tcPr>
            <w:tcW w:w="2180" w:type="dxa"/>
            <w:vAlign w:val="bottom"/>
            <w:gridSpan w:val="2"/>
          </w:tcPr>
          <w:p>
            <w:pPr>
              <w:ind w:left="20"/>
              <w:spacing w:after="0"/>
              <w:rPr>
                <w:sz w:val="20"/>
                <w:szCs w:val="20"/>
                <w:color w:val="auto"/>
              </w:rPr>
            </w:pPr>
            <w:r>
              <w:rPr>
                <w:rFonts w:ascii="Arial" w:cs="Arial" w:eastAsia="Arial" w:hAnsi="Arial"/>
                <w:sz w:val="18"/>
                <w:szCs w:val="18"/>
                <w:b w:val="1"/>
                <w:bCs w:val="1"/>
                <w:color w:val="auto"/>
              </w:rPr>
              <w:t>Withheld/Abstaining</w:t>
            </w:r>
          </w:p>
        </w:tc>
        <w:tc>
          <w:tcPr>
            <w:tcW w:w="3420" w:type="dxa"/>
            <w:vAlign w:val="bottom"/>
            <w:gridSpan w:val="2"/>
          </w:tcPr>
          <w:p>
            <w:pPr>
              <w:ind w:left="2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3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
        </w:trPr>
        <w:tc>
          <w:tcPr>
            <w:tcW w:w="660" w:type="dxa"/>
            <w:vAlign w:val="bottom"/>
          </w:tcPr>
          <w:p>
            <w:pPr>
              <w:spacing w:after="0" w:line="20" w:lineRule="exact"/>
              <w:rPr>
                <w:sz w:val="1"/>
                <w:szCs w:val="1"/>
                <w:color w:val="auto"/>
              </w:rPr>
            </w:pPr>
          </w:p>
        </w:tc>
        <w:tc>
          <w:tcPr>
            <w:tcW w:w="2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4"/>
        </w:trPr>
        <w:tc>
          <w:tcPr>
            <w:tcW w:w="660" w:type="dxa"/>
            <w:vAlign w:val="bottom"/>
          </w:tcPr>
          <w:p>
            <w:pPr>
              <w:spacing w:after="0"/>
              <w:rPr>
                <w:sz w:val="21"/>
                <w:szCs w:val="21"/>
                <w:color w:val="auto"/>
              </w:rPr>
            </w:pPr>
          </w:p>
        </w:tc>
        <w:tc>
          <w:tcPr>
            <w:tcW w:w="2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20,379,472</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634,245</w:t>
            </w:r>
          </w:p>
        </w:tc>
        <w:tc>
          <w:tcPr>
            <w:tcW w:w="1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2,893</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1,647,344</w:t>
            </w:r>
          </w:p>
        </w:tc>
        <w:tc>
          <w:tcPr>
            <w:tcW w:w="1300" w:type="dxa"/>
            <w:vAlign w:val="bottom"/>
          </w:tcPr>
          <w:p>
            <w:pPr>
              <w:spacing w:after="0"/>
              <w:rPr>
                <w:sz w:val="21"/>
                <w:szCs w:val="21"/>
                <w:color w:val="auto"/>
              </w:rPr>
            </w:pPr>
          </w:p>
        </w:tc>
      </w:tr>
      <w:tr>
        <w:trPr>
          <w:trHeight w:val="1492"/>
        </w:trPr>
        <w:tc>
          <w:tcPr>
            <w:tcW w:w="6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3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2"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AnaptysBio, Inc.</w:t>
      </w:r>
    </w:p>
    <w:p>
      <w:pPr>
        <w:spacing w:after="0" w:line="54" w:lineRule="exact"/>
        <w:rPr>
          <w:sz w:val="20"/>
          <w:szCs w:val="20"/>
          <w:color w:val="auto"/>
        </w:rPr>
      </w:pPr>
    </w:p>
    <w:p>
      <w:pPr>
        <w:ind w:left="20"/>
        <w:spacing w:after="0"/>
        <w:tabs>
          <w:tab w:leader="none" w:pos="4240" w:val="left"/>
          <w:tab w:leader="none" w:pos="4780" w:val="left"/>
        </w:tabs>
        <w:rPr>
          <w:sz w:val="20"/>
          <w:szCs w:val="20"/>
          <w:color w:val="auto"/>
        </w:rPr>
      </w:pPr>
      <w:r>
        <w:rPr>
          <w:rFonts w:ascii="Arial" w:cs="Arial" w:eastAsia="Arial" w:hAnsi="Arial"/>
          <w:sz w:val="20"/>
          <w:szCs w:val="20"/>
          <w:color w:val="auto"/>
        </w:rPr>
        <w:t>Date: June 19, 2020</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27305</wp:posOffset>
            </wp:positionV>
            <wp:extent cx="4097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47"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Name: Eric Loumeau</w:t>
      </w:r>
    </w:p>
    <w:p>
      <w:pPr>
        <w:spacing w:after="0" w:line="54"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Title: Interim Chief Financial Officer and General Counsel</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2020-06-19T16:15:16Z</dcterms:created>
  <dcterms:modified xsi:type="dcterms:W3CDTF">2020-06-19T16:15:16Z</dcterms:modified>
</cp:coreProperties>
</file>