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4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45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2"/>
                <w:szCs w:val="22"/>
                <w:color w:val="0000EE"/>
                <w:w w:val="88"/>
              </w:rPr>
            </w:pPr>
            <w:hyperlink r:id="rId12">
              <w:r>
                <w:rPr>
                  <w:rFonts w:ascii="Arial" w:cs="Arial" w:eastAsia="Arial" w:hAnsi="Arial"/>
                  <w:sz w:val="22"/>
                  <w:szCs w:val="22"/>
                  <w:color w:val="0000EE"/>
                  <w:w w:val="88"/>
                </w:rPr>
                <w:t>Topper James N</w:t>
              </w:r>
            </w:hyperlink>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ANAPTYSBIO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ANAB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60" w:type="dxa"/>
            <w:vAlign w:val="bottom"/>
            <w:vMerge w:val="restart"/>
          </w:tcPr>
          <w:p>
            <w:pPr>
              <w:ind w:left="220"/>
              <w:spacing w:after="0"/>
              <w:rPr>
                <w:sz w:val="20"/>
                <w:szCs w:val="20"/>
                <w:color w:val="auto"/>
              </w:rPr>
            </w:pPr>
            <w:r>
              <w:rPr>
                <w:rFonts w:ascii="Arial" w:cs="Arial" w:eastAsia="Arial" w:hAnsi="Arial"/>
                <w:sz w:val="18"/>
                <w:szCs w:val="18"/>
                <w:color w:val="0000FF"/>
                <w:w w:val="99"/>
              </w:rPr>
              <w:t>X</w:t>
            </w:r>
          </w:p>
        </w:tc>
        <w:tc>
          <w:tcPr>
            <w:tcW w:w="1480" w:type="dxa"/>
            <w:vAlign w:val="bottom"/>
            <w:gridSpan w:val="4"/>
            <w:vMerge w:val="restart"/>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60" w:type="dxa"/>
            <w:vAlign w:val="bottom"/>
          </w:tcPr>
          <w:p>
            <w:pPr>
              <w:spacing w:after="0"/>
              <w:rPr>
                <w:sz w:val="7"/>
                <w:szCs w:val="7"/>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(First)</w:t>
            </w:r>
          </w:p>
        </w:tc>
        <w:tc>
          <w:tcPr>
            <w:tcW w:w="1180" w:type="dxa"/>
            <w:vAlign w:val="bottom"/>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C/O FRAZIER HEALTHCARE PARTNERS</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02/08/2019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0"/>
              </w:rPr>
              <w:t>601 UNION STREET, SUITE 3200</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SEATTLE</w:t>
            </w:r>
          </w:p>
        </w:tc>
        <w:tc>
          <w:tcPr>
            <w:tcW w:w="1260" w:type="dxa"/>
            <w:vAlign w:val="bottom"/>
            <w:gridSpan w:val="3"/>
          </w:tcPr>
          <w:p>
            <w:pPr>
              <w:spacing w:after="0"/>
              <w:rPr>
                <w:sz w:val="20"/>
                <w:szCs w:val="20"/>
                <w:color w:val="auto"/>
              </w:rPr>
            </w:pPr>
            <w:r>
              <w:rPr>
                <w:rFonts w:ascii="Arial" w:cs="Arial" w:eastAsia="Arial" w:hAnsi="Arial"/>
                <w:sz w:val="18"/>
                <w:szCs w:val="18"/>
                <w:color w:val="0000FF"/>
              </w:rPr>
              <w:t>WA</w:t>
            </w:r>
          </w:p>
        </w:tc>
        <w:tc>
          <w:tcPr>
            <w:tcW w:w="1180" w:type="dxa"/>
            <w:vAlign w:val="bottom"/>
          </w:tcPr>
          <w:p>
            <w:pPr>
              <w:spacing w:after="0"/>
              <w:rPr>
                <w:sz w:val="20"/>
                <w:szCs w:val="20"/>
                <w:color w:val="auto"/>
              </w:rPr>
            </w:pPr>
            <w:r>
              <w:rPr>
                <w:rFonts w:ascii="Arial" w:cs="Arial" w:eastAsia="Arial" w:hAnsi="Arial"/>
                <w:sz w:val="18"/>
                <w:szCs w:val="18"/>
                <w:color w:val="0000FF"/>
              </w:rPr>
              <w:t>98101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18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(State)</w:t>
            </w:r>
          </w:p>
        </w:tc>
        <w:tc>
          <w:tcPr>
            <w:tcW w:w="118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8"/>
          </w:tcPr>
          <w:p>
            <w:pPr>
              <w:ind w:left="8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8"/>
          </w:tcPr>
          <w:p>
            <w:pPr>
              <w:ind w:left="10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6"/>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Director</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6,000</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68.89</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restart"/>
          </w:tcPr>
          <w:p>
            <w:pPr>
              <w:ind w:left="240"/>
              <w:spacing w:after="0" w:line="149" w:lineRule="exact"/>
              <w:rPr>
                <w:sz w:val="20"/>
                <w:szCs w:val="20"/>
                <w:color w:val="auto"/>
              </w:rPr>
            </w:pPr>
            <w:r>
              <w:rPr>
                <w:rFonts w:ascii="Arial" w:cs="Arial" w:eastAsia="Arial" w:hAnsi="Arial"/>
                <w:sz w:val="14"/>
                <w:szCs w:val="14"/>
                <w:color w:val="0000FF"/>
              </w:rPr>
              <w:t>02/08/2019</w:t>
            </w: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6,000</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6"/>
              </w:rPr>
              <w:t>02/07/2029</w:t>
            </w:r>
          </w:p>
        </w:tc>
        <w:tc>
          <w:tcPr>
            <w:tcW w:w="68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1"/>
              </w:rPr>
              <w:t>6,000</w:t>
            </w:r>
          </w:p>
        </w:tc>
        <w:tc>
          <w:tcPr>
            <w:tcW w:w="360" w:type="dxa"/>
            <w:vAlign w:val="bottom"/>
          </w:tcPr>
          <w:p>
            <w:pPr>
              <w:spacing w:after="0"/>
              <w:rPr>
                <w:sz w:val="5"/>
                <w:szCs w:val="5"/>
                <w:color w:val="auto"/>
              </w:rPr>
            </w:pPr>
          </w:p>
        </w:tc>
        <w:tc>
          <w:tcPr>
            <w:tcW w:w="64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 vests and becomes exercisable in 12 equal monthly installments beginning on March 8, 2019, until such time as the option is 100% vested, subject to the continuing service of the Reporting Person on each vesting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/s/Eric Loumeau, attorney-in-</w:t>
            </w:r>
          </w:p>
        </w:tc>
        <w:tc>
          <w:tcPr>
            <w:tcW w:w="10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02/11/2019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24.1</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Hamza Suria, Eric Loumeau, and Dominic Piscitelli, and each of them, his true and lawful attorney-in-fact to:</w:t>
      </w:r>
    </w:p>
    <w:p>
      <w:pPr>
        <w:spacing w:after="0" w:line="209" w:lineRule="exact"/>
        <w:rPr>
          <w:sz w:val="20"/>
          <w:szCs w:val="20"/>
          <w:color w:val="auto"/>
        </w:rPr>
      </w:pPr>
    </w:p>
    <w:p>
      <w:pPr>
        <w:ind w:right="145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AnaptysBio, Inc. ("Company"), any and all Form 3, 4 or 5 reports required to be filed by the undersigned in accordance with Section 16(a) of the Securities Exchange Act of 1934, as amended ("Exchange Act"), and the rules thereunder with respect to transactions in securities of the Company;</w:t>
      </w:r>
    </w:p>
    <w:p>
      <w:pPr>
        <w:spacing w:after="0" w:line="6"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4"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 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attorney-in-fact may approve in his discretion.</w:t>
      </w:r>
    </w:p>
    <w:p>
      <w:pPr>
        <w:spacing w:after="0" w:line="8"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6"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the 31st day of August, 2018.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N. Topper</w:t>
      </w:r>
    </w:p>
    <w:p>
      <w:pPr>
        <w:spacing w:after="0" w:line="238" w:lineRule="auto"/>
        <w:rPr>
          <w:sz w:val="20"/>
          <w:szCs w:val="20"/>
          <w:color w:val="auto"/>
        </w:rPr>
      </w:pPr>
      <w:r>
        <w:rPr>
          <w:rFonts w:ascii="Courier New" w:cs="Courier New" w:eastAsia="Courier New" w:hAnsi="Courier New"/>
          <w:sz w:val="18"/>
          <w:szCs w:val="18"/>
          <w:color w:val="auto"/>
        </w:rPr>
        <w:t>James N. Topper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1382"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2019-12-24T04:27:55Z</dcterms:created>
  <dcterms:modified xsi:type="dcterms:W3CDTF">2019-12-24T04:27:55Z</dcterms:modified>
</cp:coreProperties>
</file>