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8-K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CURRENT REPORT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Date of Report: May 11, 2023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 of earliest event reported)</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ANAPTYSBIO,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(Exact Name of Registrant as Specified in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0"/>
        <w:gridCol w:w="1350"/>
        <w:gridCol w:w="1366"/>
        <w:gridCol w:w="877"/>
        <w:gridCol w:w="877"/>
        <w:gridCol w:w="885"/>
        <w:gridCol w:w="966"/>
        <w:gridCol w:w="966"/>
        <w:gridCol w:w="1378"/>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001-37985</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20-3828755</w:t>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(State or Other Jurisdiction of Incorporation)</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(Commission File Number)</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10770 Wateridge Circle, Suite 210,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San Diego, CA 92121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and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(858) 362-6295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 Applicable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Written communication pursuant to Rule 425 under the Securities Act (17 CFR 230.425)</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Pre-commencement communication pursuant to Rule 14d-2(b) under the Exchange Act (17 CFR 240.14d-2(b))</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Pre-commencement communication pursuant to Rule 13e-4(c) under the Exchange Act (17 CFR 240.13e-4(c))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ANAB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Indicate by check mark whether the registrant is an emerging growth company as defined in Rule 405 of the Securities Act of 1933 </w:t>
      </w:r>
      <w:r>
        <w:rPr>
          <w:rFonts w:ascii="Times New Roman;sans-serif" w:hAnsi="Times New Roman;sans-serif"/>
          <w:b w:val="false"/>
          <w:color w:val="000000"/>
          <w:sz w:val="20"/>
        </w:rPr>
        <w:t>(17 CFR §230.405 of this chapter) or Rule 12b-2 of the Securities Exchange Act of 1934 (17 CFR §240.12b-2 of this chapter).</w:t>
      </w:r>
    </w:p>
    <w:p>
      <w:pPr>
        <w:pStyle w:val="TextBody"/>
        <w:bidi w:val="0"/>
        <w:spacing w:before="0" w:after="0"/>
        <w:jc w:val="right"/>
        <w:rPr/>
      </w:pPr>
      <w:r>
        <w:rPr/>
      </w:r>
    </w:p>
    <w:p>
      <w:pPr>
        <w:pStyle w:val="TextBody"/>
        <w:bidi w:val="0"/>
        <w:spacing w:lineRule="auto" w:line="288" w:before="0" w:after="0"/>
        <w:jc w:val="right"/>
        <w:rPr/>
      </w:pPr>
      <w:r>
        <w:rPr>
          <w:rFonts w:ascii="Times New Roman;sans-serif" w:hAnsi="Times New Roman;sans-serif"/>
          <w:b w:val="false"/>
          <w:color w:val="000000"/>
          <w:sz w:val="20"/>
          <w:shd w:fill="FFFFFF" w:val="clear"/>
        </w:rPr>
        <w:t>Emerging growth company</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Item 2.02    Results of Operations and Financial Condition.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On May 11, 2023, AnaptysBio, Inc. (“AnaptysBio”) issued a press release announcing its financial results for the three months ended March 31, 2023. A copy of the press release is attached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0"/>
        <w:gridCol w:w="447"/>
        <w:gridCol w:w="450"/>
        <w:gridCol w:w="2583"/>
        <w:gridCol w:w="2567"/>
        <w:gridCol w:w="3648"/>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2"/>
              </w:rPr>
            </w:pPr>
            <w:r>
              <w:rPr>
                <w:rFonts w:ascii="Times New Roman;sans-serif" w:hAnsi="Times New Roman;sans-serif"/>
                <w:b/>
                <w:color w:val="000000"/>
                <w:sz w:val="22"/>
              </w:rPr>
              <w:t>Exhibit Number</w:t>
            </w:r>
          </w:p>
        </w:tc>
        <w:tc>
          <w:tcPr>
            <w:tcW w:w="879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2"/>
              </w:rPr>
            </w:pPr>
            <w:r>
              <w:rPr>
                <w:rFonts w:ascii="Times New Roman;sans-serif" w:hAnsi="Times New Roman;sans-serif"/>
                <w:b/>
                <w:color w:val="000000"/>
                <w:sz w:val="22"/>
              </w:rPr>
              <w:t>Exhibit Title or Description</w:t>
            </w:r>
          </w:p>
        </w:tc>
      </w:tr>
      <w:tr>
        <w:trPr/>
        <w:tc>
          <w:tcPr>
            <w:tcW w:w="140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2023earningsrelease.htm">
              <w:r>
                <w:rPr>
                  <w:rStyle w:val="InternetLink"/>
                  <w:rFonts w:ascii="Times New Roman;sans-serif" w:hAnsi="Times New Roman;sans-serif"/>
                  <w:b w:val="false"/>
                  <w:color w:val="0000FF"/>
                  <w:sz w:val="22"/>
                  <w:u w:val="single"/>
                </w:rPr>
                <w:t>99.1</w:t>
              </w:r>
            </w:hyperlink>
          </w:p>
        </w:tc>
        <w:tc>
          <w:tcPr>
            <w:tcW w:w="879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Press release issued by AnaptysBio, Inc. regarding its financial results for the three months ended March 31, 2023, dated May 11, 2023.</w:t>
            </w:r>
          </w:p>
        </w:tc>
      </w:tr>
      <w:tr>
        <w:trPr/>
        <w:tc>
          <w:tcPr>
            <w:tcW w:w="14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879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(the cover page XBRL tags are embedded within the inline XBRL document).</w:t>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100" w:after="10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bl>
      <w:tblPr>
        <w:tblW w:w="5638" w:type="dxa"/>
        <w:jc w:val="center"/>
        <w:tblInd w:w="0" w:type="dxa"/>
        <w:tblLayout w:type="fixed"/>
        <w:tblCellMar>
          <w:top w:w="28" w:type="dxa"/>
          <w:left w:w="28" w:type="dxa"/>
          <w:bottom w:w="28" w:type="dxa"/>
          <w:right w:w="28" w:type="dxa"/>
        </w:tblCellMar>
      </w:tblPr>
      <w:tblGrid>
        <w:gridCol w:w="369"/>
        <w:gridCol w:w="325"/>
        <w:gridCol w:w="325"/>
        <w:gridCol w:w="325"/>
        <w:gridCol w:w="325"/>
        <w:gridCol w:w="325"/>
        <w:gridCol w:w="270"/>
        <w:gridCol w:w="270"/>
        <w:gridCol w:w="270"/>
        <w:gridCol w:w="823"/>
        <w:gridCol w:w="823"/>
        <w:gridCol w:w="1188"/>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9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AnaptysBio, Inc.</w:t>
            </w:r>
          </w:p>
        </w:tc>
      </w:tr>
      <w:tr>
        <w:trPr/>
        <w:tc>
          <w:tcPr>
            <w:tcW w:w="19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11, 2023</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/s/Dennis Mulroy</w:t>
            </w:r>
          </w:p>
        </w:tc>
      </w:tr>
      <w:tr>
        <w:trPr/>
        <w:tc>
          <w:tcPr>
            <w:tcW w:w="19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Dennis Mulroy</w:t>
            </w:r>
          </w:p>
        </w:tc>
      </w:tr>
      <w:tr>
        <w:trPr/>
        <w:tc>
          <w:tcPr>
            <w:tcW w:w="19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rFonts w:ascii="Times New Roman;sans-serif" w:hAnsi="Times New Roman;sans-serif"/>
          <w:b/>
          <w:color w:val="000000"/>
          <w:sz w:val="28"/>
        </w:rPr>
      </w:pPr>
      <w:r>
        <w:rPr>
          <w:rFonts w:ascii="Times New Roman;sans-serif" w:hAnsi="Times New Roman;sans-serif"/>
          <w:b/>
          <w:color w:val="000000"/>
          <w:sz w:val="28"/>
        </w:rPr>
        <w:t xml:space="preserve">AnaptysBio Announces First Quarter 2023 Financial Results and </w:t>
      </w:r>
    </w:p>
    <w:p>
      <w:pPr>
        <w:pStyle w:val="TextBody"/>
        <w:bidi w:val="0"/>
        <w:spacing w:lineRule="auto" w:line="333" w:before="0" w:after="0"/>
        <w:jc w:val="center"/>
        <w:rPr>
          <w:rFonts w:ascii="Times New Roman;sans-serif" w:hAnsi="Times New Roman;sans-serif"/>
          <w:b/>
          <w:color w:val="000000"/>
          <w:sz w:val="28"/>
        </w:rPr>
      </w:pPr>
      <w:r>
        <w:rPr>
          <w:rFonts w:ascii="Times New Roman;sans-serif" w:hAnsi="Times New Roman;sans-serif"/>
          <w:b/>
          <w:color w:val="000000"/>
          <w:sz w:val="28"/>
        </w:rPr>
        <w:t>Provides Pipeline Update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 xml:space="preserve">Initiated a global Phase 2b trial to treat atopic dermatitis with ANB032, a BTLA agonist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Hosting a virtual BTLA Agonist (ANB032) R&amp;D Event on May 25, 2023</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Announced International Societies for Investigative Dermatology (ISID) Annual Meeting poster presentation for ANB032, a BTLA agonist, Phase 1 data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Initiating a global Phase 2b trial to treat rheumatoid arthritis in Q3 2023 and a second Phase 2 trial, in an indication to be announced, by year-end 2023 with rosnilimab, a PD-1 agonist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Reiterating cash runway through year-end 2026 with expected year-end 2023 cash and investments of $370 – $385 million</w:t>
      </w:r>
    </w:p>
    <w:p>
      <w:pPr>
        <w:pStyle w:val="TextBody"/>
        <w:bidi w:val="0"/>
        <w:spacing w:lineRule="auto" w:line="288" w:before="240" w:after="283"/>
        <w:jc w:val="left"/>
        <w:rPr/>
      </w:pPr>
      <w:r>
        <w:rPr>
          <w:rFonts w:ascii="Times New Roman;sans-serif" w:hAnsi="Times New Roman;sans-serif"/>
          <w:b/>
          <w:color w:val="000000"/>
          <w:sz w:val="22"/>
        </w:rPr>
        <w:t>SAN DIEGO, May 11, 2023</w:t>
      </w:r>
      <w:r>
        <w:rPr>
          <w:color w:val="000000"/>
        </w:rPr>
        <w:t xml:space="preserve"> — </w:t>
      </w:r>
      <w:r>
        <w:rPr>
          <w:rFonts w:ascii="Times New Roman;sans-serif" w:hAnsi="Times New Roman;sans-serif"/>
          <w:b w:val="false"/>
          <w:color w:val="000000"/>
          <w:sz w:val="22"/>
        </w:rPr>
        <w:t>AnaptysBio, Inc. (Nasdaq: ANAB), a clinical-stage biotechnology company focused on delivering innovative immunology therapeutics, today reported operating results for the first quarter ended March 31, 2023 and provided pipeline updates.</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2"/>
        </w:rPr>
        <w:t>We’re excited about our progress as we continue to develop best-in-class antibodies across a number of high-value immune cell modulatory targets. We have initiated our global Phase 2b trial in moderate-to-severe atopic dermatitis (AD) for ANB032, our BTLA agonist, and will host a virtual R&amp;D event on May 25th to highlight the biologic and mechanistic rationale for developing a BTLA agonist in AD,” said Daniel Faga, interim president and chief executive officer of AnaptysBio. “We believe our checkpoint agonists, rosnilimab and ANB032, as well as our CD122 antagonist, ANB033, have the potential to treat a broad range of autoimmune and inflammatory disorders by directly acting on immune cells that mediate disease pathology, and we remain well capitalized to execute on our broad development pl</w:t>
      </w:r>
      <w:r>
        <w:rPr>
          <w:rFonts w:ascii="Times New Roman;sans-serif" w:hAnsi="Times New Roman;sans-serif"/>
          <w:b w:val="false"/>
          <w:color w:val="000000"/>
          <w:sz w:val="24"/>
        </w:rPr>
        <w:t>an.”</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Updates on Wholly Owned Immune Cell Modulator Pipeline</w:t>
      </w:r>
    </w:p>
    <w:p>
      <w:pPr>
        <w:pStyle w:val="TextBody"/>
        <w:bidi w:val="0"/>
        <w:spacing w:lineRule="auto" w:line="288" w:before="180" w:after="283"/>
        <w:jc w:val="left"/>
        <w:rPr>
          <w:rFonts w:ascii="Times New Roman;sans-serif" w:hAnsi="Times New Roman;sans-serif"/>
          <w:b/>
          <w:color w:val="000000"/>
          <w:sz w:val="22"/>
        </w:rPr>
      </w:pPr>
      <w:r>
        <w:rPr>
          <w:rFonts w:ascii="Times New Roman;sans-serif" w:hAnsi="Times New Roman;sans-serif"/>
          <w:b/>
          <w:color w:val="000000"/>
          <w:sz w:val="22"/>
        </w:rPr>
        <w:t>Rosnilimab (PD-1 agonist antibody)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Anticipate initiation in Q3 2023 of a global Phase 2b trial in moderate-to-severe rheumatoid arthritis (RA)</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Multi-hundred patient placebo-controlled trial assessing three dose levels of subcutaneously administered rosnilimab for up to 6 months on well-established endpoints including ACR20/50/70 and DAS28</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Top-line interim data anticipated by mid-year 2025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Plan to initiate second global Phase 2 trial, in an indication to be announced, by year-end 2023</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ANB032 (BTLA agonist antibody)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Initiated a global Phase 2b trial in moderate-to-severe AD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160 patient placebo-controlled trial assessing three dose levels of subcutaneously administered ANB032 (randomized 1:1:1:1) for a 14-week treatment duration on well-established endpoints, including EASI75 and IGA 0/1</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Top-line interim data anticipated by year-end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Presented poster on Phase 1 data for ANB032, a BTLA agonist for the treatment of moderate-to-severe AD, at International Societies for Investigative Dermatology (ISID) Annual Meeting, May 11, 2023, in Japan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Planning to host a virtual BTLA Agonist (ANB032) R&amp;D Event on Thursday, May 25, 2023 at 1:15pm PT / 4:15pm ET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Management will host the event via conference call and webcast, with an accompanying slide presentation</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The live audio webcast, as well as a replay of the presentation, will be available on the investor section of the AnaptysBio website at https://ir.anaptysbio.com/events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ANB033 (anti-CD122 antagonist antibody)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4"/>
        </w:rPr>
        <w:t>Plan to submit an Investigational New Drug (IND) application in H1 2024</w:t>
      </w:r>
    </w:p>
    <w:p>
      <w:pPr>
        <w:pStyle w:val="TextBody"/>
        <w:bidi w:val="0"/>
        <w:spacing w:lineRule="auto" w:line="288" w:before="240" w:after="283"/>
        <w:jc w:val="left"/>
        <w:rPr/>
      </w:pPr>
      <w:r>
        <w:rPr>
          <w:rFonts w:ascii="Times New Roman;sans-serif" w:hAnsi="Times New Roman;sans-serif"/>
          <w:b/>
          <w:color w:val="000000"/>
          <w:sz w:val="22"/>
        </w:rPr>
        <w:t>Updates on Legacy Clinical-Stage Cytokine Antagonist Programs Available for Out-Licensing</w:t>
      </w:r>
      <w:r>
        <w:rPr>
          <w:color w:val="000000"/>
        </w:rPr>
        <w:t xml:space="preserv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 xml:space="preserve">Announced publication of Phase 2 GALLOP data for imsidolimab, an investigational, wholly owned, anti-IL-36R antagonist IgG4 antibody in generalized pustular psoriasis (GPP) in </w:t>
      </w:r>
      <w:r>
        <w:rPr>
          <w:rFonts w:ascii="Times New Roman;sans-serif" w:hAnsi="Times New Roman;sans-serif"/>
          <w:b w:val="false"/>
          <w:i/>
          <w:color w:val="000000"/>
          <w:sz w:val="22"/>
        </w:rPr>
        <w:t>The British Journal of Dermatology</w:t>
      </w:r>
      <w:r>
        <w:rPr>
          <w:color w:val="000000"/>
        </w:rPr>
        <w:t xml:space="preserve"> </w:t>
      </w:r>
      <w:r>
        <w:rPr>
          <w:rFonts w:ascii="Times New Roman;sans-serif" w:hAnsi="Times New Roman;sans-serif"/>
          <w:b w:val="false"/>
          <w:color w:val="000000"/>
          <w:sz w:val="22"/>
        </w:rPr>
        <w:t>on April 30,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Anticipate top-line data from the ongoing GEMINI-1 Phase 3 trial in Q4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Plan to out-license imsidolimab prior to potential FDA approval</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GSK Immuno-Oncology Financial Collaboration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 xml:space="preserve">GSK announced publication of RUBY Phase 3 clinical data for JEMPERLI (dostarlimab-gxly), an anti-PD-1 antagonist antibody discovered at AnaptysBio and licensed to GSK, in </w:t>
      </w:r>
      <w:r>
        <w:rPr>
          <w:rFonts w:ascii="Times New Roman;sans-serif" w:hAnsi="Times New Roman;sans-serif"/>
          <w:b w:val="false"/>
          <w:i/>
          <w:color w:val="000000"/>
          <w:sz w:val="22"/>
        </w:rPr>
        <w:t>The New England Journal of Medicine</w:t>
      </w:r>
      <w:r>
        <w:rPr>
          <w:color w:val="000000"/>
        </w:rPr>
        <w:t xml:space="preserve"> </w:t>
      </w:r>
      <w:r>
        <w:rPr>
          <w:rFonts w:ascii="Times New Roman;sans-serif" w:hAnsi="Times New Roman;sans-serif"/>
          <w:b w:val="false"/>
          <w:color w:val="000000"/>
          <w:sz w:val="22"/>
        </w:rPr>
        <w:t>and presented simultaneously at ESMO Virtual Plenary and SGO Annual Meeting in March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 xml:space="preserve">JEMPERLI has the potential for a first-in-class approval in primary advanced or recurrent endometrial cancer after meeting the primary endpoint in the pivotal RUBY Phase 3 trial demonstrating JEMPERLI plus chemotherapy significantly improved PFS versus chemotherapy plus placebo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GSK plans regulatory submissions in H1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GSK anticipates top-line data from the ongoing FIRST Phase 3 trial, a randomized, double-blind, comparison of platinum-based therapy with dostarlimab and niraparib versus standard of care platinum-based therapy as first-line treatment of Stage III or IV nonmucinous epithelial ovarian cancer, in H2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GSK anticipates top-line data from the ongoing COSTAR Lung Phase 3 trial, a randomized, open label 3-arm trial comparing cobolimab plus dostarlimab plus docetaxel to dostarlimab plus docetaxel to docetaxel alone in patients with advanced NSCLC who have progressed on prior anti-PD-(L)1 therapy and chemotherapy, in 2024</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Stock Repurchase Program and Year-End Cash Guidance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 xml:space="preserve">Completed Stock Repurchase Program, authorized in January 2023, of $50.0 million of the Company’s outstanding common stock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Reiterating cash runway through year-end 2026 with expected year-end 2023 cash and investments of $370 – $385 million</w:t>
      </w:r>
    </w:p>
    <w:p>
      <w:pPr>
        <w:pStyle w:val="TextBody"/>
        <w:bidi w:val="0"/>
        <w:spacing w:lineRule="auto" w:line="333" w:before="240" w:after="283"/>
        <w:jc w:val="left"/>
        <w:rPr>
          <w:rFonts w:ascii="Times New Roman;sans-serif" w:hAnsi="Times New Roman;sans-serif"/>
          <w:b/>
          <w:color w:val="000000"/>
          <w:sz w:val="22"/>
        </w:rPr>
      </w:pPr>
      <w:r>
        <w:rPr>
          <w:rFonts w:ascii="Times New Roman;sans-serif" w:hAnsi="Times New Roman;sans-serif"/>
          <w:b/>
          <w:color w:val="000000"/>
          <w:sz w:val="22"/>
        </w:rPr>
        <w:t>First Quarter Financial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Cash, cash equivalents and investments totaled $526.1 million as of March 31, 2023, compared to $584.2 million as of December 31, 2022, for a decrease of $58.1 million. The decrease relates primarily to cash used for the stock repurchase program and operating activities.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Collaboration revenue was $1.4 million for the three months ended March 31, 2023, compared to $1.0 million for the three months ended March 31, 2022. The change is due to increased royalties recognized for sales of JEMPERLI and Zejula in the first quarter of 2023.</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Research and development expenses were $35.0 million for the three months ended March 31, 2023, compared to $22.5 million for the three months ended March 31, 2022. The increase was due primarily to manufacturing and development costs for imsidolimab, rosnilimab, ANB032 and ANB033. The R&amp;D non-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stock-based compensation expense was $2.8 million for the three months ended March 31, 2023 as compared to $1.7 million in the same period in 2022.</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General and administrative expenses were $10.8 million for the three months ended March 31, 2023, compared to $10.2 million for the three months ended March 31, 2022. The G&amp;A non-cash, stock-based compensation expense was $6.1 million for the three months ended March 31, 2023 and 2022.</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Net loss was $44.3 million for the three months ended March 31, 2023, or a net loss per share of $1.58, compared to a net loss of $36.3 million for the three months ended March 31, 2022, or a net loss per share of $1.31.</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About AnaptysBio</w:t>
      </w:r>
    </w:p>
    <w:p>
      <w:pPr>
        <w:pStyle w:val="TextBody"/>
        <w:bidi w:val="0"/>
        <w:spacing w:lineRule="auto" w:line="288" w:before="120" w:after="283"/>
        <w:jc w:val="left"/>
        <w:rPr/>
      </w:pPr>
      <w:r>
        <w:rPr>
          <w:rFonts w:ascii="Times New Roman;sans-serif" w:hAnsi="Times New Roman;sans-serif"/>
          <w:b w:val="false"/>
          <w:color w:val="000000"/>
          <w:sz w:val="22"/>
        </w:rPr>
        <w:t>AnaptysBio is a clinical-stage biotechnology company focused on delivering innovative immunology therapeutics. It is developing immune cell modulators, including two checkpoint agonists in clinical-stage development, for autoimmune and inflammatory disease: rosnilimab, its PD-1 agonist, in a planned Phase 2b trial for the treatment of moderate-to-severe rheumatoid arthritis; and ANB032, its BTLA agonist, currently in a Phase 2b trial for the treatment of moderate-to-severe atopic dermatitis. Its preclinical immune cell modulator portfolio includes ANB033, an anti-CD122 antagonist antibody for the treatment of autoimmune and inflammatory diseases. In addition, AnaptysBio has developed two cytokine antagonists available for out-licensing: imsidolimab, an anti-IL-36R antagonist, in Phase 3 for the treatment of generalized pustular psoriasis, or GPP, and etokimab, an anti-IL-33 antagonist for the treatment of respiratory disorders that is Phase 2/3 ready. AnaptysBio has also discovered multiple therapeutic antibodies licensed to GSK in a financial collaboration for immune-oncology, including an anti-PD-1 antagonist antibody (</w:t>
      </w:r>
      <w:r>
        <w:rPr>
          <w:rFonts w:ascii="Times New Roman;sans-serif" w:hAnsi="Times New Roman;sans-serif"/>
          <w:b w:val="false"/>
          <w:i/>
          <w:color w:val="000000"/>
          <w:sz w:val="22"/>
        </w:rPr>
        <w:t xml:space="preserve">Jemperli </w:t>
      </w:r>
      <w:r>
        <w:rPr>
          <w:rFonts w:ascii="Times New Roman;sans-serif" w:hAnsi="Times New Roman;sans-serif"/>
          <w:b w:val="false"/>
          <w:color w:val="000000"/>
          <w:sz w:val="22"/>
        </w:rPr>
        <w:t xml:space="preserve">(dostarlimab-gxly)), an anti-TIM-3 antagonist antibody (cobolimab, GSK4069889) and an anti-LAG-3 antagonist antibody (GSK4074386). </w:t>
      </w:r>
    </w:p>
    <w:p>
      <w:pPr>
        <w:pStyle w:val="TextBody"/>
        <w:bidi w:val="0"/>
        <w:spacing w:lineRule="auto" w:line="288" w:before="180" w:after="283"/>
        <w:jc w:val="left"/>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press release contains forward-looking statements within the meaning of the "safe harbor" provisions of the Private Securities Litigation Reform Act of 1995, including, but not limited to: the timing of initiation of the company’s clinical trials, including rosnilimab’s clinical trials in rheumatoid arthritis and in a second indication; the timing of the release of data from the company’s clinical trials, including imsidolimab’s Phase 3 clinical trial in GPP, rosnilimab’s Phase 2b clinical trial in rheumatoid arthritis and ANB032’s Phase 2b clinical trial in atopic dermatitis; the timing of ANB033’s IND filing; the company’s ability to find a licensing partner for imsidolimab or etokimab and the timing of any such transaction; and the company’s projected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 </w:t>
      </w:r>
    </w:p>
    <w:p>
      <w:pPr>
        <w:pStyle w:val="TextBody"/>
        <w:bidi w:val="0"/>
        <w:spacing w:lineRule="auto" w:line="333" w:before="240" w:after="283"/>
        <w:jc w:val="left"/>
        <w:rPr>
          <w:rFonts w:ascii="Times New Roman;sans-serif" w:hAnsi="Times New Roman;sans-serif"/>
          <w:b/>
          <w:color w:val="000000"/>
          <w:sz w:val="22"/>
        </w:rPr>
      </w:pPr>
      <w:r>
        <w:rPr>
          <w:rFonts w:ascii="Times New Roman;sans-serif" w:hAnsi="Times New Roman;sans-serif"/>
          <w:b/>
          <w:color w:val="000000"/>
          <w:sz w:val="22"/>
        </w:rPr>
        <w:t>Contact: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Nick Montemarano</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Senior Director, Investor Relations and Strategic Communications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AnaptysBio, Inc.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858.732.0178</w:t>
      </w:r>
    </w:p>
    <w:p>
      <w:pPr>
        <w:pStyle w:val="TextBody"/>
        <w:bidi w:val="0"/>
        <w:spacing w:lineRule="auto" w:line="333"/>
        <w:jc w:val="left"/>
        <w:rPr/>
      </w:pPr>
      <w:r>
        <w:rPr>
          <w:rFonts w:ascii="Times New Roman;sans-serif" w:hAnsi="Times New Roman;sans-serif"/>
          <w:b w:val="false"/>
          <w:color w:val="0563C1"/>
          <w:sz w:val="22"/>
          <w:u w:val="single"/>
        </w:rPr>
        <w:t>investors@anaptysbio.com</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data)</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00"/>
        <w:jc w:val="center"/>
        <w:rPr/>
      </w:pPr>
      <w:r>
        <w:rPr/>
      </w:r>
    </w:p>
    <w:tbl>
      <w:tblPr>
        <w:tblW w:w="10205" w:type="dxa"/>
        <w:jc w:val="left"/>
        <w:tblInd w:w="0" w:type="dxa"/>
        <w:tblLayout w:type="fixed"/>
        <w:tblCellMar>
          <w:top w:w="28" w:type="dxa"/>
          <w:left w:w="28" w:type="dxa"/>
          <w:bottom w:w="28" w:type="dxa"/>
          <w:right w:w="28" w:type="dxa"/>
        </w:tblCellMar>
      </w:tblPr>
      <w:tblGrid>
        <w:gridCol w:w="2790"/>
        <w:gridCol w:w="2301"/>
        <w:gridCol w:w="2288"/>
        <w:gridCol w:w="218"/>
        <w:gridCol w:w="820"/>
        <w:gridCol w:w="121"/>
        <w:gridCol w:w="109"/>
        <w:gridCol w:w="109"/>
        <w:gridCol w:w="109"/>
        <w:gridCol w:w="241"/>
        <w:gridCol w:w="905"/>
        <w:gridCol w:w="194"/>
      </w:tblGrid>
      <w:tr>
        <w:trPr/>
        <w:tc>
          <w:tcPr>
            <w:tcW w:w="2790"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369,933</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437,154 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447,205 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17,898</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142,935</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551,792 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610,383 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sale of future royalties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 shares authorized and no shares, issued or outstanding at March 31, 2023 and December 31, 2022, respectively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500,000 shares authorized, 27,018 shares and 28,513 shares issued and outstanding at March 31, 2023 and December 31, 2022, respectively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 in capital</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689,065 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717,797 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(494,732)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(450,477)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191,093 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262,103 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551,792 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610,383 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AnaptysBio, Inc.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per share data) </w:t>
      </w:r>
    </w:p>
    <w:p>
      <w:pPr>
        <w:pStyle w:val="TextBody"/>
        <w:bidi w:val="0"/>
        <w:spacing w:lineRule="auto" w:line="333" w:before="0" w:after="10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329" w:type="dxa"/>
        <w:jc w:val="left"/>
        <w:tblInd w:w="0" w:type="dxa"/>
        <w:tblLayout w:type="fixed"/>
        <w:tblCellMar>
          <w:top w:w="28" w:type="dxa"/>
          <w:left w:w="28" w:type="dxa"/>
          <w:bottom w:w="28" w:type="dxa"/>
          <w:right w:w="28" w:type="dxa"/>
        </w:tblCellMar>
      </w:tblPr>
      <w:tblGrid>
        <w:gridCol w:w="1488"/>
        <w:gridCol w:w="1307"/>
        <w:gridCol w:w="1315"/>
        <w:gridCol w:w="109"/>
        <w:gridCol w:w="109"/>
        <w:gridCol w:w="140"/>
        <w:gridCol w:w="140"/>
        <w:gridCol w:w="253"/>
        <w:gridCol w:w="930"/>
        <w:gridCol w:w="140"/>
        <w:gridCol w:w="109"/>
        <w:gridCol w:w="109"/>
        <w:gridCol w:w="109"/>
        <w:gridCol w:w="196"/>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98" w:type="dxa"/>
            <w:gridSpan w:val="6"/>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45,775 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for the sale of future royalties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27,953 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2467</Words>
  <Characters>14348</Characters>
  <CharactersWithSpaces>16665</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