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40"/>
        <w:spacing w:after="0"/>
        <w:rPr>
          <w:sz w:val="20"/>
          <w:szCs w:val="20"/>
          <w:color w:val="auto"/>
        </w:rPr>
      </w:pPr>
      <w:r>
        <w:rPr>
          <w:rFonts w:ascii="Arial" w:cs="Arial" w:eastAsia="Arial" w:hAnsi="Arial"/>
          <w:sz w:val="20"/>
          <w:szCs w:val="20"/>
          <w:b w:val="1"/>
          <w:bCs w:val="1"/>
          <w:color w:val="auto"/>
        </w:rPr>
        <w:t>Date of Report: March 7, 2022</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8" w:lineRule="exact"/>
        <w:rPr>
          <w:sz w:val="20"/>
          <w:szCs w:val="20"/>
          <w:color w:val="auto"/>
        </w:rPr>
      </w:pPr>
    </w:p>
    <w:p>
      <w:pPr>
        <w:ind w:right="400"/>
        <w:spacing w:after="0" w:line="272" w:lineRule="auto"/>
        <w:rPr>
          <w:sz w:val="20"/>
          <w:szCs w:val="20"/>
          <w:color w:val="auto"/>
        </w:rPr>
      </w:pPr>
      <w:r>
        <w:rPr>
          <w:rFonts w:ascii="Arial" w:cs="Arial" w:eastAsia="Arial" w:hAnsi="Arial"/>
          <w:sz w:val="19"/>
          <w:szCs w:val="19"/>
          <w:color w:val="auto"/>
        </w:rPr>
        <w:t>On March 7, 2022, AnaptysBio, Inc. (“AnaptysBio”) issued a press release announcing its financial results for the three months and year ended December 31, 2021. A copy of the press release is attached as Exhibit 99.1 to this Current Report on Form 8-K.</w:t>
      </w:r>
    </w:p>
    <w:p>
      <w:pPr>
        <w:spacing w:after="0" w:line="180"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2"/>
              </w:rPr>
              <w:t>Press release issued by AnaptysBio, Inc. regarding its financial results for the three months and year ended</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December 31, 2021, dated March 7, 2022.</w:t>
            </w:r>
          </w:p>
        </w:tc>
      </w:tr>
      <w:tr>
        <w:trPr>
          <w:trHeight w:val="236"/>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25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940" w:type="dxa"/>
            <w:vAlign w:val="bottom"/>
          </w:tcPr>
          <w:p>
            <w:pPr>
              <w:spacing w:after="0"/>
              <w:rPr>
                <w:sz w:val="21"/>
                <w:szCs w:val="21"/>
                <w:color w:val="auto"/>
              </w:rPr>
            </w:pPr>
          </w:p>
        </w:tc>
        <w:tc>
          <w:tcPr>
            <w:tcW w:w="8280" w:type="dxa"/>
            <w:vAlign w:val="bottom"/>
            <w:gridSpan w:val="2"/>
          </w:tcPr>
          <w:p>
            <w:pPr>
              <w:ind w:left="1280"/>
              <w:spacing w:after="0"/>
              <w:rPr>
                <w:sz w:val="20"/>
                <w:szCs w:val="20"/>
                <w:color w:val="auto"/>
              </w:rPr>
            </w:pPr>
            <w:r>
              <w:rPr>
                <w:rFonts w:ascii="Arial" w:cs="Arial" w:eastAsia="Arial" w:hAnsi="Arial"/>
                <w:sz w:val="20"/>
                <w:szCs w:val="20"/>
                <w:color w:val="auto"/>
              </w:rPr>
              <w:t>AnaptysBio, Inc.</w:t>
            </w:r>
          </w:p>
        </w:tc>
      </w:tr>
      <w:tr>
        <w:trPr>
          <w:trHeight w:val="246"/>
        </w:trPr>
        <w:tc>
          <w:tcPr>
            <w:tcW w:w="2940" w:type="dxa"/>
            <w:vAlign w:val="bottom"/>
          </w:tcPr>
          <w:p>
            <w:pPr>
              <w:spacing w:after="0"/>
              <w:rPr>
                <w:sz w:val="20"/>
                <w:szCs w:val="20"/>
                <w:color w:val="auto"/>
              </w:rPr>
            </w:pPr>
            <w:r>
              <w:rPr>
                <w:rFonts w:ascii="Arial" w:cs="Arial" w:eastAsia="Arial" w:hAnsi="Arial"/>
                <w:sz w:val="20"/>
                <w:szCs w:val="20"/>
                <w:color w:val="auto"/>
              </w:rPr>
              <w:t>Date: March 7, 2022</w:t>
            </w:r>
          </w:p>
        </w:tc>
        <w:tc>
          <w:tcPr>
            <w:tcW w:w="8280" w:type="dxa"/>
            <w:vAlign w:val="bottom"/>
            <w:gridSpan w:val="2"/>
          </w:tcPr>
          <w:p>
            <w:pPr>
              <w:ind w:left="1280"/>
              <w:spacing w:after="0"/>
              <w:rPr>
                <w:sz w:val="20"/>
                <w:szCs w:val="20"/>
                <w:color w:val="auto"/>
              </w:rPr>
            </w:pPr>
            <w:r>
              <w:rPr>
                <w:rFonts w:ascii="Arial" w:cs="Arial" w:eastAsia="Arial" w:hAnsi="Arial"/>
                <w:sz w:val="20"/>
                <w:szCs w:val="20"/>
                <w:color w:val="auto"/>
              </w:rPr>
              <w:t>By:   /s/Dennis Mulroy</w:t>
            </w:r>
          </w:p>
        </w:tc>
      </w:tr>
      <w:tr>
        <w:trPr>
          <w:trHeight w:val="254"/>
        </w:trPr>
        <w:tc>
          <w:tcPr>
            <w:tcW w:w="29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29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5"/>
          <w:szCs w:val="25"/>
          <w:b w:val="1"/>
          <w:bCs w:val="1"/>
          <w:color w:val="auto"/>
        </w:rPr>
        <w:t>AnaptysBio Announces Fourth Quarter and Full Year 2021 Financial Results and</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Provides Pipeline Update</w:t>
      </w:r>
    </w:p>
    <w:p>
      <w:pPr>
        <w:spacing w:after="0" w:line="137"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9"/>
          <w:szCs w:val="19"/>
          <w:color w:val="auto"/>
        </w:rPr>
      </w:pPr>
      <w:r>
        <w:rPr>
          <w:rFonts w:ascii="Arial" w:cs="Arial" w:eastAsia="Arial" w:hAnsi="Arial"/>
          <w:sz w:val="19"/>
          <w:szCs w:val="19"/>
          <w:color w:val="auto"/>
        </w:rPr>
        <w:t>Imsidolimab GPP GALLOP Phase 2 16-week data presented at 2021 EADV Congress and Phase 3 GPP GEMINI-1 trial initiated</w:t>
      </w:r>
    </w:p>
    <w:p>
      <w:pPr>
        <w:spacing w:after="0" w:line="119" w:lineRule="exact"/>
        <w:rPr>
          <w:rFonts w:ascii="Arial" w:cs="Arial" w:eastAsia="Arial" w:hAnsi="Arial"/>
          <w:sz w:val="19"/>
          <w:szCs w:val="19"/>
          <w:color w:val="auto"/>
        </w:rPr>
      </w:pPr>
    </w:p>
    <w:p>
      <w:pPr>
        <w:ind w:left="340" w:right="26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anticipated from ongoing imsidolimab ACORN Phase 2 trial in moderate-to-severe acne in H1 2022 and HARP Phase 2 trial in moderate-to-severe hidradenitis suppurativa in H2 2022</w:t>
      </w:r>
    </w:p>
    <w:p>
      <w:pPr>
        <w:spacing w:after="0" w:line="68" w:lineRule="exact"/>
        <w:rPr>
          <w:rFonts w:ascii="Arial" w:cs="Arial" w:eastAsia="Arial" w:hAnsi="Arial"/>
          <w:sz w:val="20"/>
          <w:szCs w:val="20"/>
          <w:color w:val="auto"/>
        </w:rPr>
      </w:pPr>
    </w:p>
    <w:p>
      <w:pPr>
        <w:ind w:left="340" w:right="28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Rosnilimab AZURE Phase 2 trial initiated in alopecia areata following positive Phase 1 top-line data in single and multiple ascending dose healthy volunteer cohorts</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color w:val="auto"/>
        </w:rPr>
        <w:t>Top-line data from ongoing ANB032 healthy volunteer Phase 1 clinical trial anticipated in H1 2022</w:t>
      </w:r>
    </w:p>
    <w:p>
      <w:pPr>
        <w:spacing w:after="0" w:line="107" w:lineRule="exact"/>
        <w:rPr>
          <w:rFonts w:ascii="Arial" w:cs="Arial" w:eastAsia="Arial" w:hAnsi="Arial"/>
          <w:sz w:val="20"/>
          <w:szCs w:val="20"/>
          <w:color w:val="auto"/>
        </w:rPr>
      </w:pPr>
    </w:p>
    <w:p>
      <w:pPr>
        <w:ind w:left="340" w:right="260" w:hanging="332"/>
        <w:spacing w:after="0" w:line="260"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JEMPERLI royalty monetization transaction completed with Sagard Healthcare Royalty Partners for $250 million upfront payment in exchange for capped return on royalties and certain milestones below $1 billion in annual sales</w:t>
      </w:r>
    </w:p>
    <w:p>
      <w:pPr>
        <w:spacing w:after="0" w:line="68" w:lineRule="exact"/>
        <w:rPr>
          <w:rFonts w:ascii="Arial" w:cs="Arial" w:eastAsia="Arial" w:hAnsi="Arial"/>
          <w:sz w:val="20"/>
          <w:szCs w:val="20"/>
          <w:color w:val="auto"/>
        </w:rPr>
      </w:pPr>
    </w:p>
    <w:p>
      <w:pPr>
        <w:ind w:left="320" w:hanging="312"/>
        <w:spacing w:after="0"/>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color w:val="auto"/>
        </w:rPr>
        <w:t>Ended 2021 with approximately $615 million in cash and will continue to operate in a capital-efficient manner</w:t>
      </w:r>
    </w:p>
    <w:p>
      <w:pPr>
        <w:spacing w:after="0" w:line="210" w:lineRule="exact"/>
        <w:rPr>
          <w:sz w:val="20"/>
          <w:szCs w:val="20"/>
          <w:color w:val="auto"/>
        </w:rPr>
      </w:pPr>
    </w:p>
    <w:p>
      <w:pPr>
        <w:ind w:right="600"/>
        <w:spacing w:after="0" w:line="346" w:lineRule="auto"/>
        <w:rPr>
          <w:sz w:val="20"/>
          <w:szCs w:val="20"/>
          <w:color w:val="auto"/>
        </w:rPr>
      </w:pPr>
      <w:r>
        <w:rPr>
          <w:rFonts w:ascii="Arial" w:cs="Arial" w:eastAsia="Arial" w:hAnsi="Arial"/>
          <w:sz w:val="16"/>
          <w:szCs w:val="16"/>
          <w:b w:val="1"/>
          <w:bCs w:val="1"/>
          <w:color w:val="auto"/>
        </w:rPr>
        <w:t xml:space="preserve">SAN DIEGO, March 7, 2022 </w:t>
      </w:r>
      <w:r>
        <w:rPr>
          <w:rFonts w:ascii="Arial" w:cs="Arial" w:eastAsia="Arial" w:hAnsi="Arial"/>
          <w:sz w:val="16"/>
          <w:szCs w:val="16"/>
          <w:color w:val="auto"/>
        </w:rPr>
        <w:t>- AnaptysBio, Inc. (Nasdaq: ANAB), a clinical-stage biotechnology company developing first-in-class</w:t>
      </w:r>
      <w:r>
        <w:rPr>
          <w:rFonts w:ascii="Arial" w:cs="Arial" w:eastAsia="Arial" w:hAnsi="Arial"/>
          <w:sz w:val="16"/>
          <w:szCs w:val="16"/>
          <w:b w:val="1"/>
          <w:bCs w:val="1"/>
          <w:color w:val="auto"/>
        </w:rPr>
        <w:t xml:space="preserve"> </w:t>
      </w:r>
      <w:r>
        <w:rPr>
          <w:rFonts w:ascii="Arial" w:cs="Arial" w:eastAsia="Arial" w:hAnsi="Arial"/>
          <w:sz w:val="16"/>
          <w:szCs w:val="16"/>
          <w:color w:val="auto"/>
        </w:rPr>
        <w:t>antibody product candidates focused on emerging immune control mechanisms applicable to inflammation and immuno-oncology indications, today reported operating results for the fourth quarter and year ended December 31, 2021 and provided pipeline updates.</w:t>
      </w:r>
    </w:p>
    <w:p>
      <w:pPr>
        <w:spacing w:after="0" w:line="115"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“We advanced our wholly-owned antibody product pipeline and completed a $250 million royalty monetization transaction during 2021,” said Hamza Suria, president and chief executive officer of AnaptysBio. “We look forward to multiple clinical data readouts during 2022 and remain focused on developing first-in-class therapeutic antibodies using a capital-efficient business model.”</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Imsidolimab (Anti-IL-36 Receptor) Program</w:t>
      </w:r>
    </w:p>
    <w:p>
      <w:pPr>
        <w:spacing w:after="0" w:line="256" w:lineRule="exact"/>
        <w:rPr>
          <w:sz w:val="20"/>
          <w:szCs w:val="20"/>
          <w:color w:val="auto"/>
        </w:rPr>
      </w:pPr>
    </w:p>
    <w:p>
      <w:pPr>
        <w:jc w:val="both"/>
        <w:ind w:left="660" w:right="20" w:hanging="328"/>
        <w:spacing w:after="0" w:line="267"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8"/>
          <w:szCs w:val="18"/>
          <w:color w:val="auto"/>
        </w:rPr>
        <w:t>Following an end-of-Phase 2 meeting with the FDA, we initiated our GEMINI-1 Phase 3 trial of imsidolimab in generalized pustular psoriasis (GPP) where the primary endpoint is the proportion of patients achieving a score of clear (0) or almost clear (1) skin on the Generalized Pustular Psoriasis Physician’s Global Assessment (GPPPGA) at week 4 in 45 patients randomized against placebo.</w:t>
      </w:r>
    </w:p>
    <w:p>
      <w:pPr>
        <w:ind w:left="660" w:right="60"/>
        <w:spacing w:after="0" w:line="244" w:lineRule="auto"/>
        <w:rPr>
          <w:rFonts w:ascii="Arial" w:cs="Arial" w:eastAsia="Arial" w:hAnsi="Arial"/>
          <w:sz w:val="19"/>
          <w:szCs w:val="19"/>
          <w:color w:val="auto"/>
        </w:rPr>
      </w:pPr>
      <w:r>
        <w:rPr>
          <w:rFonts w:ascii="Arial" w:cs="Arial" w:eastAsia="Arial" w:hAnsi="Arial"/>
          <w:sz w:val="20"/>
          <w:szCs w:val="20"/>
          <w:color w:val="auto"/>
        </w:rPr>
        <w:t>These same patients will subsequently be enrolled into GEMINI-2, which will assess 6 months of monthly subcutaneous dosing and safety follow-up.</w:t>
      </w:r>
    </w:p>
    <w:p>
      <w:pPr>
        <w:spacing w:after="0" w:line="218" w:lineRule="exact"/>
        <w:rPr>
          <w:rFonts w:ascii="Arial" w:cs="Arial" w:eastAsia="Arial" w:hAnsi="Arial"/>
          <w:sz w:val="19"/>
          <w:szCs w:val="19"/>
          <w:color w:val="auto"/>
        </w:rPr>
      </w:pPr>
    </w:p>
    <w:p>
      <w:pPr>
        <w:ind w:left="660" w:right="46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We anticipate top-line data from the ACORN Phase 2 trial of imsidolimab in moderate-to-severe acne in H1 2022 and from the HARP Phase 2 trial in moderate-to-severe hidradenitis suppurativa in H2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Rosnilimab (Anti-PD-1 Agonist) Program</w:t>
      </w:r>
    </w:p>
    <w:p>
      <w:pPr>
        <w:spacing w:after="0" w:line="256" w:lineRule="exact"/>
        <w:rPr>
          <w:sz w:val="20"/>
          <w:szCs w:val="20"/>
          <w:color w:val="auto"/>
        </w:rPr>
      </w:pPr>
    </w:p>
    <w:p>
      <w:pPr>
        <w:ind w:left="660" w:hanging="328"/>
        <w:spacing w:after="0" w:line="23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announced positive top-line data from a randomized placebo-controlled healthy volunteer single and multiple ascending dose Phase 1 trial of rosnilimab, our investigational wholly-owned anti-PD-1 agonist therapeutic antibody, previously known as ANB030. Top-line data demonstrated favorable safety, pharmacokinetics and pharmacodynamic results, which supported initiation of our Phase 2 AZURE clinical trial of rosnilimab in alopecia areata.</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256" w:lineRule="exact"/>
        <w:rPr>
          <w:sz w:val="20"/>
          <w:szCs w:val="20"/>
          <w:color w:val="auto"/>
        </w:rPr>
      </w:pPr>
    </w:p>
    <w:p>
      <w:pPr>
        <w:ind w:left="660" w:right="600" w:hanging="328"/>
        <w:spacing w:after="0" w:line="23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are advancing ANB032, our wholly-owned BTLA modulator antibody, in a healthy volunteer Phase 1 single and multiple ascending dose clinical trial where top-line data is anticipated during the first half of 2022.</w:t>
      </w:r>
    </w:p>
    <w:p>
      <w:pPr>
        <w:sectPr>
          <w:pgSz w:w="11900" w:h="16838" w:orient="portrait"/>
          <w:cols w:equalWidth="0" w:num="1">
            <w:col w:w="11180"/>
          </w:cols>
          <w:pgMar w:left="320" w:top="913" w:right="399" w:bottom="1440" w:gutter="0" w:footer="0" w:header="0"/>
        </w:sectPr>
      </w:pPr>
    </w:p>
    <w:bookmarkStart w:id="4" w:name="page5"/>
    <w:bookmarkEnd w:id="4"/>
    <w:p>
      <w:pPr>
        <w:spacing w:after="0"/>
        <w:rPr>
          <w:sz w:val="20"/>
          <w:szCs w:val="20"/>
          <w:color w:val="auto"/>
        </w:rPr>
      </w:pPr>
      <w:r>
        <w:rPr>
          <w:rFonts w:ascii="Arial" w:cs="Arial" w:eastAsia="Arial" w:hAnsi="Arial"/>
          <w:sz w:val="20"/>
          <w:szCs w:val="20"/>
          <w:i w:val="1"/>
          <w:iCs w:val="1"/>
          <w:u w:val="single" w:color="auto"/>
          <w:color w:val="auto"/>
        </w:rPr>
        <w:t>GSK Partnered Programs</w:t>
      </w:r>
    </w:p>
    <w:p>
      <w:pPr>
        <w:spacing w:after="0" w:line="256" w:lineRule="exact"/>
        <w:rPr>
          <w:sz w:val="20"/>
          <w:szCs w:val="20"/>
          <w:color w:val="auto"/>
        </w:rPr>
      </w:pPr>
    </w:p>
    <w:p>
      <w:pPr>
        <w:ind w:left="660" w:hanging="328"/>
        <w:spacing w:after="0" w:line="238" w:lineRule="auto"/>
        <w:tabs>
          <w:tab w:leader="none" w:pos="655" w:val="left"/>
        </w:tabs>
        <w:numPr>
          <w:ilvl w:val="0"/>
          <w:numId w:val="5"/>
        </w:numPr>
        <w:rPr>
          <w:rFonts w:ascii="Arial" w:cs="Arial" w:eastAsia="Arial" w:hAnsi="Arial"/>
          <w:sz w:val="22"/>
          <w:szCs w:val="22"/>
          <w:i w:val="1"/>
          <w:iCs w:val="1"/>
          <w:color w:val="auto"/>
        </w:rPr>
      </w:pPr>
      <w:r>
        <w:rPr>
          <w:rFonts w:ascii="Arial" w:cs="Arial" w:eastAsia="Arial" w:hAnsi="Arial"/>
          <w:sz w:val="20"/>
          <w:szCs w:val="20"/>
          <w:color w:val="auto"/>
        </w:rPr>
        <w:t>We completed a royalty monetization agreement with Sagard Healthcare Royalty Partners where AnaptysBio received a $250 million payment in exchange for JEMPERLI royalties due to AnaptysBio on annual commercial sales below $1 billion and certain future milestones starting October 2021. The aggregate JEMPERLI royalties and milestones to be received by Sagard under this Agreement is capped at certain fixed multiples of the upfront payment.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Fourth Quarter Financial Results</w:t>
      </w:r>
    </w:p>
    <w:p>
      <w:pPr>
        <w:spacing w:after="0" w:line="229" w:lineRule="exact"/>
        <w:rPr>
          <w:sz w:val="20"/>
          <w:szCs w:val="20"/>
          <w:color w:val="auto"/>
        </w:rPr>
      </w:pPr>
    </w:p>
    <w:p>
      <w:pPr>
        <w:ind w:left="660" w:right="12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Cash, cash equivalents and investments totaled $615.2 million as of December 31, 2021, compared to $411.2 million as of December 31, 2020, for an increase of $204.0 million. The increase relates primarily to cash received from the royalty monetization transaction with Sagard Healthcare Partners offset by cash used for operating activities.</w:t>
      </w:r>
    </w:p>
    <w:p>
      <w:pPr>
        <w:spacing w:after="0" w:line="185" w:lineRule="exact"/>
        <w:rPr>
          <w:rFonts w:ascii="Arial" w:cs="Arial" w:eastAsia="Arial" w:hAnsi="Arial"/>
          <w:sz w:val="20"/>
          <w:szCs w:val="20"/>
          <w:color w:val="auto"/>
        </w:rPr>
      </w:pPr>
    </w:p>
    <w:p>
      <w:pPr>
        <w:ind w:left="660" w:right="10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Collaboration revenue was $1.0 million and $63.2 million for the three and twelve months ended December 31, 2021. The $1.0 million earned during the fourth quarter primarily relates to royalty revenue earned for sales of JEMPERLI (dostarlimab) and Zejula by GSK, compared to $60.0 million and $75 million of milestone revenue for the three and twelve months ended December 31, 2020.</w:t>
      </w:r>
    </w:p>
    <w:p>
      <w:pPr>
        <w:spacing w:after="0" w:line="191" w:lineRule="exact"/>
        <w:rPr>
          <w:rFonts w:ascii="Arial" w:cs="Arial" w:eastAsia="Arial" w:hAnsi="Arial"/>
          <w:sz w:val="20"/>
          <w:szCs w:val="20"/>
          <w:color w:val="auto"/>
        </w:rPr>
      </w:pPr>
    </w:p>
    <w:p>
      <w:pPr>
        <w:ind w:left="660" w:right="4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Research and development expenses were $26.8 million and $98.5 million for the three and twelve months ended December 31, 2021, compared to $21.6 million and $80.0 million for the three and twelve months ended December 31, 2020. The increase was due primarily to continued advancement of the Company’s clinical programs.</w:t>
      </w:r>
    </w:p>
    <w:p>
      <w:pPr>
        <w:spacing w:after="0" w:line="185" w:lineRule="exact"/>
        <w:rPr>
          <w:rFonts w:ascii="Arial" w:cs="Arial" w:eastAsia="Arial" w:hAnsi="Arial"/>
          <w:sz w:val="20"/>
          <w:szCs w:val="20"/>
          <w:color w:val="auto"/>
        </w:rPr>
      </w:pPr>
    </w:p>
    <w:p>
      <w:pPr>
        <w:ind w:left="660" w:right="4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General and administrative expenses were $5.4 million and $21.5 million for the three and twelve months ended December 31, 2021, compared to $5.1 million and $18.9 million for the three and twelve months ended December 31, 2020. The increase was due primarily to personnel-related expenses, including share-based compensation.</w:t>
      </w:r>
    </w:p>
    <w:p>
      <w:pPr>
        <w:spacing w:after="0" w:line="185"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was $32.5 million and $57.8 million for the three and twelve months ended December 31, 2021, or a net loss per share of</w:t>
      </w:r>
    </w:p>
    <w:p>
      <w:pPr>
        <w:spacing w:after="0" w:line="38" w:lineRule="exact"/>
        <w:rPr>
          <w:rFonts w:ascii="Arial" w:cs="Arial" w:eastAsia="Arial" w:hAnsi="Arial"/>
          <w:sz w:val="18"/>
          <w:szCs w:val="18"/>
          <w:color w:val="auto"/>
        </w:rPr>
      </w:pPr>
    </w:p>
    <w:p>
      <w:pPr>
        <w:ind w:left="660" w:right="20"/>
        <w:spacing w:after="0" w:line="297" w:lineRule="auto"/>
        <w:rPr>
          <w:rFonts w:ascii="Arial" w:cs="Arial" w:eastAsia="Arial" w:hAnsi="Arial"/>
          <w:sz w:val="18"/>
          <w:szCs w:val="18"/>
          <w:color w:val="auto"/>
        </w:rPr>
      </w:pPr>
      <w:r>
        <w:rPr>
          <w:rFonts w:ascii="Arial" w:cs="Arial" w:eastAsia="Arial" w:hAnsi="Arial"/>
          <w:sz w:val="18"/>
          <w:szCs w:val="18"/>
          <w:color w:val="auto"/>
        </w:rPr>
        <w:t>$1.18, and $2.11, compared to net income of $33.6 million for the three months ended December 31, 2020 or net income per share of $1.23 and a net loss of $19.9 million for the twelve months ended December 31, 2020, or net loss per share of $0.73.</w:t>
      </w:r>
    </w:p>
    <w:p>
      <w:pPr>
        <w:sectPr>
          <w:pgSz w:w="11900" w:h="16838" w:orient="portrait"/>
          <w:cols w:equalWidth="0" w:num="1">
            <w:col w:w="11220"/>
          </w:cols>
          <w:pgMar w:left="320" w:top="1135"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AnaptysBio</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moderate-to-severe acne, and moderate-to-severe hidradenitis suppurativa; rosnilimab, its anti-PD-1 agonist program, previously referred to as ANB030, for the treatment of moderate-to-severe alopecia areata;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w:t>
      </w:r>
    </w:p>
    <w:p>
      <w:pPr>
        <w:spacing w:after="0" w:line="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technologies. AnaptysBio has also developed multiple therapeutic antibodies in an immuno-oncology collaboration with GSK, including an anti-PD-1 antagonist antibody (JEMPERLI (dostarlimab-gxly) GSK4057190), an anti-TIM-3 antagonist antibody (cobolimab, GSK4069889) and an anti-LAG-3 antagonist antibody (GSK4074386), and an inflammation collaboration with Bristol-Myers Squibb, including an anti-PD-1 checkpoint agonist antibody (CC-90006) currently in clinical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trials in acne, and hidradenitis suppurativa, rosnilimab’s Phase 2 clinical trial in alopecia areata, and ANB032’s healthy volunteer Phase 1 trial; the risk that commercial sales of JEMPERLI may not reach expected levels under the GSK collaboration; and our projected use of our cash resources.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858.732.0201</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dmulroy@anaptysbio.com</w:t>
      </w:r>
    </w:p>
    <w:p>
      <w:pPr>
        <w:sectPr>
          <w:pgSz w:w="11900" w:h="16838" w:orient="portrait"/>
          <w:cols w:equalWidth="0" w:num="1">
            <w:col w:w="11220"/>
          </w:cols>
          <w:pgMar w:left="320" w:top="1075"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December 31, 2021</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0"/>
        </w:trPr>
        <w:tc>
          <w:tcPr>
            <w:tcW w:w="7940" w:type="dxa"/>
            <w:vAlign w:val="bottom"/>
          </w:tcPr>
          <w:p>
            <w:pPr>
              <w:ind w:left="53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495,729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collaborative partners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07"/>
        </w:trPr>
        <w:tc>
          <w:tcPr>
            <w:tcW w:w="794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553,876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restricted cash</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794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643,070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40" w:type="dxa"/>
            <w:vAlign w:val="bottom"/>
            <w:shd w:val="clear" w:color="auto" w:fill="CCEEFF"/>
          </w:tcPr>
          <w:p>
            <w:pPr>
              <w:ind w:left="38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6"/>
        </w:trPr>
        <w:tc>
          <w:tcPr>
            <w:tcW w:w="794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related to sale of future royalties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40" w:type="dxa"/>
            <w:vAlign w:val="bottom"/>
          </w:tcPr>
          <w:p>
            <w:pPr>
              <w:ind w:left="20"/>
              <w:spacing w:after="0" w:line="166"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December 31, 2021</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and December 31, 2020, respectively</w:t>
            </w: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Common stock, $0.001 par value, 500,000 shares authorized, 27,647 shares and 27,356 shares issued and outstanding at</w:t>
            </w:r>
          </w:p>
        </w:tc>
        <w:tc>
          <w:tcPr>
            <w:tcW w:w="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2021 and December 31, 2020, respectively</w:t>
            </w:r>
          </w:p>
        </w:tc>
        <w:tc>
          <w:tcPr>
            <w:tcW w:w="2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Additional paid 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678,575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6"/>
        </w:trPr>
        <w:tc>
          <w:tcPr>
            <w:tcW w:w="794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643,070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4"/>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04"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4"/>
                <w:szCs w:val="14"/>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63,175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80,025</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119,989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98,879</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Income (loss) from operations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(23,879)</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interest expense for the sale of future royalties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(19,931)</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520"/>
              <w:spacing w:after="0" w:line="166" w:lineRule="exact"/>
              <w:rPr>
                <w:sz w:val="20"/>
                <w:szCs w:val="20"/>
                <w:color w:val="auto"/>
              </w:rPr>
            </w:pPr>
            <w:r>
              <w:rPr>
                <w:rFonts w:ascii="Arial" w:cs="Arial" w:eastAsia="Arial" w:hAnsi="Arial"/>
                <w:sz w:val="16"/>
                <w:szCs w:val="16"/>
                <w:color w:val="auto"/>
                <w:w w:val="96"/>
              </w:rPr>
              <w:t>Unrealized (loss) income on available for sale securities, net of tax of $0, $0,</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 and $153, respectively</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2022-03-07T07:55:02Z</dcterms:created>
  <dcterms:modified xsi:type="dcterms:W3CDTF">2022-03-07T07:55:02Z</dcterms:modified>
</cp:coreProperties>
</file>