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January 11,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13"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480" w:space="720"/>
            <w:col w:w="290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60" w:space="720"/>
            <w:col w:w="3320"/>
          </w:cols>
          <w:pgMar w:left="320" w:top="1440" w:right="33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On January 11, 2021, AnaptysBio, Inc., a Delaware corporation (“AnaptysBio”), presented certain preliminary, unaudited financial information in connection with a presentation (the “Presentation”) at the J.P. Morgan Healthcare Conference, including that AnaptysBio expects to report that it had cash and cash equivalents and investments of approximately $410 million as of December 31, 2020.</w:t>
      </w:r>
    </w:p>
    <w:p>
      <w:pPr>
        <w:spacing w:after="0" w:line="179"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AnaptysBio’s audited financial statements for the fiscal year ended December 31, 2020 are not yet available. Accordingly, the preliminary financial information included in the Presentation is an estimate subject to the completion of AnaptysBio’s financial closing procedures and any adjustments that may result from the completion of the audit of AnaptysBio’s financial statements. The preliminary financial information may differ materially from the actual results that will be reflected in AnaptysBio’s audited financial statements when they are completed and publicly disclosed. Additional information and disclosures would be required for a more complete understanding of AnapytsBio’s financial position and results of operations as of December 31, 2020.</w:t>
      </w:r>
    </w:p>
    <w:p>
      <w:pPr>
        <w:spacing w:after="0" w:line="211"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The information in this Item 2.02 shall not be deemed to be “filed” for purposes of Section 18 of the Securities Exchange Act of 1934, as amended, or otherwise subject to the liabilities of that section or Sections 11 and 12(a)(2) of the Securities Act of 1933, as amended. The information contained in this Item 2.02 shall not be incorporated by reference into any registration statement or other document filed by AnaptysBio with the SEC,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AnaptysBio is furnishing the Presentation, a full copy of which is attached hereto as Exhibit 99.1.</w:t>
      </w:r>
    </w:p>
    <w:p>
      <w:pPr>
        <w:spacing w:after="0" w:line="229"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color w:val="auto"/>
        </w:rPr>
        <w:t>The information furnished with this report,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0" w:type="dxa"/>
            <w:vAlign w:val="bottom"/>
          </w:tcPr>
          <w:p>
            <w:pPr>
              <w:ind w:left="20"/>
              <w:spacing w:after="0"/>
              <w:rPr>
                <w:sz w:val="20"/>
                <w:szCs w:val="20"/>
                <w:color w:val="auto"/>
              </w:rPr>
            </w:pPr>
            <w:r>
              <w:rPr>
                <w:rFonts w:ascii="Arial" w:cs="Arial" w:eastAsia="Arial" w:hAnsi="Arial"/>
                <w:sz w:val="20"/>
                <w:szCs w:val="20"/>
                <w:color w:val="auto"/>
              </w:rPr>
              <w:t>99.1</w:t>
            </w:r>
          </w:p>
        </w:tc>
        <w:tc>
          <w:tcPr>
            <w:tcW w:w="10520" w:type="dxa"/>
            <w:vAlign w:val="bottom"/>
          </w:tcPr>
          <w:p>
            <w:pPr>
              <w:ind w:left="360"/>
              <w:spacing w:after="0"/>
              <w:rPr>
                <w:rFonts w:ascii="Arial" w:cs="Arial" w:eastAsia="Arial" w:hAnsi="Arial"/>
                <w:sz w:val="20"/>
                <w:szCs w:val="20"/>
                <w:color w:val="0000FF"/>
              </w:rPr>
            </w:pPr>
            <w:hyperlink w:anchor="page5">
              <w:r>
                <w:rPr>
                  <w:rFonts w:ascii="Arial" w:cs="Arial" w:eastAsia="Arial" w:hAnsi="Arial"/>
                  <w:sz w:val="20"/>
                  <w:szCs w:val="20"/>
                  <w:u w:val="single" w:color="auto"/>
                  <w:color w:val="0000FF"/>
                </w:rPr>
                <w:t>AnaptysBio Presentation, dated January 2021</w:t>
              </w:r>
              <w:r>
                <w:rPr>
                  <w:rFonts w:ascii="Arial" w:cs="Arial" w:eastAsia="Arial" w:hAnsi="Arial"/>
                  <w:sz w:val="20"/>
                  <w:szCs w:val="20"/>
                  <w:color w:val="0000FF"/>
                </w:rPr>
                <w:t>.</w:t>
              </w:r>
            </w:hyperlink>
          </w:p>
        </w:tc>
      </w:tr>
      <w:tr>
        <w:trPr>
          <w:trHeight w:val="250"/>
        </w:trPr>
        <w:tc>
          <w:tcPr>
            <w:tcW w:w="720" w:type="dxa"/>
            <w:vAlign w:val="bottom"/>
          </w:tcPr>
          <w:p>
            <w:pPr>
              <w:ind w:left="20"/>
              <w:spacing w:after="0"/>
              <w:rPr>
                <w:sz w:val="20"/>
                <w:szCs w:val="20"/>
                <w:color w:val="auto"/>
              </w:rPr>
            </w:pPr>
            <w:r>
              <w:rPr>
                <w:rFonts w:ascii="Arial" w:cs="Arial" w:eastAsia="Arial" w:hAnsi="Arial"/>
                <w:sz w:val="20"/>
                <w:szCs w:val="20"/>
                <w:color w:val="auto"/>
              </w:rPr>
              <w:t>104</w:t>
            </w:r>
          </w:p>
        </w:tc>
        <w:tc>
          <w:tcPr>
            <w:tcW w:w="10520" w:type="dxa"/>
            <w:vAlign w:val="bottom"/>
          </w:tcPr>
          <w:p>
            <w:pPr>
              <w:ind w:left="360"/>
              <w:spacing w:after="0"/>
              <w:rPr>
                <w:sz w:val="20"/>
                <w:szCs w:val="20"/>
                <w:color w:val="auto"/>
              </w:rPr>
            </w:pPr>
            <w:r>
              <w:rPr>
                <w:rFonts w:ascii="Arial" w:cs="Arial" w:eastAsia="Arial" w:hAnsi="Arial"/>
                <w:sz w:val="20"/>
                <w:szCs w:val="20"/>
                <w:color w:val="auto"/>
              </w:rPr>
              <w:t>Cover Page Interactive Data File (the cover page XBRL tags are embedded within the inline XBRL document).</w:t>
            </w:r>
          </w:p>
        </w:tc>
      </w:tr>
      <w:tr>
        <w:trPr>
          <w:trHeight w:val="1110"/>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Current Report on Form 8-K contains forward-looking statements within the meaning of the U.S. Private Securities Litigation Reform Act of 1995 and other federal securities laws. Any statements contained herein that do not describe historical facts, including, but not limited to, statements regarding AnaptysBio’s expected cash, cash equivalents and investments as of December 31, 2020, are forward-looking statements that involve risks and uncertainties that could cause actual results to differ materially from those discussed in such forward-looking statements. Such risks and uncertainties include, among others, the risks identified in AnaptysBio’s filings with the Securities and Exchange Commission (“SEC”), including its Quarterly Report on Form 10-Q for the quarter ended September 30, 2020, filed with the SEC on November 4, 2020, and subsequent filings with the SEC. Any of these risks and uncertainties could materially and adversely affect AnaptysBio’s results of operations, which would, in turn, have a significant and adverse impact on AnaptysBio’s stock price. AnaptysBio cautions you not to place undue reliance on any forward-looking statements, which speak only as of the date they are made. AnaptysBio undertakes no obligation to update publicly any forward-looking statements to reflect new information, events or circumstances after the date they were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AnaptysBio, Inc.</w:t>
      </w:r>
    </w:p>
    <w:p>
      <w:pPr>
        <w:spacing w:after="0" w:line="20" w:lineRule="exact"/>
        <w:rPr>
          <w:sz w:val="20"/>
          <w:szCs w:val="20"/>
          <w:color w:val="auto"/>
        </w:rPr>
      </w:pPr>
    </w:p>
    <w:p>
      <w:pPr>
        <w:ind w:left="20"/>
        <w:spacing w:after="0"/>
        <w:tabs>
          <w:tab w:leader="none" w:pos="4200" w:val="left"/>
          <w:tab w:leader="none" w:pos="4780" w:val="left"/>
        </w:tabs>
        <w:rPr>
          <w:sz w:val="20"/>
          <w:szCs w:val="20"/>
          <w:color w:val="auto"/>
        </w:rPr>
      </w:pPr>
      <w:r>
        <w:rPr>
          <w:rFonts w:ascii="Arial" w:cs="Arial" w:eastAsia="Arial" w:hAnsi="Arial"/>
          <w:sz w:val="20"/>
          <w:szCs w:val="20"/>
          <w:color w:val="auto"/>
        </w:rPr>
        <w:t>Date: January 11,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5715</wp:posOffset>
            </wp:positionV>
            <wp:extent cx="4105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0"/>
          <w:szCs w:val="20"/>
          <w:color w:val="auto"/>
        </w:rPr>
        <w:t>Name: Eric Loumeau</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66610" cy="5349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6661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57720" cy="5349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577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9465" cy="5349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4946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9465" cy="5349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4946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57720" cy="5349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577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57720" cy="5349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577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15175" cy="5349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151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57720" cy="5349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577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9465" cy="5349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4946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115175" cy="5349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151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57720" cy="5349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577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66610" cy="5349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6661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9465" cy="5349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4946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349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83755" cy="5349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8375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66610" cy="5349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6661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66610" cy="5349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6661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5349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40575" cy="5349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2021-01-11T09:29:00Z</dcterms:created>
  <dcterms:modified xsi:type="dcterms:W3CDTF">2021-01-11T09:29:00Z</dcterms:modified>
</cp:coreProperties>
</file>