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2486660</wp:posOffset>
            </wp:positionH>
            <wp:positionV relativeFrom="page">
              <wp:posOffset>614045</wp:posOffset>
            </wp:positionV>
            <wp:extent cx="25844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4450" cy="8255"/>
                    </a:xfrm>
                    <a:prstGeom prst="rect">
                      <a:avLst/>
                    </a:prstGeom>
                    <a:noFill/>
                  </pic:spPr>
                </pic:pic>
              </a:graphicData>
            </a:graphic>
          </wp:anchor>
        </w:drawing>
        <w:t>UNITED STATES</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2283460</wp:posOffset>
            </wp:positionH>
            <wp:positionV relativeFrom="paragraph">
              <wp:posOffset>121920</wp:posOffset>
            </wp:positionV>
            <wp:extent cx="25844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84450" cy="8255"/>
                    </a:xfrm>
                    <a:prstGeom prst="rect">
                      <a:avLst/>
                    </a:prstGeom>
                    <a:noFill/>
                  </pic:spPr>
                </pic:pic>
              </a:graphicData>
            </a:graphic>
          </wp:anchor>
        </w:drawing>
      </w:r>
    </w:p>
    <w:p>
      <w:pPr>
        <w:spacing w:after="0" w:line="2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2283460</wp:posOffset>
            </wp:positionH>
            <wp:positionV relativeFrom="paragraph">
              <wp:posOffset>131445</wp:posOffset>
            </wp:positionV>
            <wp:extent cx="25844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84450" cy="8255"/>
                    </a:xfrm>
                    <a:prstGeom prst="rect">
                      <a:avLst/>
                    </a:prstGeom>
                    <a:noFill/>
                  </pic:spPr>
                </pic:pic>
              </a:graphicData>
            </a:graphic>
          </wp:anchor>
        </w:drawing>
      </w:r>
    </w:p>
    <w:p>
      <w:pPr>
        <w:spacing w:after="0" w:line="302" w:lineRule="exact"/>
        <w:rPr>
          <w:sz w:val="24"/>
          <w:szCs w:val="24"/>
          <w:color w:val="auto"/>
        </w:rPr>
      </w:pPr>
    </w:p>
    <w:p>
      <w:pPr>
        <w:ind w:left="440" w:hanging="416"/>
        <w:spacing w:after="0"/>
        <w:tabs>
          <w:tab w:leader="none" w:pos="44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40" w:hanging="416"/>
        <w:spacing w:after="0"/>
        <w:tabs>
          <w:tab w:leader="none" w:pos="4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14" w:lineRule="exact"/>
        <w:rPr>
          <w:sz w:val="24"/>
          <w:szCs w:val="24"/>
          <w:color w:val="auto"/>
        </w:rPr>
      </w:pPr>
    </w:p>
    <w:p>
      <w:pPr>
        <w:ind w:left="3400"/>
        <w:spacing w:after="0"/>
        <w:tabs>
          <w:tab w:leader="none" w:pos="6660" w:val="left"/>
          <w:tab w:leader="none" w:pos="7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3646805</wp:posOffset>
            </wp:positionH>
            <wp:positionV relativeFrom="paragraph">
              <wp:posOffset>-6350</wp:posOffset>
            </wp:positionV>
            <wp:extent cx="13081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2283460</wp:posOffset>
            </wp:positionH>
            <wp:positionV relativeFrom="paragraph">
              <wp:posOffset>120015</wp:posOffset>
            </wp:positionV>
            <wp:extent cx="25844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4450" cy="8255"/>
                    </a:xfrm>
                    <a:prstGeom prst="rect">
                      <a:avLst/>
                    </a:prstGeom>
                    <a:noFill/>
                  </pic:spPr>
                </pic:pic>
              </a:graphicData>
            </a:graphic>
          </wp:anchor>
        </w:drawing>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ANAPTYSBIO,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2283460</wp:posOffset>
            </wp:positionH>
            <wp:positionV relativeFrom="paragraph">
              <wp:posOffset>113030</wp:posOffset>
            </wp:positionV>
            <wp:extent cx="25844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84450" cy="8255"/>
                    </a:xfrm>
                    <a:prstGeom prst="rect">
                      <a:avLst/>
                    </a:prstGeom>
                    <a:noFill/>
                  </pic:spPr>
                </pic:pic>
              </a:graphicData>
            </a:graphic>
          </wp:anchor>
        </w:drawing>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3980" w:type="dxa"/>
            <w:vAlign w:val="bottom"/>
            <w:gridSpan w:val="2"/>
          </w:tcPr>
          <w:p>
            <w:pPr>
              <w:jc w:val="center"/>
              <w:ind w:left="19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4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8"/>
              </w:rPr>
              <w:t>20-3828755</w:t>
            </w:r>
          </w:p>
        </w:tc>
      </w:tr>
      <w:tr>
        <w:trPr>
          <w:trHeight w:val="147"/>
        </w:trPr>
        <w:tc>
          <w:tcPr>
            <w:tcW w:w="3980" w:type="dxa"/>
            <w:vAlign w:val="bottom"/>
            <w:gridSpan w:val="2"/>
          </w:tcPr>
          <w:p>
            <w:pPr>
              <w:jc w:val="center"/>
              <w:ind w:left="1997"/>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0" w:type="dxa"/>
            <w:vAlign w:val="bottom"/>
          </w:tcPr>
          <w:p>
            <w:pPr>
              <w:jc w:val="center"/>
              <w:ind w:right="2200"/>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3980" w:type="dxa"/>
            <w:vAlign w:val="bottom"/>
            <w:gridSpan w:val="2"/>
          </w:tcPr>
          <w:p>
            <w:pPr>
              <w:jc w:val="center"/>
              <w:ind w:left="199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40" w:type="dxa"/>
            <w:vAlign w:val="bottom"/>
            <w:gridSpan w:val="2"/>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96"/>
        </w:trPr>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10770 Wateridge Circle, Suite 210</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1"/>
        </w:trPr>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San Diego, CA 92121</w:t>
            </w: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87"/>
        </w:trPr>
        <w:tc>
          <w:tcPr>
            <w:tcW w:w="3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4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07"/>
        </w:trPr>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20" w:type="dxa"/>
            <w:vAlign w:val="bottom"/>
            <w:gridSpan w:val="2"/>
          </w:tcPr>
          <w:p>
            <w:pPr>
              <w:jc w:val="center"/>
              <w:ind w:left="83"/>
              <w:spacing w:after="0"/>
              <w:rPr>
                <w:sz w:val="20"/>
                <w:szCs w:val="20"/>
                <w:color w:val="auto"/>
              </w:rPr>
            </w:pPr>
            <w:r>
              <w:rPr>
                <w:rFonts w:ascii="Times New Roman" w:cs="Times New Roman" w:eastAsia="Times New Roman" w:hAnsi="Times New Roman"/>
                <w:sz w:val="18"/>
                <w:szCs w:val="18"/>
                <w:b w:val="1"/>
                <w:bCs w:val="1"/>
                <w:color w:val="auto"/>
                <w:w w:val="99"/>
              </w:rPr>
              <w:t>(858) 362-6295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87"/>
        </w:trPr>
        <w:tc>
          <w:tcPr>
            <w:tcW w:w="3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4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18"/>
        </w:trPr>
        <w:tc>
          <w:tcPr>
            <w:tcW w:w="3600" w:type="dxa"/>
            <w:vAlign w:val="bottom"/>
          </w:tcPr>
          <w:p>
            <w:pPr>
              <w:spacing w:after="0"/>
              <w:rPr>
                <w:sz w:val="24"/>
                <w:szCs w:val="24"/>
                <w:color w:val="auto"/>
              </w:rPr>
            </w:pPr>
          </w:p>
        </w:tc>
        <w:tc>
          <w:tcPr>
            <w:tcW w:w="480" w:type="dxa"/>
            <w:vAlign w:val="bottom"/>
            <w:tcBorders>
              <w:bottom w:val="single" w:sz="8" w:color="auto"/>
            </w:tcBorders>
            <w:gridSpan w:val="2"/>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3600" w:type="dxa"/>
            <w:vAlign w:val="bottom"/>
          </w:tcPr>
          <w:p>
            <w:pPr>
              <w:spacing w:after="0"/>
              <w:rPr>
                <w:sz w:val="24"/>
                <w:szCs w:val="24"/>
                <w:color w:val="auto"/>
              </w:rPr>
            </w:pPr>
          </w:p>
        </w:tc>
      </w:tr>
      <w:tr>
        <w:trPr>
          <w:trHeight w:val="314"/>
        </w:trPr>
        <w:tc>
          <w:tcPr>
            <w:tcW w:w="112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r>
      <w:tr>
        <w:trPr>
          <w:trHeight w:val="133"/>
        </w:trPr>
        <w:tc>
          <w:tcPr>
            <w:tcW w:w="398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40" w:type="dxa"/>
            <w:vAlign w:val="bottom"/>
            <w:tcBorders>
              <w:bottom w:val="single" w:sz="8" w:color="auto"/>
            </w:tcBorders>
            <w:gridSpan w:val="2"/>
          </w:tcPr>
          <w:p>
            <w:pPr>
              <w:spacing w:after="0"/>
              <w:rPr>
                <w:sz w:val="11"/>
                <w:szCs w:val="11"/>
                <w:color w:val="auto"/>
              </w:rPr>
            </w:pPr>
          </w:p>
        </w:tc>
      </w:tr>
      <w:tr>
        <w:trPr>
          <w:trHeight w:val="220"/>
        </w:trPr>
        <w:tc>
          <w:tcPr>
            <w:tcW w:w="3980" w:type="dxa"/>
            <w:vAlign w:val="bottom"/>
            <w:tcBorders>
              <w:left w:val="single" w:sz="8" w:color="auto"/>
              <w:bottom w:val="single" w:sz="8" w:color="auto"/>
            </w:tcBorders>
            <w:gridSpan w:val="2"/>
          </w:tcPr>
          <w:p>
            <w:pPr>
              <w:jc w:val="center"/>
              <w:ind w:left="17"/>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20" w:type="dxa"/>
            <w:vAlign w:val="bottom"/>
            <w:tcBorders>
              <w:bottom w:val="single" w:sz="8" w:color="auto"/>
            </w:tcBorders>
          </w:tcPr>
          <w:p>
            <w:pPr>
              <w:spacing w:after="0"/>
              <w:rPr>
                <w:sz w:val="19"/>
                <w:szCs w:val="19"/>
                <w:color w:val="auto"/>
              </w:rPr>
            </w:pPr>
          </w:p>
        </w:tc>
        <w:tc>
          <w:tcPr>
            <w:tcW w:w="3840" w:type="dxa"/>
            <w:vAlign w:val="bottom"/>
            <w:tcBorders>
              <w:bottom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20"/>
        </w:trPr>
        <w:tc>
          <w:tcPr>
            <w:tcW w:w="3980" w:type="dxa"/>
            <w:vAlign w:val="bottom"/>
            <w:tcBorders>
              <w:left w:val="single" w:sz="8" w:color="auto"/>
              <w:bottom w:val="single" w:sz="8" w:color="auto"/>
            </w:tcBorders>
            <w:gridSpan w:val="2"/>
          </w:tcPr>
          <w:p>
            <w:pPr>
              <w:jc w:val="center"/>
              <w:ind w:left="17"/>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jc w:val="center"/>
              <w:ind w:right="520"/>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75" w:lineRule="exact"/>
        <w:rPr>
          <w:sz w:val="24"/>
          <w:szCs w:val="24"/>
          <w:color w:val="auto"/>
        </w:rPr>
      </w:pPr>
    </w:p>
    <w:p>
      <w:pPr>
        <w:ind w:right="38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76" w:lineRule="exact"/>
        <w:tabs>
          <w:tab w:leader="none" w:pos="2580" w:val="left"/>
          <w:tab w:leader="none" w:pos="3320" w:val="left"/>
        </w:tabs>
        <w:rPr>
          <w:sz w:val="20"/>
          <w:szCs w:val="20"/>
          <w:color w:val="auto"/>
        </w:rPr>
      </w:pPr>
      <w:r>
        <w:rPr>
          <w:rFonts w:ascii="Times New Roman" w:cs="Times New Roman" w:eastAsia="Times New Roman" w:hAnsi="Times New Roman"/>
          <w:sz w:val="18"/>
          <w:szCs w:val="18"/>
          <w:color w:val="auto"/>
        </w:rPr>
        <w:t>requirements for the past 90 days:</w:t>
        <w:tab/>
        <w:t xml:space="preserve">Yes </w:t>
      </w:r>
      <w:r>
        <w:rPr>
          <w:rFonts w:ascii="MS PGothic" w:cs="MS PGothic" w:eastAsia="MS PGothic" w:hAnsi="MS PGothic"/>
          <w:sz w:val="24"/>
          <w:szCs w:val="24"/>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69" w:lineRule="exact"/>
        <w:rPr>
          <w:sz w:val="24"/>
          <w:szCs w:val="24"/>
          <w:color w:val="auto"/>
        </w:rPr>
      </w:pPr>
    </w:p>
    <w:p>
      <w:pPr>
        <w:ind w:right="440"/>
        <w:spacing w:after="0" w:line="26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76" w:lineRule="exact"/>
        <w:tabs>
          <w:tab w:leader="none" w:pos="560" w:val="left"/>
          <w:tab w:leader="none" w:pos="132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24"/>
          <w:szCs w:val="24"/>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70" w:lineRule="exact"/>
        <w:rPr>
          <w:sz w:val="24"/>
          <w:szCs w:val="24"/>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29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520"/>
              <w:spacing w:after="0" w:line="201" w:lineRule="exact"/>
              <w:rPr>
                <w:sz w:val="20"/>
                <w:szCs w:val="20"/>
                <w:color w:val="auto"/>
              </w:rPr>
            </w:pPr>
            <w:r>
              <w:rPr>
                <w:rFonts w:ascii="MS PGothic" w:cs="MS PGothic" w:eastAsia="MS PGothic" w:hAnsi="MS PGothic"/>
                <w:sz w:val="20"/>
                <w:szCs w:val="20"/>
                <w:color w:val="auto"/>
              </w:rPr>
              <w:t>☐</w:t>
            </w:r>
          </w:p>
        </w:tc>
        <w:tc>
          <w:tcPr>
            <w:tcW w:w="49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3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2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520"/>
              <w:spacing w:after="0" w:line="211" w:lineRule="exact"/>
              <w:rPr>
                <w:sz w:val="20"/>
                <w:szCs w:val="20"/>
                <w:color w:val="auto"/>
              </w:rPr>
            </w:pPr>
            <w:r>
              <w:rPr>
                <w:rFonts w:ascii="MS PGothic" w:cs="MS PGothic" w:eastAsia="MS PGothic" w:hAnsi="MS PGothic"/>
                <w:sz w:val="21"/>
                <w:szCs w:val="21"/>
                <w:color w:val="auto"/>
              </w:rPr>
              <w:t>☒</w:t>
            </w:r>
          </w:p>
        </w:tc>
        <w:tc>
          <w:tcPr>
            <w:tcW w:w="49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380"/>
              <w:spacing w:after="0" w:line="211" w:lineRule="exact"/>
              <w:rPr>
                <w:sz w:val="20"/>
                <w:szCs w:val="20"/>
                <w:color w:val="auto"/>
              </w:rPr>
            </w:pPr>
            <w:r>
              <w:rPr>
                <w:rFonts w:ascii="MS PGothic" w:cs="MS PGothic" w:eastAsia="MS PGothic" w:hAnsi="MS PGothic"/>
                <w:sz w:val="21"/>
                <w:szCs w:val="21"/>
                <w:color w:val="auto"/>
                <w:w w:val="75"/>
              </w:rPr>
              <w:t>☒</w:t>
            </w:r>
          </w:p>
        </w:tc>
      </w:tr>
      <w:tr>
        <w:trPr>
          <w:trHeight w:val="330"/>
        </w:trPr>
        <w:tc>
          <w:tcPr>
            <w:tcW w:w="22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9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38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38" w:lineRule="exact"/>
        <w:rPr>
          <w:sz w:val="24"/>
          <w:szCs w:val="24"/>
          <w:color w:val="auto"/>
        </w:rPr>
      </w:pPr>
    </w:p>
    <w:p>
      <w:pPr>
        <w:ind w:right="120"/>
        <w:spacing w:after="0" w:line="26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spacing w:after="0" w:line="276" w:lineRule="exact"/>
        <w:tabs>
          <w:tab w:leader="none" w:pos="8300" w:val="left"/>
          <w:tab w:leader="none" w:pos="90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03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As of October 31, 2024, there were 30,428,682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133350</wp:posOffset>
            </wp:positionV>
            <wp:extent cx="2584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84450" cy="8255"/>
                    </a:xfrm>
                    <a:prstGeom prst="rect">
                      <a:avLst/>
                    </a:prstGeom>
                    <a:noFill/>
                  </pic:spPr>
                </pic:pic>
              </a:graphicData>
            </a:graphic>
          </wp:anchor>
        </w:drawing>
      </w:r>
    </w:p>
    <w:p>
      <w:pPr>
        <w:sectPr>
          <w:pgSz w:w="11900" w:h="16838" w:orient="portrait"/>
          <w:cols w:equalWidth="0" w:num="1">
            <w:col w:w="10139"/>
          </w:cols>
          <w:pgMar w:left="320" w:top="815" w:right="1440" w:bottom="1440" w:gutter="0" w:footer="0" w:header="0"/>
        </w:sectPr>
      </w:pPr>
    </w:p>
    <w:bookmarkStart w:id="2" w:name="page3"/>
    <w:bookmarkEnd w:id="2"/>
    <w:p>
      <w:pPr>
        <w:ind w:left="4860"/>
        <w:spacing w:after="0"/>
        <w:rPr>
          <w:sz w:val="20"/>
          <w:szCs w:val="20"/>
          <w:color w:val="auto"/>
        </w:rPr>
      </w:pPr>
      <w:r>
        <w:rPr>
          <w:rFonts w:ascii="Times New Roman" w:cs="Times New Roman" w:eastAsia="Times New Roman" w:hAnsi="Times New Roman"/>
          <w:sz w:val="21"/>
          <w:szCs w:val="21"/>
          <w:b w:val="1"/>
          <w:bCs w:val="1"/>
          <w:color w:val="auto"/>
        </w:rPr>
        <w:t>AnaptysBio, Inc.</w:t>
      </w:r>
    </w:p>
    <w:p>
      <w:pPr>
        <w:spacing w:after="0" w:line="4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0000FF"/>
        </w:rPr>
        <w:t>Item 1.</w:t>
      </w:r>
      <w:r>
        <w:rPr>
          <w:sz w:val="20"/>
          <w:szCs w:val="20"/>
          <w:color w:val="auto"/>
        </w:rPr>
        <w:tab/>
      </w:r>
      <w:r>
        <w:rPr>
          <w:rFonts w:ascii="Times New Roman" w:cs="Times New Roman" w:eastAsia="Times New Roman" w:hAnsi="Times New Roman"/>
          <w:sz w:val="17"/>
          <w:szCs w:val="17"/>
          <w:u w:val="single" w:color="auto"/>
          <w:color w:val="0000FF"/>
        </w:rPr>
        <w:t>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-127635</wp:posOffset>
            </wp:positionV>
            <wp:extent cx="7117080" cy="203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7080" cy="203200"/>
                    </a:xfrm>
                    <a:prstGeom prst="rect">
                      <a:avLst/>
                    </a:prstGeom>
                    <a:noFill/>
                  </pic:spPr>
                </pic:pic>
              </a:graphicData>
            </a:graphic>
          </wp:anchor>
        </w:drawing>
      </w:r>
    </w:p>
    <w:p>
      <w:pPr>
        <w:spacing w:after="0" w:line="9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September 30, 2024 and December 31, 2023</w:t>
      </w:r>
    </w:p>
    <w:p>
      <w:pPr>
        <w:spacing w:after="0" w:line="113" w:lineRule="exact"/>
        <w:rPr>
          <w:sz w:val="20"/>
          <w:szCs w:val="20"/>
          <w:color w:val="auto"/>
        </w:rPr>
      </w:pPr>
    </w:p>
    <w:p>
      <w:pPr>
        <w:ind w:left="1340"/>
        <w:spacing w:after="0" w:line="246" w:lineRule="auto"/>
        <w:rPr>
          <w:sz w:val="20"/>
          <w:szCs w:val="20"/>
          <w:color w:val="auto"/>
        </w:rPr>
      </w:pPr>
      <w:r>
        <w:rPr>
          <w:rFonts w:ascii="Times New Roman" w:cs="Times New Roman" w:eastAsia="Times New Roman" w:hAnsi="Times New Roman"/>
          <w:sz w:val="18"/>
          <w:szCs w:val="18"/>
          <w:u w:val="single" w:color="auto"/>
          <w:color w:val="0000FF"/>
        </w:rPr>
        <w:t>Consolidated Statements of Operations and Comprehensive Loss for the Three and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-265430</wp:posOffset>
            </wp:positionV>
            <wp:extent cx="7117080" cy="313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7080" cy="313690"/>
                    </a:xfrm>
                    <a:prstGeom prst="rect">
                      <a:avLst/>
                    </a:prstGeom>
                    <a:noFill/>
                  </pic:spPr>
                </pic:pic>
              </a:graphicData>
            </a:graphic>
          </wp:anchor>
        </w:drawing>
      </w:r>
    </w:p>
    <w:p>
      <w:pPr>
        <w:spacing w:after="0" w:line="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 for the Three and Nine Months Ended September 30, 2024</w:t>
      </w:r>
    </w:p>
    <w:p>
      <w:pPr>
        <w:spacing w:after="0" w:line="1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 for the Three and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-127635</wp:posOffset>
            </wp:positionV>
            <wp:extent cx="7117080" cy="203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7080" cy="203200"/>
                    </a:xfrm>
                    <a:prstGeom prst="rect">
                      <a:avLst/>
                    </a:prstGeom>
                    <a:noFill/>
                  </pic:spPr>
                </pic:pic>
              </a:graphicData>
            </a:graphic>
          </wp:anchor>
        </w:drawing>
      </w:r>
    </w:p>
    <w:p>
      <w:pPr>
        <w:spacing w:after="0" w:line="9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Nine Months Ended September 30, 2024 and 2023</w:t>
      </w:r>
    </w:p>
    <w:p>
      <w:pPr>
        <w:spacing w:after="0" w:line="1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-127635</wp:posOffset>
            </wp:positionV>
            <wp:extent cx="7117080" cy="203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7080" cy="203200"/>
                    </a:xfrm>
                    <a:prstGeom prst="rect">
                      <a:avLst/>
                    </a:prstGeom>
                    <a:noFill/>
                  </pic:spPr>
                </pic:pic>
              </a:graphicData>
            </a:graphic>
          </wp:anchor>
        </w:drawing>
      </w:r>
    </w:p>
    <w:p>
      <w:pPr>
        <w:spacing w:after="0" w:line="93"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0000FF"/>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113"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0000FF"/>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-127635</wp:posOffset>
            </wp:positionV>
            <wp:extent cx="7117080" cy="203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7080" cy="203200"/>
                    </a:xfrm>
                    <a:prstGeom prst="rect">
                      <a:avLst/>
                    </a:prstGeom>
                    <a:noFill/>
                  </pic:spPr>
                </pic:pic>
              </a:graphicData>
            </a:graphic>
          </wp:anchor>
        </w:drawing>
      </w:r>
    </w:p>
    <w:p>
      <w:pPr>
        <w:spacing w:after="0" w:line="93"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0000FF"/>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74930</wp:posOffset>
            </wp:positionV>
            <wp:extent cx="7117080" cy="169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7080" cy="169545"/>
                    </a:xfrm>
                    <a:prstGeom prst="rect">
                      <a:avLst/>
                    </a:prstGeom>
                    <a:noFill/>
                  </pic:spPr>
                </pic:pic>
              </a:graphicData>
            </a:graphic>
          </wp:anchor>
        </w:drawing>
      </w:r>
    </w:p>
    <w:p>
      <w:pPr>
        <w:spacing w:after="0" w:line="35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22860</wp:posOffset>
            </wp:positionV>
            <wp:extent cx="838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3883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00FF"/>
        </w:rPr>
        <w:t>1</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00FF"/>
        </w:rPr>
        <w:t>1</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00FF"/>
        </w:rPr>
        <w:t>2</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00FF"/>
        </w:rPr>
        <w:t>3</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00FF"/>
        </w:rPr>
        <w:t>4</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00FF"/>
        </w:rPr>
        <w:t>5</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00FF"/>
        </w:rPr>
        <w:t>6</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0000FF"/>
        </w:rPr>
        <w:t>23</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0000FF"/>
        </w:rPr>
        <w:t>33</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0000FF"/>
        </w:rPr>
        <w:t>33</w:t>
      </w:r>
    </w:p>
    <w:p>
      <w:pPr>
        <w:spacing w:after="0" w:line="538" w:lineRule="exact"/>
        <w:rPr>
          <w:sz w:val="20"/>
          <w:szCs w:val="20"/>
          <w:color w:val="auto"/>
        </w:rPr>
      </w:pPr>
    </w:p>
    <w:p>
      <w:pPr>
        <w:sectPr>
          <w:pgSz w:w="11900" w:h="16838" w:orient="portrait"/>
          <w:cols w:equalWidth="0" w:num="2">
            <w:col w:w="9800" w:space="280"/>
            <w:col w:w="1160"/>
          </w:cols>
          <w:pgMar w:left="320" w:top="882" w:right="339" w:bottom="1440" w:gutter="0" w:footer="0" w:header="0"/>
        </w:sectPr>
      </w:pPr>
    </w:p>
    <w:tbl>
      <w:tblPr>
        <w:tblLayout w:type="fixed"/>
        <w:tblInd w:w="20" w:type="dxa"/>
        <w:tblCellMar>
          <w:top w:w="0" w:type="dxa"/>
          <w:left w:w="0" w:type="dxa"/>
          <w:bottom w:w="0" w:type="dxa"/>
          <w:right w:w="0" w:type="dxa"/>
        </w:tblCellMar>
      </w:tblPr>
      <w:tr>
        <w:trPr>
          <w:trHeight w:val="247"/>
        </w:trPr>
        <w:tc>
          <w:tcPr>
            <w:tcW w:w="13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72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320" w:type="dxa"/>
            <w:vAlign w:val="bottom"/>
          </w:tcPr>
          <w:p>
            <w:pPr>
              <w:ind w:left="60"/>
              <w:spacing w:after="0" w:line="187" w:lineRule="exact"/>
              <w:rPr>
                <w:sz w:val="20"/>
                <w:szCs w:val="20"/>
                <w:color w:val="auto"/>
              </w:rPr>
            </w:pPr>
            <w:r>
              <w:rPr>
                <w:rFonts w:ascii="Times New Roman" w:cs="Times New Roman" w:eastAsia="Times New Roman" w:hAnsi="Times New Roman"/>
                <w:sz w:val="18"/>
                <w:szCs w:val="18"/>
                <w:color w:val="0000FF"/>
              </w:rPr>
              <w:t>Item 1.</w:t>
            </w:r>
          </w:p>
        </w:tc>
        <w:tc>
          <w:tcPr>
            <w:tcW w:w="7020" w:type="dxa"/>
            <w:vAlign w:val="bottom"/>
            <w:gridSpan w:val="7"/>
          </w:tcPr>
          <w:p>
            <w:pPr>
              <w:spacing w:after="0" w:line="187" w:lineRule="exact"/>
              <w:rPr>
                <w:sz w:val="20"/>
                <w:szCs w:val="20"/>
                <w:color w:val="auto"/>
              </w:rPr>
            </w:pPr>
            <w:r>
              <w:rPr>
                <w:rFonts w:ascii="Times New Roman" w:cs="Times New Roman" w:eastAsia="Times New Roman" w:hAnsi="Times New Roman"/>
                <w:sz w:val="18"/>
                <w:szCs w:val="18"/>
                <w:color w:val="0000FF"/>
              </w:rPr>
              <w:t>Legal Proceedings</w:t>
            </w:r>
          </w:p>
        </w:tc>
        <w:tc>
          <w:tcPr>
            <w:tcW w:w="2860" w:type="dxa"/>
            <w:vAlign w:val="bottom"/>
            <w:vMerge w:val="restart"/>
          </w:tcPr>
          <w:p>
            <w:pPr>
              <w:jc w:val="right"/>
              <w:ind w:right="471"/>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113"/>
        </w:trPr>
        <w:tc>
          <w:tcPr>
            <w:tcW w:w="1320" w:type="dxa"/>
            <w:vAlign w:val="bottom"/>
          </w:tcPr>
          <w:p>
            <w:pPr>
              <w:spacing w:after="0"/>
              <w:rPr>
                <w:sz w:val="9"/>
                <w:szCs w:val="9"/>
                <w:color w:val="auto"/>
              </w:rPr>
            </w:pPr>
          </w:p>
        </w:tc>
        <w:tc>
          <w:tcPr>
            <w:tcW w:w="60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4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320" w:type="dxa"/>
            <w:vAlign w:val="bottom"/>
            <w:shd w:val="clear" w:color="auto" w:fill="CCEEFF"/>
          </w:tcPr>
          <w:p>
            <w:pPr>
              <w:ind w:left="60"/>
              <w:spacing w:after="0" w:line="187" w:lineRule="exact"/>
              <w:rPr>
                <w:sz w:val="20"/>
                <w:szCs w:val="20"/>
                <w:color w:val="auto"/>
              </w:rPr>
            </w:pPr>
            <w:r>
              <w:rPr>
                <w:rFonts w:ascii="Times New Roman" w:cs="Times New Roman" w:eastAsia="Times New Roman" w:hAnsi="Times New Roman"/>
                <w:sz w:val="18"/>
                <w:szCs w:val="18"/>
                <w:color w:val="0000FF"/>
              </w:rPr>
              <w:t>Item 1A.</w:t>
            </w:r>
          </w:p>
        </w:tc>
        <w:tc>
          <w:tcPr>
            <w:tcW w:w="7020" w:type="dxa"/>
            <w:vAlign w:val="bottom"/>
            <w:gridSpan w:val="7"/>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Risk Factors</w:t>
            </w:r>
          </w:p>
        </w:tc>
        <w:tc>
          <w:tcPr>
            <w:tcW w:w="2860" w:type="dxa"/>
            <w:vAlign w:val="bottom"/>
            <w:vMerge w:val="restart"/>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113"/>
        </w:trPr>
        <w:tc>
          <w:tcPr>
            <w:tcW w:w="13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0000FF"/>
            </w:tcBorders>
            <w:shd w:val="clear" w:color="auto" w:fill="CCEEFF"/>
          </w:tcPr>
          <w:p>
            <w:pPr>
              <w:spacing w:after="0"/>
              <w:rPr>
                <w:sz w:val="9"/>
                <w:szCs w:val="9"/>
                <w:color w:val="auto"/>
              </w:rPr>
            </w:pPr>
          </w:p>
        </w:tc>
        <w:tc>
          <w:tcPr>
            <w:tcW w:w="300" w:type="dxa"/>
            <w:vAlign w:val="bottom"/>
            <w:tcBorders>
              <w:top w:val="single" w:sz="8" w:color="0000FF"/>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4720" w:type="dxa"/>
            <w:vAlign w:val="bottom"/>
            <w:tcBorders>
              <w:top w:val="single" w:sz="8" w:color="CCEEFF"/>
            </w:tcBorders>
            <w:shd w:val="clear" w:color="auto" w:fill="CCEEFF"/>
          </w:tcPr>
          <w:p>
            <w:pPr>
              <w:spacing w:after="0"/>
              <w:rPr>
                <w:sz w:val="9"/>
                <w:szCs w:val="9"/>
                <w:color w:val="auto"/>
              </w:rPr>
            </w:pPr>
          </w:p>
        </w:tc>
        <w:tc>
          <w:tcPr>
            <w:tcW w:w="286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320" w:type="dxa"/>
            <w:vAlign w:val="bottom"/>
          </w:tcPr>
          <w:p>
            <w:pPr>
              <w:ind w:left="60"/>
              <w:spacing w:after="0" w:line="187" w:lineRule="exact"/>
              <w:rPr>
                <w:sz w:val="20"/>
                <w:szCs w:val="20"/>
                <w:color w:val="auto"/>
              </w:rPr>
            </w:pPr>
            <w:r>
              <w:rPr>
                <w:rFonts w:ascii="Times New Roman" w:cs="Times New Roman" w:eastAsia="Times New Roman" w:hAnsi="Times New Roman"/>
                <w:sz w:val="18"/>
                <w:szCs w:val="18"/>
                <w:color w:val="0000FF"/>
              </w:rPr>
              <w:t>Item 2.</w:t>
            </w:r>
          </w:p>
        </w:tc>
        <w:tc>
          <w:tcPr>
            <w:tcW w:w="7020" w:type="dxa"/>
            <w:vAlign w:val="bottom"/>
            <w:tcBorders>
              <w:bottom w:val="single" w:sz="8" w:color="0000FF"/>
            </w:tcBorders>
            <w:gridSpan w:val="7"/>
          </w:tcPr>
          <w:p>
            <w:pPr>
              <w:spacing w:after="0" w:line="187" w:lineRule="exact"/>
              <w:rPr>
                <w:sz w:val="20"/>
                <w:szCs w:val="20"/>
                <w:color w:val="auto"/>
              </w:rPr>
            </w:pPr>
            <w:r>
              <w:rPr>
                <w:rFonts w:ascii="Times New Roman" w:cs="Times New Roman" w:eastAsia="Times New Roman" w:hAnsi="Times New Roman"/>
                <w:sz w:val="18"/>
                <w:szCs w:val="18"/>
                <w:color w:val="0000FF"/>
                <w:w w:val="98"/>
              </w:rPr>
              <w:t>Unregistered Sales of Equity Securities, Use of Proceeds and Issuer Purchases of Equity Securities</w:t>
            </w:r>
          </w:p>
        </w:tc>
        <w:tc>
          <w:tcPr>
            <w:tcW w:w="2860" w:type="dxa"/>
            <w:vAlign w:val="bottom"/>
            <w:vMerge w:val="restart"/>
          </w:tcPr>
          <w:p>
            <w:pPr>
              <w:jc w:val="right"/>
              <w:ind w:right="471"/>
              <w:spacing w:after="0"/>
              <w:rPr>
                <w:sz w:val="20"/>
                <w:szCs w:val="20"/>
                <w:color w:val="auto"/>
              </w:rPr>
            </w:pPr>
            <w:r>
              <w:rPr>
                <w:rFonts w:ascii="Times New Roman" w:cs="Times New Roman" w:eastAsia="Times New Roman" w:hAnsi="Times New Roman"/>
                <w:sz w:val="18"/>
                <w:szCs w:val="18"/>
                <w:color w:val="0000FF"/>
              </w:rPr>
              <w:t>67</w:t>
            </w:r>
          </w:p>
        </w:tc>
        <w:tc>
          <w:tcPr>
            <w:tcW w:w="0" w:type="dxa"/>
            <w:vAlign w:val="bottom"/>
          </w:tcPr>
          <w:p>
            <w:pPr>
              <w:spacing w:after="0"/>
              <w:rPr>
                <w:sz w:val="1"/>
                <w:szCs w:val="1"/>
                <w:color w:val="auto"/>
              </w:rPr>
            </w:pPr>
          </w:p>
        </w:tc>
      </w:tr>
      <w:tr>
        <w:trPr>
          <w:trHeight w:val="113"/>
        </w:trPr>
        <w:tc>
          <w:tcPr>
            <w:tcW w:w="1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320" w:type="dxa"/>
            <w:vAlign w:val="bottom"/>
            <w:shd w:val="clear" w:color="auto" w:fill="CCEEFF"/>
          </w:tcPr>
          <w:p>
            <w:pPr>
              <w:ind w:left="60"/>
              <w:spacing w:after="0" w:line="187" w:lineRule="exact"/>
              <w:rPr>
                <w:sz w:val="20"/>
                <w:szCs w:val="20"/>
                <w:color w:val="auto"/>
              </w:rPr>
            </w:pPr>
            <w:r>
              <w:rPr>
                <w:rFonts w:ascii="Times New Roman" w:cs="Times New Roman" w:eastAsia="Times New Roman" w:hAnsi="Times New Roman"/>
                <w:sz w:val="18"/>
                <w:szCs w:val="18"/>
                <w:color w:val="0000FF"/>
              </w:rPr>
              <w:t>Item 3.</w:t>
            </w:r>
          </w:p>
        </w:tc>
        <w:tc>
          <w:tcPr>
            <w:tcW w:w="7020" w:type="dxa"/>
            <w:vAlign w:val="bottom"/>
            <w:gridSpan w:val="7"/>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860" w:type="dxa"/>
            <w:vAlign w:val="bottom"/>
            <w:vMerge w:val="restart"/>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0000FF"/>
              </w:rPr>
              <w:t>68</w:t>
            </w:r>
          </w:p>
        </w:tc>
        <w:tc>
          <w:tcPr>
            <w:tcW w:w="0" w:type="dxa"/>
            <w:vAlign w:val="bottom"/>
          </w:tcPr>
          <w:p>
            <w:pPr>
              <w:spacing w:after="0"/>
              <w:rPr>
                <w:sz w:val="1"/>
                <w:szCs w:val="1"/>
                <w:color w:val="auto"/>
              </w:rPr>
            </w:pPr>
          </w:p>
        </w:tc>
      </w:tr>
      <w:tr>
        <w:trPr>
          <w:trHeight w:val="113"/>
        </w:trPr>
        <w:tc>
          <w:tcPr>
            <w:tcW w:w="13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0000FF"/>
            </w:tcBorders>
            <w:shd w:val="clear" w:color="auto" w:fill="CCEEFF"/>
          </w:tcPr>
          <w:p>
            <w:pPr>
              <w:spacing w:after="0"/>
              <w:rPr>
                <w:sz w:val="9"/>
                <w:szCs w:val="9"/>
                <w:color w:val="auto"/>
              </w:rPr>
            </w:pPr>
          </w:p>
        </w:tc>
        <w:tc>
          <w:tcPr>
            <w:tcW w:w="300" w:type="dxa"/>
            <w:vAlign w:val="bottom"/>
            <w:tcBorders>
              <w:top w:val="single" w:sz="8" w:color="0000FF"/>
            </w:tcBorders>
            <w:shd w:val="clear" w:color="auto" w:fill="CCEEFF"/>
          </w:tcPr>
          <w:p>
            <w:pPr>
              <w:spacing w:after="0"/>
              <w:rPr>
                <w:sz w:val="9"/>
                <w:szCs w:val="9"/>
                <w:color w:val="auto"/>
              </w:rPr>
            </w:pPr>
          </w:p>
        </w:tc>
        <w:tc>
          <w:tcPr>
            <w:tcW w:w="400" w:type="dxa"/>
            <w:vAlign w:val="bottom"/>
            <w:tcBorders>
              <w:top w:val="single" w:sz="8" w:color="0000FF"/>
            </w:tcBorders>
            <w:shd w:val="clear" w:color="auto" w:fill="CCEEFF"/>
          </w:tcPr>
          <w:p>
            <w:pPr>
              <w:spacing w:after="0"/>
              <w:rPr>
                <w:sz w:val="9"/>
                <w:szCs w:val="9"/>
                <w:color w:val="auto"/>
              </w:rPr>
            </w:pPr>
          </w:p>
        </w:tc>
        <w:tc>
          <w:tcPr>
            <w:tcW w:w="20" w:type="dxa"/>
            <w:vAlign w:val="bottom"/>
            <w:tcBorders>
              <w:top w:val="single" w:sz="8" w:color="0000FF"/>
            </w:tcBorders>
            <w:shd w:val="clear" w:color="auto" w:fill="CCEEFF"/>
          </w:tcPr>
          <w:p>
            <w:pPr>
              <w:spacing w:after="0"/>
              <w:rPr>
                <w:sz w:val="9"/>
                <w:szCs w:val="9"/>
                <w:color w:val="auto"/>
              </w:rPr>
            </w:pPr>
          </w:p>
        </w:tc>
        <w:tc>
          <w:tcPr>
            <w:tcW w:w="440" w:type="dxa"/>
            <w:vAlign w:val="bottom"/>
            <w:tcBorders>
              <w:top w:val="single" w:sz="8" w:color="0000FF"/>
            </w:tcBorders>
            <w:shd w:val="clear" w:color="auto" w:fill="CCEEFF"/>
          </w:tcPr>
          <w:p>
            <w:pPr>
              <w:spacing w:after="0"/>
              <w:rPr>
                <w:sz w:val="9"/>
                <w:szCs w:val="9"/>
                <w:color w:val="auto"/>
              </w:rPr>
            </w:pPr>
          </w:p>
        </w:tc>
        <w:tc>
          <w:tcPr>
            <w:tcW w:w="540" w:type="dxa"/>
            <w:vAlign w:val="bottom"/>
            <w:tcBorders>
              <w:top w:val="single" w:sz="8" w:color="0000FF"/>
            </w:tcBorders>
            <w:shd w:val="clear" w:color="auto" w:fill="CCEEFF"/>
          </w:tcPr>
          <w:p>
            <w:pPr>
              <w:spacing w:after="0"/>
              <w:rPr>
                <w:sz w:val="9"/>
                <w:szCs w:val="9"/>
                <w:color w:val="auto"/>
              </w:rPr>
            </w:pPr>
          </w:p>
        </w:tc>
        <w:tc>
          <w:tcPr>
            <w:tcW w:w="4720" w:type="dxa"/>
            <w:vAlign w:val="bottom"/>
            <w:tcBorders>
              <w:top w:val="single" w:sz="8" w:color="CCEEFF"/>
            </w:tcBorders>
            <w:shd w:val="clear" w:color="auto" w:fill="CCEEFF"/>
          </w:tcPr>
          <w:p>
            <w:pPr>
              <w:spacing w:after="0"/>
              <w:rPr>
                <w:sz w:val="9"/>
                <w:szCs w:val="9"/>
                <w:color w:val="auto"/>
              </w:rPr>
            </w:pPr>
          </w:p>
        </w:tc>
        <w:tc>
          <w:tcPr>
            <w:tcW w:w="286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320" w:type="dxa"/>
            <w:vAlign w:val="bottom"/>
          </w:tcPr>
          <w:p>
            <w:pPr>
              <w:ind w:left="60"/>
              <w:spacing w:after="0" w:line="187" w:lineRule="exact"/>
              <w:rPr>
                <w:sz w:val="20"/>
                <w:szCs w:val="20"/>
                <w:color w:val="auto"/>
              </w:rPr>
            </w:pPr>
            <w:r>
              <w:rPr>
                <w:rFonts w:ascii="Times New Roman" w:cs="Times New Roman" w:eastAsia="Times New Roman" w:hAnsi="Times New Roman"/>
                <w:sz w:val="18"/>
                <w:szCs w:val="18"/>
                <w:color w:val="0000FF"/>
              </w:rPr>
              <w:t>Item 4.</w:t>
            </w:r>
          </w:p>
        </w:tc>
        <w:tc>
          <w:tcPr>
            <w:tcW w:w="7020" w:type="dxa"/>
            <w:vAlign w:val="bottom"/>
            <w:gridSpan w:val="7"/>
          </w:tcPr>
          <w:p>
            <w:pPr>
              <w:spacing w:after="0" w:line="187" w:lineRule="exact"/>
              <w:rPr>
                <w:sz w:val="20"/>
                <w:szCs w:val="20"/>
                <w:color w:val="auto"/>
              </w:rPr>
            </w:pPr>
            <w:r>
              <w:rPr>
                <w:rFonts w:ascii="Times New Roman" w:cs="Times New Roman" w:eastAsia="Times New Roman" w:hAnsi="Times New Roman"/>
                <w:sz w:val="18"/>
                <w:szCs w:val="18"/>
                <w:color w:val="0000FF"/>
              </w:rPr>
              <w:t>Mine Safety Disclosures</w:t>
            </w:r>
          </w:p>
        </w:tc>
        <w:tc>
          <w:tcPr>
            <w:tcW w:w="2860" w:type="dxa"/>
            <w:vAlign w:val="bottom"/>
            <w:vMerge w:val="restart"/>
          </w:tcPr>
          <w:p>
            <w:pPr>
              <w:jc w:val="right"/>
              <w:ind w:right="471"/>
              <w:spacing w:after="0"/>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113"/>
        </w:trPr>
        <w:tc>
          <w:tcPr>
            <w:tcW w:w="1320" w:type="dxa"/>
            <w:vAlign w:val="bottom"/>
          </w:tcPr>
          <w:p>
            <w:pPr>
              <w:spacing w:after="0"/>
              <w:rPr>
                <w:sz w:val="9"/>
                <w:szCs w:val="9"/>
                <w:color w:val="auto"/>
              </w:rPr>
            </w:pPr>
          </w:p>
        </w:tc>
        <w:tc>
          <w:tcPr>
            <w:tcW w:w="60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4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40" w:type="dxa"/>
            <w:vAlign w:val="bottom"/>
            <w:tcBorders>
              <w:top w:val="single" w:sz="8" w:color="0000FF"/>
            </w:tcBorders>
          </w:tcPr>
          <w:p>
            <w:pPr>
              <w:spacing w:after="0"/>
              <w:rPr>
                <w:sz w:val="9"/>
                <w:szCs w:val="9"/>
                <w:color w:val="auto"/>
              </w:rPr>
            </w:pPr>
          </w:p>
        </w:tc>
        <w:tc>
          <w:tcPr>
            <w:tcW w:w="54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320" w:type="dxa"/>
            <w:vAlign w:val="bottom"/>
            <w:shd w:val="clear" w:color="auto" w:fill="CCEEFF"/>
          </w:tcPr>
          <w:p>
            <w:pPr>
              <w:ind w:left="60"/>
              <w:spacing w:after="0" w:line="187" w:lineRule="exact"/>
              <w:rPr>
                <w:sz w:val="20"/>
                <w:szCs w:val="20"/>
                <w:color w:val="auto"/>
              </w:rPr>
            </w:pPr>
            <w:r>
              <w:rPr>
                <w:rFonts w:ascii="Times New Roman" w:cs="Times New Roman" w:eastAsia="Times New Roman" w:hAnsi="Times New Roman"/>
                <w:sz w:val="18"/>
                <w:szCs w:val="18"/>
                <w:color w:val="0000FF"/>
              </w:rPr>
              <w:t>Item 5.</w:t>
            </w:r>
          </w:p>
        </w:tc>
        <w:tc>
          <w:tcPr>
            <w:tcW w:w="7020" w:type="dxa"/>
            <w:vAlign w:val="bottom"/>
            <w:gridSpan w:val="7"/>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Other Information</w:t>
            </w:r>
          </w:p>
        </w:tc>
        <w:tc>
          <w:tcPr>
            <w:tcW w:w="2860" w:type="dxa"/>
            <w:vAlign w:val="bottom"/>
            <w:vMerge w:val="restart"/>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113"/>
        </w:trPr>
        <w:tc>
          <w:tcPr>
            <w:tcW w:w="13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0000FF"/>
            </w:tcBorders>
            <w:shd w:val="clear" w:color="auto" w:fill="CCEEFF"/>
          </w:tcPr>
          <w:p>
            <w:pPr>
              <w:spacing w:after="0"/>
              <w:rPr>
                <w:sz w:val="9"/>
                <w:szCs w:val="9"/>
                <w:color w:val="auto"/>
              </w:rPr>
            </w:pPr>
          </w:p>
        </w:tc>
        <w:tc>
          <w:tcPr>
            <w:tcW w:w="300" w:type="dxa"/>
            <w:vAlign w:val="bottom"/>
            <w:tcBorders>
              <w:top w:val="single" w:sz="8" w:color="0000FF"/>
            </w:tcBorders>
            <w:shd w:val="clear" w:color="auto" w:fill="CCEEFF"/>
          </w:tcPr>
          <w:p>
            <w:pPr>
              <w:spacing w:after="0"/>
              <w:rPr>
                <w:sz w:val="9"/>
                <w:szCs w:val="9"/>
                <w:color w:val="auto"/>
              </w:rPr>
            </w:pPr>
          </w:p>
        </w:tc>
        <w:tc>
          <w:tcPr>
            <w:tcW w:w="400" w:type="dxa"/>
            <w:vAlign w:val="bottom"/>
            <w:tcBorders>
              <w:top w:val="single" w:sz="8" w:color="0000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4720" w:type="dxa"/>
            <w:vAlign w:val="bottom"/>
            <w:tcBorders>
              <w:top w:val="single" w:sz="8" w:color="CCEEFF"/>
            </w:tcBorders>
            <w:shd w:val="clear" w:color="auto" w:fill="CCEEFF"/>
          </w:tcPr>
          <w:p>
            <w:pPr>
              <w:spacing w:after="0"/>
              <w:rPr>
                <w:sz w:val="9"/>
                <w:szCs w:val="9"/>
                <w:color w:val="auto"/>
              </w:rPr>
            </w:pPr>
          </w:p>
        </w:tc>
        <w:tc>
          <w:tcPr>
            <w:tcW w:w="286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320" w:type="dxa"/>
            <w:vAlign w:val="bottom"/>
          </w:tcPr>
          <w:p>
            <w:pPr>
              <w:ind w:left="60"/>
              <w:spacing w:after="0" w:line="187" w:lineRule="exact"/>
              <w:rPr>
                <w:sz w:val="20"/>
                <w:szCs w:val="20"/>
                <w:color w:val="auto"/>
              </w:rPr>
            </w:pPr>
            <w:r>
              <w:rPr>
                <w:rFonts w:ascii="Times New Roman" w:cs="Times New Roman" w:eastAsia="Times New Roman" w:hAnsi="Times New Roman"/>
                <w:sz w:val="18"/>
                <w:szCs w:val="18"/>
                <w:color w:val="0000FF"/>
              </w:rPr>
              <w:t>Item 6.</w:t>
            </w:r>
          </w:p>
        </w:tc>
        <w:tc>
          <w:tcPr>
            <w:tcW w:w="7020" w:type="dxa"/>
            <w:vAlign w:val="bottom"/>
            <w:gridSpan w:val="7"/>
          </w:tcPr>
          <w:p>
            <w:pPr>
              <w:spacing w:after="0" w:line="187" w:lineRule="exact"/>
              <w:rPr>
                <w:sz w:val="20"/>
                <w:szCs w:val="20"/>
                <w:color w:val="auto"/>
              </w:rPr>
            </w:pPr>
            <w:r>
              <w:rPr>
                <w:rFonts w:ascii="Times New Roman" w:cs="Times New Roman" w:eastAsia="Times New Roman" w:hAnsi="Times New Roman"/>
                <w:sz w:val="18"/>
                <w:szCs w:val="18"/>
                <w:color w:val="0000FF"/>
              </w:rPr>
              <w:t>Exhibits</w:t>
            </w:r>
          </w:p>
        </w:tc>
        <w:tc>
          <w:tcPr>
            <w:tcW w:w="2860" w:type="dxa"/>
            <w:vAlign w:val="bottom"/>
            <w:vMerge w:val="restart"/>
          </w:tcPr>
          <w:p>
            <w:pPr>
              <w:jc w:val="right"/>
              <w:ind w:right="471"/>
              <w:spacing w:after="0"/>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113"/>
        </w:trPr>
        <w:tc>
          <w:tcPr>
            <w:tcW w:w="1320" w:type="dxa"/>
            <w:vAlign w:val="bottom"/>
          </w:tcPr>
          <w:p>
            <w:pPr>
              <w:spacing w:after="0"/>
              <w:rPr>
                <w:sz w:val="9"/>
                <w:szCs w:val="9"/>
                <w:color w:val="auto"/>
              </w:rPr>
            </w:pPr>
          </w:p>
        </w:tc>
        <w:tc>
          <w:tcPr>
            <w:tcW w:w="600" w:type="dxa"/>
            <w:vAlign w:val="bottom"/>
            <w:tcBorders>
              <w:top w:val="single" w:sz="8" w:color="0000FF"/>
            </w:tcBorders>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060" w:type="dxa"/>
            <w:vAlign w:val="bottom"/>
            <w:gridSpan w:val="3"/>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Exhibit Index</w:t>
            </w:r>
          </w:p>
        </w:tc>
        <w:tc>
          <w:tcPr>
            <w:tcW w:w="4820" w:type="dxa"/>
            <w:vAlign w:val="bottom"/>
            <w:vMerge w:val="restart"/>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3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0000FF"/>
            </w:tcBorders>
            <w:shd w:val="clear" w:color="auto" w:fill="CCEEFF"/>
          </w:tcPr>
          <w:p>
            <w:pPr>
              <w:spacing w:after="0"/>
              <w:rPr>
                <w:sz w:val="9"/>
                <w:szCs w:val="9"/>
                <w:color w:val="auto"/>
              </w:rPr>
            </w:pPr>
          </w:p>
        </w:tc>
        <w:tc>
          <w:tcPr>
            <w:tcW w:w="220" w:type="dxa"/>
            <w:vAlign w:val="bottom"/>
            <w:tcBorders>
              <w:top w:val="single" w:sz="8" w:color="0000FF"/>
            </w:tcBorders>
            <w:shd w:val="clear" w:color="auto" w:fill="CCEEFF"/>
          </w:tcPr>
          <w:p>
            <w:pPr>
              <w:spacing w:after="0"/>
              <w:rPr>
                <w:sz w:val="9"/>
                <w:szCs w:val="9"/>
                <w:color w:val="auto"/>
              </w:rPr>
            </w:pPr>
          </w:p>
        </w:tc>
        <w:tc>
          <w:tcPr>
            <w:tcW w:w="4080" w:type="dxa"/>
            <w:vAlign w:val="bottom"/>
            <w:tcBorders>
              <w:top w:val="single" w:sz="8" w:color="CCEEFF"/>
            </w:tcBorders>
            <w:shd w:val="clear" w:color="auto" w:fill="CCEEFF"/>
          </w:tcPr>
          <w:p>
            <w:pPr>
              <w:spacing w:after="0"/>
              <w:rPr>
                <w:sz w:val="9"/>
                <w:szCs w:val="9"/>
                <w:color w:val="auto"/>
              </w:rPr>
            </w:pPr>
          </w:p>
        </w:tc>
        <w:tc>
          <w:tcPr>
            <w:tcW w:w="4820" w:type="dxa"/>
            <w:vAlign w:val="bottom"/>
            <w:tcBorders>
              <w:top w:val="single" w:sz="8" w:color="CCEEFF"/>
            </w:tcBorders>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60" w:type="dxa"/>
            <w:vAlign w:val="bottom"/>
            <w:gridSpan w:val="3"/>
          </w:tcPr>
          <w:p>
            <w:pPr>
              <w:spacing w:after="0" w:line="187" w:lineRule="exact"/>
              <w:rPr>
                <w:sz w:val="20"/>
                <w:szCs w:val="20"/>
                <w:color w:val="auto"/>
              </w:rPr>
            </w:pPr>
            <w:r>
              <w:rPr>
                <w:rFonts w:ascii="Times New Roman" w:cs="Times New Roman" w:eastAsia="Times New Roman" w:hAnsi="Times New Roman"/>
                <w:sz w:val="18"/>
                <w:szCs w:val="18"/>
                <w:color w:val="0000FF"/>
              </w:rPr>
              <w:t>Signatures</w:t>
            </w:r>
          </w:p>
        </w:tc>
        <w:tc>
          <w:tcPr>
            <w:tcW w:w="4820" w:type="dxa"/>
            <w:vAlign w:val="bottom"/>
            <w:vMerge w:val="restart"/>
          </w:tcPr>
          <w:p>
            <w:pPr>
              <w:jc w:val="right"/>
              <w:ind w:right="471"/>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60" w:type="dxa"/>
            <w:vAlign w:val="bottom"/>
            <w:tcBorders>
              <w:top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8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7"/>
        </w:trPr>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3" w:name="page4"/>
    <w:bookmarkEnd w:id="3"/>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980" w:type="dxa"/>
            <w:vAlign w:val="bottom"/>
            <w:vMerge w:val="restart"/>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191,581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collaborative partners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6,851</w:t>
            </w:r>
          </w:p>
        </w:tc>
        <w:tc>
          <w:tcPr>
            <w:tcW w:w="0" w:type="dxa"/>
            <w:vAlign w:val="bottom"/>
          </w:tcPr>
          <w:p>
            <w:pPr>
              <w:spacing w:after="0"/>
              <w:rPr>
                <w:sz w:val="1"/>
                <w:szCs w:val="1"/>
                <w:color w:val="auto"/>
              </w:rPr>
            </w:pPr>
          </w:p>
        </w:tc>
      </w:tr>
      <w:tr>
        <w:trPr>
          <w:trHeight w:val="211"/>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354,939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w:t>
            </w:r>
          </w:p>
        </w:tc>
        <w:tc>
          <w:tcPr>
            <w:tcW w:w="0" w:type="dxa"/>
            <w:vAlign w:val="bottom"/>
          </w:tcPr>
          <w:p>
            <w:pPr>
              <w:spacing w:after="0"/>
              <w:rPr>
                <w:sz w:val="1"/>
                <w:szCs w:val="1"/>
                <w:color w:val="auto"/>
              </w:rPr>
            </w:pPr>
          </w:p>
        </w:tc>
      </w:tr>
      <w:tr>
        <w:trPr>
          <w:trHeight w:val="204"/>
        </w:trPr>
        <w:tc>
          <w:tcPr>
            <w:tcW w:w="7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448,681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406,835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0" w:type="dxa"/>
            <w:vAlign w:val="bottom"/>
          </w:tcPr>
          <w:p>
            <w:pPr>
              <w:spacing w:after="0"/>
              <w:rPr>
                <w:sz w:val="1"/>
                <w:szCs w:val="1"/>
                <w:color w:val="auto"/>
              </w:rPr>
            </w:pPr>
          </w:p>
        </w:tc>
      </w:tr>
      <w:tr>
        <w:trPr>
          <w:trHeight w:val="211"/>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16,174</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27,026</w:t>
            </w:r>
          </w:p>
        </w:tc>
        <w:tc>
          <w:tcPr>
            <w:tcW w:w="0" w:type="dxa"/>
            <w:vAlign w:val="bottom"/>
          </w:tcPr>
          <w:p>
            <w:pPr>
              <w:spacing w:after="0"/>
              <w:rPr>
                <w:sz w:val="1"/>
                <w:szCs w:val="1"/>
                <w:color w:val="auto"/>
              </w:rPr>
            </w:pPr>
          </w:p>
        </w:tc>
      </w:tr>
      <w:tr>
        <w:trPr>
          <w:trHeight w:val="211"/>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32"/>
        </w:trPr>
        <w:tc>
          <w:tcPr>
            <w:tcW w:w="7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452,389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8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4,698</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30,967</w:t>
            </w:r>
          </w:p>
        </w:tc>
        <w:tc>
          <w:tcPr>
            <w:tcW w:w="0" w:type="dxa"/>
            <w:vAlign w:val="bottom"/>
          </w:tcPr>
          <w:p>
            <w:pPr>
              <w:spacing w:after="0"/>
              <w:rPr>
                <w:sz w:val="1"/>
                <w:szCs w:val="1"/>
                <w:color w:val="auto"/>
              </w:rPr>
            </w:pPr>
          </w:p>
        </w:tc>
      </w:tr>
      <w:tr>
        <w:trPr>
          <w:trHeight w:val="211"/>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37,442</w:t>
            </w:r>
          </w:p>
        </w:tc>
        <w:tc>
          <w:tcPr>
            <w:tcW w:w="0" w:type="dxa"/>
            <w:vAlign w:val="bottom"/>
          </w:tcPr>
          <w:p>
            <w:pPr>
              <w:spacing w:after="0"/>
              <w:rPr>
                <w:sz w:val="1"/>
                <w:szCs w:val="1"/>
                <w:color w:val="auto"/>
              </w:rPr>
            </w:pPr>
          </w:p>
        </w:tc>
      </w:tr>
      <w:tr>
        <w:trPr>
          <w:trHeight w:val="211"/>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related to sale of future royalties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310,807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16,037</w:t>
            </w:r>
          </w:p>
        </w:tc>
        <w:tc>
          <w:tcPr>
            <w:tcW w:w="0" w:type="dxa"/>
            <w:vAlign w:val="bottom"/>
          </w:tcPr>
          <w:p>
            <w:pPr>
              <w:spacing w:after="0"/>
              <w:rPr>
                <w:sz w:val="1"/>
                <w:szCs w:val="1"/>
                <w:color w:val="auto"/>
              </w:rPr>
            </w:pPr>
          </w:p>
        </w:tc>
      </w:tr>
      <w:tr>
        <w:trPr>
          <w:trHeight w:val="211"/>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Preferred stock, $0.001 par value, 10,000 shares authorized and no shares, issued or outstanding at September 30, 2024 and</w:t>
            </w:r>
          </w:p>
        </w:tc>
        <w:tc>
          <w:tcPr>
            <w:tcW w:w="16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16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9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Common stock, $0.001 par value, 500,000 shares authorized, 30,429 shares and 26,597 shares issued and outstanding at</w:t>
            </w:r>
          </w:p>
        </w:tc>
        <w:tc>
          <w:tcPr>
            <w:tcW w:w="16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1"/>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2024 and December 31, 2023, respectively</w:t>
            </w: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702,969</w:t>
            </w:r>
          </w:p>
        </w:tc>
        <w:tc>
          <w:tcPr>
            <w:tcW w:w="0" w:type="dxa"/>
            <w:vAlign w:val="bottom"/>
          </w:tcPr>
          <w:p>
            <w:pPr>
              <w:spacing w:after="0"/>
              <w:rPr>
                <w:sz w:val="1"/>
                <w:szCs w:val="1"/>
                <w:color w:val="auto"/>
              </w:rPr>
            </w:pPr>
          </w:p>
        </w:tc>
      </w:tr>
      <w:tr>
        <w:trPr>
          <w:trHeight w:val="211"/>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gain (loss)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(737,543)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(614,096)</w:t>
            </w:r>
          </w:p>
        </w:tc>
        <w:tc>
          <w:tcPr>
            <w:tcW w:w="0" w:type="dxa"/>
            <w:vAlign w:val="bottom"/>
          </w:tcPr>
          <w:p>
            <w:pPr>
              <w:spacing w:after="0"/>
              <w:rPr>
                <w:sz w:val="1"/>
                <w:szCs w:val="1"/>
                <w:color w:val="auto"/>
              </w:rPr>
            </w:pPr>
          </w:p>
        </w:tc>
      </w:tr>
      <w:tr>
        <w:trPr>
          <w:trHeight w:val="204"/>
        </w:trPr>
        <w:tc>
          <w:tcPr>
            <w:tcW w:w="7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84,367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88,103</w:t>
            </w:r>
          </w:p>
        </w:tc>
        <w:tc>
          <w:tcPr>
            <w:tcW w:w="0" w:type="dxa"/>
            <w:vAlign w:val="bottom"/>
          </w:tcPr>
          <w:p>
            <w:pPr>
              <w:spacing w:after="0"/>
              <w:rPr>
                <w:sz w:val="1"/>
                <w:szCs w:val="1"/>
                <w:color w:val="auto"/>
              </w:rPr>
            </w:pPr>
          </w:p>
        </w:tc>
      </w:tr>
      <w:tr>
        <w:trPr>
          <w:trHeight w:val="232"/>
        </w:trPr>
        <w:tc>
          <w:tcPr>
            <w:tcW w:w="7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452,389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380" w:type="dxa"/>
            <w:vAlign w:val="bottom"/>
            <w:gridSpan w:val="4"/>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3"/>
        </w:trPr>
        <w:tc>
          <w:tcPr>
            <w:tcW w:w="52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3"/>
        </w:trPr>
        <w:tc>
          <w:tcPr>
            <w:tcW w:w="522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13"/>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Collaboration revenue</w:t>
            </w:r>
          </w:p>
        </w:tc>
        <w:tc>
          <w:tcPr>
            <w:tcW w:w="840" w:type="dxa"/>
            <w:vAlign w:val="bottom"/>
            <w:tcBorders>
              <w:bottom w:val="single" w:sz="8" w:color="auto"/>
            </w:tcBorders>
            <w:shd w:val="clear" w:color="auto" w:fill="CFF0FC"/>
          </w:tcPr>
          <w:p>
            <w:pPr>
              <w:jc w:val="right"/>
              <w:ind w:right="68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30,017</w:t>
            </w:r>
          </w:p>
        </w:tc>
        <w:tc>
          <w:tcPr>
            <w:tcW w:w="10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48,167</w:t>
            </w:r>
          </w:p>
        </w:tc>
        <w:tc>
          <w:tcPr>
            <w:tcW w:w="12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8,152</w:t>
            </w:r>
          </w:p>
        </w:tc>
      </w:tr>
      <w:tr>
        <w:trPr>
          <w:trHeight w:val="191"/>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42,212</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30,878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121,251</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98,758</w:t>
            </w:r>
          </w:p>
        </w:tc>
      </w:tr>
      <w:tr>
        <w:trPr>
          <w:trHeight w:val="211"/>
        </w:trPr>
        <w:tc>
          <w:tcPr>
            <w:tcW w:w="5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10,562</w:t>
            </w: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10,172</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32,195</w:t>
            </w:r>
          </w:p>
        </w:tc>
        <w:tc>
          <w:tcPr>
            <w:tcW w:w="1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31,670</w:t>
            </w:r>
          </w:p>
        </w:tc>
      </w:tr>
      <w:tr>
        <w:trPr>
          <w:trHeight w:val="209"/>
        </w:trPr>
        <w:tc>
          <w:tcPr>
            <w:tcW w:w="5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52,774</w:t>
            </w:r>
          </w:p>
        </w:tc>
        <w:tc>
          <w:tcPr>
            <w:tcW w:w="10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41,050</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153,446</w:t>
            </w:r>
          </w:p>
        </w:tc>
        <w:tc>
          <w:tcPr>
            <w:tcW w:w="12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130,428</w:t>
            </w:r>
          </w:p>
        </w:tc>
      </w:tr>
      <w:tr>
        <w:trPr>
          <w:trHeight w:val="204"/>
        </w:trPr>
        <w:tc>
          <w:tcPr>
            <w:tcW w:w="52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Loss from operations</w:t>
            </w:r>
          </w:p>
        </w:tc>
        <w:tc>
          <w:tcPr>
            <w:tcW w:w="8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(22,757)</w:t>
            </w: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(37,732)</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(105,279)</w:t>
            </w:r>
          </w:p>
        </w:tc>
        <w:tc>
          <w:tcPr>
            <w:tcW w:w="12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(122,276)</w:t>
            </w:r>
          </w:p>
        </w:tc>
      </w:tr>
      <w:tr>
        <w:trPr>
          <w:trHeight w:val="196"/>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8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11"/>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13,993</w:t>
            </w:r>
          </w:p>
        </w:tc>
      </w:tr>
      <w:tr>
        <w:trPr>
          <w:trHeight w:val="216"/>
        </w:trPr>
        <w:tc>
          <w:tcPr>
            <w:tcW w:w="52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Non-cash interest expense for the sale of future royalties</w:t>
            </w: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(15,413)</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(32,683)</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(13,125)</w:t>
            </w:r>
          </w:p>
        </w:tc>
      </w:tr>
      <w:tr>
        <w:trPr>
          <w:trHeight w:val="211"/>
        </w:trPr>
        <w:tc>
          <w:tcPr>
            <w:tcW w:w="52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8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(10,094)</w:t>
            </w:r>
          </w:p>
        </w:tc>
        <w:tc>
          <w:tcPr>
            <w:tcW w:w="10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(18,159)</w:t>
            </w:r>
          </w:p>
        </w:tc>
        <w:tc>
          <w:tcPr>
            <w:tcW w:w="12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w:t>
            </w:r>
          </w:p>
        </w:tc>
      </w:tr>
      <w:tr>
        <w:trPr>
          <w:trHeight w:val="204"/>
        </w:trPr>
        <w:tc>
          <w:tcPr>
            <w:tcW w:w="5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Loss before income taxes</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(32,851)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(37,308)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(123,438)</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(121,408)</w:t>
            </w:r>
          </w:p>
        </w:tc>
      </w:tr>
      <w:tr>
        <w:trPr>
          <w:trHeight w:val="216"/>
        </w:trPr>
        <w:tc>
          <w:tcPr>
            <w:tcW w:w="5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220" w:type="dxa"/>
            <w:vAlign w:val="bottom"/>
            <w:tcBorders>
              <w:bottom w:val="single" w:sz="8" w:color="CFF0FC"/>
            </w:tcBorders>
          </w:tcPr>
          <w:p>
            <w:pPr>
              <w:ind w:left="70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(32,851)</w:t>
            </w:r>
          </w:p>
        </w:tc>
        <w:tc>
          <w:tcPr>
            <w:tcW w:w="100" w:type="dxa"/>
            <w:vAlign w:val="bottom"/>
            <w:tcBorders>
              <w:bottom w:val="single" w:sz="8" w:color="CFF0FC"/>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(37,308)</w:t>
            </w:r>
          </w:p>
        </w:tc>
        <w:tc>
          <w:tcPr>
            <w:tcW w:w="10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(123,447)</w:t>
            </w:r>
          </w:p>
        </w:tc>
        <w:tc>
          <w:tcPr>
            <w:tcW w:w="120" w:type="dxa"/>
            <w:vAlign w:val="bottom"/>
            <w:tcBorders>
              <w:bottom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(121,408)</w:t>
            </w:r>
          </w:p>
        </w:tc>
      </w:tr>
      <w:tr>
        <w:trPr>
          <w:trHeight w:val="209"/>
        </w:trPr>
        <w:tc>
          <w:tcPr>
            <w:tcW w:w="5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Unrealized gain on available for sale securities</w:t>
            </w:r>
          </w:p>
        </w:tc>
        <w:tc>
          <w:tcPr>
            <w:tcW w:w="8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2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2,896</w:t>
            </w:r>
          </w:p>
        </w:tc>
      </w:tr>
      <w:tr>
        <w:trPr>
          <w:trHeight w:val="204"/>
        </w:trPr>
        <w:tc>
          <w:tcPr>
            <w:tcW w:w="5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Comprehensive loss</w:t>
            </w:r>
          </w:p>
        </w:tc>
        <w:tc>
          <w:tcPr>
            <w:tcW w:w="84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(31,677)</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(36,047)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(121,891)</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(118,512)</w:t>
            </w: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FF0FC"/>
          </w:tcPr>
          <w:p>
            <w:pPr>
              <w:ind w:left="260"/>
              <w:spacing w:after="0" w:line="183" w:lineRule="exact"/>
              <w:rPr>
                <w:sz w:val="20"/>
                <w:szCs w:val="20"/>
                <w:color w:val="auto"/>
              </w:rPr>
            </w:pPr>
            <w:r>
              <w:rPr>
                <w:rFonts w:ascii="Times New Roman" w:cs="Times New Roman" w:eastAsia="Times New Roman" w:hAnsi="Times New Roman"/>
                <w:sz w:val="16"/>
                <w:szCs w:val="16"/>
                <w:color w:val="auto"/>
              </w:rPr>
              <w:t>Net loss per common share:</w:t>
            </w:r>
          </w:p>
        </w:tc>
        <w:tc>
          <w:tcPr>
            <w:tcW w:w="8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87"/>
        </w:trPr>
        <w:tc>
          <w:tcPr>
            <w:tcW w:w="5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Basic and diluted</w:t>
            </w:r>
          </w:p>
        </w:tc>
        <w:tc>
          <w:tcPr>
            <w:tcW w:w="84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Pr>
          <w:p>
            <w:pPr>
              <w:spacing w:after="0"/>
              <w:rPr>
                <w:sz w:val="16"/>
                <w:szCs w:val="16"/>
                <w:color w:val="auto"/>
              </w:rPr>
            </w:pPr>
          </w:p>
        </w:tc>
        <w:tc>
          <w:tcPr>
            <w:tcW w:w="5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0"/>
        </w:trPr>
        <w:tc>
          <w:tcPr>
            <w:tcW w:w="5220" w:type="dxa"/>
            <w:vAlign w:val="bottom"/>
            <w:shd w:val="clear" w:color="auto" w:fill="CFF0FC"/>
          </w:tcPr>
          <w:p>
            <w:pPr>
              <w:ind w:left="260"/>
              <w:spacing w:after="0" w:line="181" w:lineRule="exact"/>
              <w:rPr>
                <w:sz w:val="20"/>
                <w:szCs w:val="20"/>
                <w:color w:val="auto"/>
              </w:rPr>
            </w:pPr>
            <w:r>
              <w:rPr>
                <w:rFonts w:ascii="Times New Roman" w:cs="Times New Roman" w:eastAsia="Times New Roman" w:hAnsi="Times New Roman"/>
                <w:sz w:val="16"/>
                <w:szCs w:val="16"/>
                <w:color w:val="auto"/>
              </w:rPr>
              <w:t>Weighted-average number of shares outstanding:</w:t>
            </w:r>
          </w:p>
        </w:tc>
        <w:tc>
          <w:tcPr>
            <w:tcW w:w="8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211"/>
        </w:trPr>
        <w:tc>
          <w:tcPr>
            <w:tcW w:w="5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Basic and diluted</w:t>
            </w: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28,893</w:t>
            </w: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27,688</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27,038</w:t>
            </w:r>
          </w:p>
        </w:tc>
      </w:tr>
      <w:tr>
        <w:trPr>
          <w:trHeight w:val="22"/>
        </w:trPr>
        <w:tc>
          <w:tcPr>
            <w:tcW w:w="5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60" w:type="dxa"/>
            <w:vAlign w:val="bottom"/>
          </w:tcPr>
          <w:p>
            <w:pPr>
              <w:spacing w:after="0"/>
              <w:rPr>
                <w:sz w:val="13"/>
                <w:szCs w:val="13"/>
                <w:color w:val="auto"/>
              </w:rPr>
            </w:pPr>
          </w:p>
        </w:tc>
        <w:tc>
          <w:tcPr>
            <w:tcW w:w="17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80"/>
        </w:trPr>
        <w:tc>
          <w:tcPr>
            <w:tcW w:w="4160" w:type="dxa"/>
            <w:vAlign w:val="bottom"/>
          </w:tcPr>
          <w:p>
            <w:pPr>
              <w:spacing w:after="0"/>
              <w:rPr>
                <w:sz w:val="6"/>
                <w:szCs w:val="6"/>
                <w:color w:val="auto"/>
              </w:rPr>
            </w:pP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6"/>
                <w:szCs w:val="6"/>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6"/>
                <w:szCs w:val="6"/>
                <w:color w:val="auto"/>
              </w:rPr>
            </w:pPr>
          </w:p>
        </w:tc>
        <w:tc>
          <w:tcPr>
            <w:tcW w:w="1100" w:type="dxa"/>
            <w:vAlign w:val="bottom"/>
            <w:gridSpan w:val="2"/>
          </w:tcPr>
          <w:p>
            <w:pPr>
              <w:jc w:val="center"/>
              <w:ind w:right="320"/>
              <w:spacing w:after="0" w:line="80" w:lineRule="exact"/>
              <w:rPr>
                <w:sz w:val="20"/>
                <w:szCs w:val="20"/>
                <w:color w:val="auto"/>
              </w:rPr>
            </w:pPr>
            <w:r>
              <w:rPr>
                <w:rFonts w:ascii="Times New Roman" w:cs="Times New Roman" w:eastAsia="Times New Roman" w:hAnsi="Times New Roman"/>
                <w:sz w:val="9"/>
                <w:szCs w:val="9"/>
                <w:b w:val="1"/>
                <w:bCs w:val="1"/>
                <w:color w:val="auto"/>
              </w:rPr>
              <w:t>Paid-in</w:t>
            </w:r>
          </w:p>
        </w:tc>
        <w:tc>
          <w:tcPr>
            <w:tcW w:w="100" w:type="dxa"/>
            <w:vAlign w:val="bottom"/>
          </w:tcPr>
          <w:p>
            <w:pPr>
              <w:spacing w:after="0"/>
              <w:rPr>
                <w:sz w:val="6"/>
                <w:szCs w:val="6"/>
                <w:color w:val="auto"/>
              </w:rPr>
            </w:pPr>
          </w:p>
        </w:tc>
        <w:tc>
          <w:tcPr>
            <w:tcW w:w="1240" w:type="dxa"/>
            <w:vAlign w:val="bottom"/>
            <w:gridSpan w:val="2"/>
          </w:tcPr>
          <w:p>
            <w:pPr>
              <w:jc w:val="center"/>
              <w:ind w:right="200"/>
              <w:spacing w:after="0" w:line="80" w:lineRule="exact"/>
              <w:rPr>
                <w:sz w:val="20"/>
                <w:szCs w:val="20"/>
                <w:color w:val="auto"/>
              </w:rPr>
            </w:pPr>
            <w:r>
              <w:rPr>
                <w:rFonts w:ascii="Times New Roman" w:cs="Times New Roman" w:eastAsia="Times New Roman" w:hAnsi="Times New Roman"/>
                <w:sz w:val="9"/>
                <w:szCs w:val="9"/>
                <w:b w:val="1"/>
                <w:bCs w:val="1"/>
                <w:color w:val="auto"/>
              </w:rPr>
              <w:t>Comprehensive Gain (</w:t>
            </w:r>
          </w:p>
        </w:tc>
        <w:tc>
          <w:tcPr>
            <w:tcW w:w="200" w:type="dxa"/>
            <w:vAlign w:val="bottom"/>
          </w:tcPr>
          <w:p>
            <w:pPr>
              <w:spacing w:after="0"/>
              <w:rPr>
                <w:sz w:val="6"/>
                <w:szCs w:val="6"/>
                <w:color w:val="auto"/>
              </w:rPr>
            </w:pPr>
          </w:p>
        </w:tc>
        <w:tc>
          <w:tcPr>
            <w:tcW w:w="1140" w:type="dxa"/>
            <w:vAlign w:val="bottom"/>
            <w:gridSpan w:val="2"/>
          </w:tcPr>
          <w:p>
            <w:pPr>
              <w:ind w:left="120"/>
              <w:spacing w:after="0" w:line="80"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80" w:type="dxa"/>
            <w:vAlign w:val="bottom"/>
          </w:tcPr>
          <w:p>
            <w:pPr>
              <w:spacing w:after="0"/>
              <w:rPr>
                <w:sz w:val="6"/>
                <w:szCs w:val="6"/>
                <w:color w:val="auto"/>
              </w:rPr>
            </w:pPr>
          </w:p>
        </w:tc>
        <w:tc>
          <w:tcPr>
            <w:tcW w:w="1040" w:type="dxa"/>
            <w:vAlign w:val="bottom"/>
          </w:tcPr>
          <w:p>
            <w:pPr>
              <w:jc w:val="center"/>
              <w:ind w:right="119"/>
              <w:spacing w:after="0" w:line="80"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Loss)</w:t>
            </w:r>
          </w:p>
        </w:tc>
        <w:tc>
          <w:tcPr>
            <w:tcW w:w="200" w:type="dxa"/>
            <w:vAlign w:val="bottom"/>
          </w:tcPr>
          <w:p>
            <w:pPr>
              <w:spacing w:after="0"/>
              <w:rPr>
                <w:sz w:val="13"/>
                <w:szCs w:val="13"/>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tcPr>
          <w:p>
            <w:pPr>
              <w:spacing w:after="0"/>
              <w:rPr>
                <w:sz w:val="13"/>
                <w:szCs w:val="13"/>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87"/>
        </w:trPr>
        <w:tc>
          <w:tcPr>
            <w:tcW w:w="41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26,597</w:t>
            </w: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702,969</w:t>
            </w: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(797)</w:t>
            </w:r>
          </w:p>
        </w:tc>
        <w:tc>
          <w:tcPr>
            <w:tcW w:w="1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(614,096)</w:t>
            </w: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88,103</w:t>
            </w:r>
          </w:p>
        </w:tc>
        <w:tc>
          <w:tcPr>
            <w:tcW w:w="0" w:type="dxa"/>
            <w:vAlign w:val="bottom"/>
          </w:tcPr>
          <w:p>
            <w:pPr>
              <w:spacing w:after="0"/>
              <w:rPr>
                <w:sz w:val="1"/>
                <w:szCs w:val="1"/>
                <w:color w:val="auto"/>
              </w:rPr>
            </w:pPr>
          </w:p>
        </w:tc>
      </w:tr>
      <w:tr>
        <w:trPr>
          <w:trHeight w:val="133"/>
        </w:trPr>
        <w:tc>
          <w:tcPr>
            <w:tcW w:w="416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color w:val="auto"/>
              </w:rPr>
              <w:t>Issuance of common stock from exercises of options and employee</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w:t>
            </w:r>
          </w:p>
        </w:tc>
        <w:tc>
          <w:tcPr>
            <w:tcW w:w="0" w:type="dxa"/>
            <w:vAlign w:val="bottom"/>
          </w:tcPr>
          <w:p>
            <w:pPr>
              <w:spacing w:after="0"/>
              <w:rPr>
                <w:sz w:val="1"/>
                <w:szCs w:val="1"/>
                <w:color w:val="auto"/>
              </w:rPr>
            </w:pPr>
          </w:p>
        </w:tc>
      </w:tr>
      <w:tr>
        <w:trPr>
          <w:trHeight w:val="208"/>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share settlement of restricted stock units</w:t>
            </w:r>
          </w:p>
        </w:tc>
        <w:tc>
          <w:tcPr>
            <w:tcW w:w="82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(347)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(7,504)</w:t>
            </w:r>
          </w:p>
        </w:tc>
        <w:tc>
          <w:tcPr>
            <w:tcW w:w="0" w:type="dxa"/>
            <w:vAlign w:val="bottom"/>
          </w:tcPr>
          <w:p>
            <w:pPr>
              <w:spacing w:after="0"/>
              <w:rPr>
                <w:sz w:val="1"/>
                <w:szCs w:val="1"/>
                <w:color w:val="auto"/>
              </w:rPr>
            </w:pPr>
          </w:p>
        </w:tc>
      </w:tr>
      <w:tr>
        <w:trPr>
          <w:trHeight w:val="208"/>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10,131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10,131</w:t>
            </w:r>
          </w:p>
        </w:tc>
        <w:tc>
          <w:tcPr>
            <w:tcW w:w="0" w:type="dxa"/>
            <w:vAlign w:val="bottom"/>
          </w:tcPr>
          <w:p>
            <w:pPr>
              <w:spacing w:after="0"/>
              <w:rPr>
                <w:sz w:val="1"/>
                <w:szCs w:val="1"/>
                <w:color w:val="auto"/>
              </w:rPr>
            </w:pPr>
          </w:p>
        </w:tc>
      </w:tr>
      <w:tr>
        <w:trPr>
          <w:trHeight w:val="192"/>
        </w:trPr>
        <w:tc>
          <w:tcPr>
            <w:tcW w:w="4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gain, net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0" w:type="dxa"/>
            <w:vAlign w:val="bottom"/>
          </w:tcPr>
          <w:p>
            <w:pPr>
              <w:spacing w:after="0"/>
              <w:rPr>
                <w:sz w:val="1"/>
                <w:szCs w:val="1"/>
                <w:color w:val="auto"/>
              </w:rPr>
            </w:pPr>
          </w:p>
        </w:tc>
      </w:tr>
      <w:tr>
        <w:trPr>
          <w:trHeight w:val="208"/>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(43,936)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(43,936)</w:t>
            </w:r>
          </w:p>
        </w:tc>
        <w:tc>
          <w:tcPr>
            <w:tcW w:w="0" w:type="dxa"/>
            <w:vAlign w:val="bottom"/>
          </w:tcPr>
          <w:p>
            <w:pPr>
              <w:spacing w:after="0"/>
              <w:rPr>
                <w:sz w:val="1"/>
                <w:szCs w:val="1"/>
                <w:color w:val="auto"/>
              </w:rPr>
            </w:pPr>
          </w:p>
        </w:tc>
      </w:tr>
      <w:tr>
        <w:trPr>
          <w:trHeight w:val="173"/>
        </w:trPr>
        <w:tc>
          <w:tcPr>
            <w:tcW w:w="41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27,317</w:t>
            </w:r>
          </w:p>
        </w:tc>
        <w:tc>
          <w:tcPr>
            <w:tcW w:w="1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706,407</w:t>
            </w: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(624)</w:t>
            </w:r>
          </w:p>
        </w:tc>
        <w:tc>
          <w:tcPr>
            <w:tcW w:w="10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(658,032)</w:t>
            </w: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47,778</w:t>
            </w:r>
          </w:p>
        </w:tc>
        <w:tc>
          <w:tcPr>
            <w:tcW w:w="0" w:type="dxa"/>
            <w:vAlign w:val="bottom"/>
          </w:tcPr>
          <w:p>
            <w:pPr>
              <w:spacing w:after="0"/>
              <w:rPr>
                <w:sz w:val="1"/>
                <w:szCs w:val="1"/>
                <w:color w:val="auto"/>
              </w:rPr>
            </w:pPr>
          </w:p>
        </w:tc>
      </w:tr>
      <w:tr>
        <w:trPr>
          <w:trHeight w:val="120"/>
        </w:trPr>
        <w:tc>
          <w:tcPr>
            <w:tcW w:w="4160" w:type="dxa"/>
            <w:vAlign w:val="bottom"/>
            <w:shd w:val="clear" w:color="auto" w:fill="CFF0FC"/>
          </w:tcPr>
          <w:p>
            <w:pPr>
              <w:ind w:left="100"/>
              <w:spacing w:after="0" w:line="120" w:lineRule="exact"/>
              <w:rPr>
                <w:sz w:val="20"/>
                <w:szCs w:val="20"/>
                <w:color w:val="auto"/>
              </w:rPr>
            </w:pPr>
            <w:r>
              <w:rPr>
                <w:rFonts w:ascii="Times New Roman" w:cs="Times New Roman" w:eastAsia="Times New Roman" w:hAnsi="Times New Roman"/>
                <w:sz w:val="13"/>
                <w:szCs w:val="13"/>
                <w:color w:val="auto"/>
              </w:rPr>
              <w:t>Issuance of common stock from exercises of options and employee</w:t>
            </w: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 purchase plan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1,008</w:t>
            </w:r>
          </w:p>
        </w:tc>
        <w:tc>
          <w:tcPr>
            <w:tcW w:w="0" w:type="dxa"/>
            <w:vAlign w:val="bottom"/>
          </w:tcPr>
          <w:p>
            <w:pPr>
              <w:spacing w:after="0"/>
              <w:rPr>
                <w:sz w:val="1"/>
                <w:szCs w:val="1"/>
                <w:color w:val="auto"/>
              </w:rPr>
            </w:pPr>
          </w:p>
        </w:tc>
      </w:tr>
      <w:tr>
        <w:trPr>
          <w:trHeight w:val="192"/>
        </w:trPr>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8"/>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7,544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7,544</w:t>
            </w:r>
          </w:p>
        </w:tc>
        <w:tc>
          <w:tcPr>
            <w:tcW w:w="0" w:type="dxa"/>
            <w:vAlign w:val="bottom"/>
          </w:tcPr>
          <w:p>
            <w:pPr>
              <w:spacing w:after="0"/>
              <w:rPr>
                <w:sz w:val="1"/>
                <w:szCs w:val="1"/>
                <w:color w:val="auto"/>
              </w:rPr>
            </w:pPr>
          </w:p>
        </w:tc>
      </w:tr>
      <w:tr>
        <w:trPr>
          <w:trHeight w:val="192"/>
        </w:trPr>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Comprehensive gain, net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0" w:type="dxa"/>
            <w:vAlign w:val="bottom"/>
          </w:tcPr>
          <w:p>
            <w:pPr>
              <w:spacing w:after="0"/>
              <w:rPr>
                <w:sz w:val="1"/>
                <w:szCs w:val="1"/>
                <w:color w:val="auto"/>
              </w:rPr>
            </w:pPr>
          </w:p>
        </w:tc>
      </w:tr>
      <w:tr>
        <w:trPr>
          <w:trHeight w:val="208"/>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(46,660)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(46,660)</w:t>
            </w:r>
          </w:p>
        </w:tc>
        <w:tc>
          <w:tcPr>
            <w:tcW w:w="0" w:type="dxa"/>
            <w:vAlign w:val="bottom"/>
          </w:tcPr>
          <w:p>
            <w:pPr>
              <w:spacing w:after="0"/>
              <w:rPr>
                <w:sz w:val="1"/>
                <w:szCs w:val="1"/>
                <w:color w:val="auto"/>
              </w:rPr>
            </w:pPr>
          </w:p>
        </w:tc>
      </w:tr>
      <w:tr>
        <w:trPr>
          <w:trHeight w:val="173"/>
        </w:trPr>
        <w:tc>
          <w:tcPr>
            <w:tcW w:w="41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27,434</w:t>
            </w:r>
          </w:p>
        </w:tc>
        <w:tc>
          <w:tcPr>
            <w:tcW w:w="1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714,959</w:t>
            </w: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(415)</w:t>
            </w:r>
          </w:p>
        </w:tc>
        <w:tc>
          <w:tcPr>
            <w:tcW w:w="10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(704,692)</w:t>
            </w: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9,879</w:t>
            </w:r>
          </w:p>
        </w:tc>
        <w:tc>
          <w:tcPr>
            <w:tcW w:w="0" w:type="dxa"/>
            <w:vAlign w:val="bottom"/>
          </w:tcPr>
          <w:p>
            <w:pPr>
              <w:spacing w:after="0"/>
              <w:rPr>
                <w:sz w:val="1"/>
                <w:szCs w:val="1"/>
                <w:color w:val="auto"/>
              </w:rPr>
            </w:pPr>
          </w:p>
        </w:tc>
      </w:tr>
      <w:tr>
        <w:trPr>
          <w:trHeight w:val="120"/>
        </w:trPr>
        <w:tc>
          <w:tcPr>
            <w:tcW w:w="4160" w:type="dxa"/>
            <w:vAlign w:val="bottom"/>
            <w:shd w:val="clear" w:color="auto" w:fill="CFF0FC"/>
          </w:tcPr>
          <w:p>
            <w:pPr>
              <w:ind w:left="100"/>
              <w:spacing w:after="0" w:line="120" w:lineRule="exact"/>
              <w:rPr>
                <w:sz w:val="20"/>
                <w:szCs w:val="20"/>
                <w:color w:val="auto"/>
              </w:rPr>
            </w:pPr>
            <w:r>
              <w:rPr>
                <w:rFonts w:ascii="Times New Roman" w:cs="Times New Roman" w:eastAsia="Times New Roman" w:hAnsi="Times New Roman"/>
                <w:sz w:val="13"/>
                <w:szCs w:val="13"/>
                <w:color w:val="auto"/>
              </w:rPr>
              <w:t>Issuance of common stock from exercises of options and employee</w:t>
            </w: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 purchase plan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4,099</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4,099</w:t>
            </w:r>
          </w:p>
        </w:tc>
        <w:tc>
          <w:tcPr>
            <w:tcW w:w="0" w:type="dxa"/>
            <w:vAlign w:val="bottom"/>
          </w:tcPr>
          <w:p>
            <w:pPr>
              <w:spacing w:after="0"/>
              <w:rPr>
                <w:sz w:val="1"/>
                <w:szCs w:val="1"/>
                <w:color w:val="auto"/>
              </w:rPr>
            </w:pPr>
          </w:p>
        </w:tc>
      </w:tr>
      <w:tr>
        <w:trPr>
          <w:trHeight w:val="192"/>
        </w:trPr>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8"/>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Issuance of common stock, net of $6,516 of transaction costs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2,751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93,874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93,877</w:t>
            </w:r>
          </w:p>
        </w:tc>
        <w:tc>
          <w:tcPr>
            <w:tcW w:w="0" w:type="dxa"/>
            <w:vAlign w:val="bottom"/>
          </w:tcPr>
          <w:p>
            <w:pPr>
              <w:spacing w:after="0"/>
              <w:rPr>
                <w:sz w:val="1"/>
                <w:szCs w:val="1"/>
                <w:color w:val="auto"/>
              </w:rPr>
            </w:pPr>
          </w:p>
        </w:tc>
      </w:tr>
      <w:tr>
        <w:trPr>
          <w:trHeight w:val="192"/>
        </w:trPr>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8,189</w:t>
            </w:r>
          </w:p>
        </w:tc>
        <w:tc>
          <w:tcPr>
            <w:tcW w:w="0" w:type="dxa"/>
            <w:vAlign w:val="bottom"/>
          </w:tcPr>
          <w:p>
            <w:pPr>
              <w:spacing w:after="0"/>
              <w:rPr>
                <w:sz w:val="1"/>
                <w:szCs w:val="1"/>
                <w:color w:val="auto"/>
              </w:rPr>
            </w:pPr>
          </w:p>
        </w:tc>
      </w:tr>
      <w:tr>
        <w:trPr>
          <w:trHeight w:val="208"/>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Comprehensive gain, net</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1,174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1,174</w:t>
            </w:r>
          </w:p>
        </w:tc>
        <w:tc>
          <w:tcPr>
            <w:tcW w:w="0" w:type="dxa"/>
            <w:vAlign w:val="bottom"/>
          </w:tcPr>
          <w:p>
            <w:pPr>
              <w:spacing w:after="0"/>
              <w:rPr>
                <w:sz w:val="1"/>
                <w:szCs w:val="1"/>
                <w:color w:val="auto"/>
              </w:rPr>
            </w:pPr>
          </w:p>
        </w:tc>
      </w:tr>
      <w:tr>
        <w:trPr>
          <w:trHeight w:val="193"/>
        </w:trPr>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(32,851)</w:t>
            </w:r>
          </w:p>
        </w:tc>
        <w:tc>
          <w:tcPr>
            <w:tcW w:w="0" w:type="dxa"/>
            <w:vAlign w:val="bottom"/>
          </w:tcPr>
          <w:p>
            <w:pPr>
              <w:spacing w:after="0"/>
              <w:rPr>
                <w:sz w:val="1"/>
                <w:szCs w:val="1"/>
                <w:color w:val="auto"/>
              </w:rPr>
            </w:pPr>
          </w:p>
        </w:tc>
      </w:tr>
      <w:tr>
        <w:trPr>
          <w:trHeight w:val="198"/>
        </w:trPr>
        <w:tc>
          <w:tcPr>
            <w:tcW w:w="41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30,429</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821,121</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759</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(737,543)</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84,367</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80" w:type="dxa"/>
            <w:vAlign w:val="bottom"/>
          </w:tcPr>
          <w:p>
            <w:pPr>
              <w:spacing w:after="0"/>
              <w:rPr>
                <w:sz w:val="13"/>
                <w:szCs w:val="13"/>
                <w:color w:val="auto"/>
              </w:rPr>
            </w:pPr>
          </w:p>
        </w:tc>
        <w:tc>
          <w:tcPr>
            <w:tcW w:w="17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Accumulated Other</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80"/>
        </w:trPr>
        <w:tc>
          <w:tcPr>
            <w:tcW w:w="4280" w:type="dxa"/>
            <w:vAlign w:val="bottom"/>
          </w:tcPr>
          <w:p>
            <w:pPr>
              <w:spacing w:after="0"/>
              <w:rPr>
                <w:sz w:val="6"/>
                <w:szCs w:val="6"/>
                <w:color w:val="auto"/>
              </w:rPr>
            </w:pP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6"/>
                <w:szCs w:val="6"/>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6"/>
                <w:szCs w:val="6"/>
                <w:color w:val="auto"/>
              </w:rPr>
            </w:pPr>
          </w:p>
        </w:tc>
        <w:tc>
          <w:tcPr>
            <w:tcW w:w="1080" w:type="dxa"/>
            <w:vAlign w:val="bottom"/>
            <w:gridSpan w:val="2"/>
          </w:tcPr>
          <w:p>
            <w:pPr>
              <w:jc w:val="center"/>
              <w:ind w:right="300"/>
              <w:spacing w:after="0" w:line="80" w:lineRule="exact"/>
              <w:rPr>
                <w:sz w:val="20"/>
                <w:szCs w:val="20"/>
                <w:color w:val="auto"/>
              </w:rPr>
            </w:pPr>
            <w:r>
              <w:rPr>
                <w:rFonts w:ascii="Times New Roman" w:cs="Times New Roman" w:eastAsia="Times New Roman" w:hAnsi="Times New Roman"/>
                <w:sz w:val="9"/>
                <w:szCs w:val="9"/>
                <w:b w:val="1"/>
                <w:bCs w:val="1"/>
                <w:color w:val="auto"/>
              </w:rPr>
              <w:t>Paid-in</w:t>
            </w:r>
          </w:p>
        </w:tc>
        <w:tc>
          <w:tcPr>
            <w:tcW w:w="100" w:type="dxa"/>
            <w:vAlign w:val="bottom"/>
          </w:tcPr>
          <w:p>
            <w:pPr>
              <w:spacing w:after="0"/>
              <w:rPr>
                <w:sz w:val="6"/>
                <w:szCs w:val="6"/>
                <w:color w:val="auto"/>
              </w:rPr>
            </w:pPr>
          </w:p>
        </w:tc>
        <w:tc>
          <w:tcPr>
            <w:tcW w:w="1220" w:type="dxa"/>
            <w:vAlign w:val="bottom"/>
            <w:gridSpan w:val="2"/>
          </w:tcPr>
          <w:p>
            <w:pPr>
              <w:jc w:val="center"/>
              <w:ind w:right="220"/>
              <w:spacing w:after="0" w:line="80" w:lineRule="exact"/>
              <w:rPr>
                <w:sz w:val="20"/>
                <w:szCs w:val="20"/>
                <w:color w:val="auto"/>
              </w:rPr>
            </w:pPr>
            <w:r>
              <w:rPr>
                <w:rFonts w:ascii="Times New Roman" w:cs="Times New Roman" w:eastAsia="Times New Roman" w:hAnsi="Times New Roman"/>
                <w:sz w:val="9"/>
                <w:szCs w:val="9"/>
                <w:b w:val="1"/>
                <w:bCs w:val="1"/>
                <w:color w:val="auto"/>
              </w:rPr>
              <w:t>Comprehensive Gain</w:t>
            </w:r>
          </w:p>
        </w:tc>
        <w:tc>
          <w:tcPr>
            <w:tcW w:w="180" w:type="dxa"/>
            <w:vAlign w:val="bottom"/>
          </w:tcPr>
          <w:p>
            <w:pPr>
              <w:spacing w:after="0"/>
              <w:rPr>
                <w:sz w:val="6"/>
                <w:szCs w:val="6"/>
                <w:color w:val="auto"/>
              </w:rPr>
            </w:pPr>
          </w:p>
        </w:tc>
        <w:tc>
          <w:tcPr>
            <w:tcW w:w="1120" w:type="dxa"/>
            <w:vAlign w:val="bottom"/>
            <w:gridSpan w:val="2"/>
          </w:tcPr>
          <w:p>
            <w:pPr>
              <w:ind w:left="120"/>
              <w:spacing w:after="0" w:line="80"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80" w:type="dxa"/>
            <w:vAlign w:val="bottom"/>
          </w:tcPr>
          <w:p>
            <w:pPr>
              <w:spacing w:after="0"/>
              <w:rPr>
                <w:sz w:val="6"/>
                <w:szCs w:val="6"/>
                <w:color w:val="auto"/>
              </w:rPr>
            </w:pPr>
          </w:p>
        </w:tc>
        <w:tc>
          <w:tcPr>
            <w:tcW w:w="1020" w:type="dxa"/>
            <w:vAlign w:val="bottom"/>
          </w:tcPr>
          <w:p>
            <w:pPr>
              <w:jc w:val="center"/>
              <w:ind w:right="119"/>
              <w:spacing w:after="0" w:line="80"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153"/>
        </w:trPr>
        <w:tc>
          <w:tcPr>
            <w:tcW w:w="42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80" w:type="dxa"/>
            <w:vAlign w:val="bottom"/>
          </w:tcPr>
          <w:p>
            <w:pPr>
              <w:spacing w:after="0"/>
              <w:rPr>
                <w:sz w:val="13"/>
                <w:szCs w:val="13"/>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tcPr>
          <w:p>
            <w:pPr>
              <w:spacing w:after="0"/>
              <w:rPr>
                <w:sz w:val="13"/>
                <w:szCs w:val="13"/>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87"/>
        </w:trPr>
        <w:tc>
          <w:tcPr>
            <w:tcW w:w="42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28,513</w:t>
            </w: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29</w:t>
            </w: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717,797</w:t>
            </w: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(5,246)</w:t>
            </w: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(450,477)</w:t>
            </w:r>
          </w:p>
        </w:tc>
        <w:tc>
          <w:tcPr>
            <w:tcW w:w="1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262,103</w:t>
            </w:r>
          </w:p>
        </w:tc>
        <w:tc>
          <w:tcPr>
            <w:tcW w:w="0" w:type="dxa"/>
            <w:vAlign w:val="bottom"/>
          </w:tcPr>
          <w:p>
            <w:pPr>
              <w:spacing w:after="0"/>
              <w:rPr>
                <w:sz w:val="1"/>
                <w:szCs w:val="1"/>
                <w:color w:val="auto"/>
              </w:rPr>
            </w:pPr>
          </w:p>
        </w:tc>
      </w:tr>
      <w:tr>
        <w:trPr>
          <w:trHeight w:val="133"/>
        </w:trPr>
        <w:tc>
          <w:tcPr>
            <w:tcW w:w="428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color w:val="auto"/>
              </w:rPr>
              <w:t>Issuance of common stock from exercises of options and employee stock</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1,222</w:t>
            </w:r>
          </w:p>
        </w:tc>
        <w:tc>
          <w:tcPr>
            <w:tcW w:w="0" w:type="dxa"/>
            <w:vAlign w:val="bottom"/>
          </w:tcPr>
          <w:p>
            <w:pPr>
              <w:spacing w:after="0"/>
              <w:rPr>
                <w:sz w:val="1"/>
                <w:szCs w:val="1"/>
                <w:color w:val="auto"/>
              </w:rPr>
            </w:pPr>
          </w:p>
        </w:tc>
      </w:tr>
      <w:tr>
        <w:trPr>
          <w:trHeight w:val="208"/>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Repurchases and retirements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2"/>
                <w:szCs w:val="12"/>
                <w:color w:val="auto"/>
                <w:w w:val="99"/>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(38,816)</w:t>
            </w:r>
          </w:p>
        </w:tc>
        <w:tc>
          <w:tcPr>
            <w:tcW w:w="0" w:type="dxa"/>
            <w:vAlign w:val="bottom"/>
          </w:tcPr>
          <w:p>
            <w:pPr>
              <w:spacing w:after="0"/>
              <w:rPr>
                <w:sz w:val="1"/>
                <w:szCs w:val="1"/>
                <w:color w:val="auto"/>
              </w:rPr>
            </w:pPr>
          </w:p>
        </w:tc>
      </w:tr>
      <w:tr>
        <w:trPr>
          <w:trHeight w:val="208"/>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8,860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8,860</w:t>
            </w:r>
          </w:p>
        </w:tc>
        <w:tc>
          <w:tcPr>
            <w:tcW w:w="0" w:type="dxa"/>
            <w:vAlign w:val="bottom"/>
          </w:tcPr>
          <w:p>
            <w:pPr>
              <w:spacing w:after="0"/>
              <w:rPr>
                <w:sz w:val="1"/>
                <w:szCs w:val="1"/>
                <w:color w:val="auto"/>
              </w:rPr>
            </w:pPr>
          </w:p>
        </w:tc>
      </w:tr>
      <w:tr>
        <w:trPr>
          <w:trHeight w:val="192"/>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Comprehensive gain, net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1,979</w:t>
            </w:r>
          </w:p>
        </w:tc>
        <w:tc>
          <w:tcPr>
            <w:tcW w:w="0" w:type="dxa"/>
            <w:vAlign w:val="bottom"/>
          </w:tcPr>
          <w:p>
            <w:pPr>
              <w:spacing w:after="0"/>
              <w:rPr>
                <w:sz w:val="1"/>
                <w:szCs w:val="1"/>
                <w:color w:val="auto"/>
              </w:rPr>
            </w:pPr>
          </w:p>
        </w:tc>
      </w:tr>
      <w:tr>
        <w:trPr>
          <w:trHeight w:val="208"/>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(44,255)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(44,255)</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27,018</w:t>
            </w:r>
          </w:p>
        </w:tc>
        <w:tc>
          <w:tcPr>
            <w:tcW w:w="1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689,065</w:t>
            </w: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(3,267)</w:t>
            </w: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(494,732)</w:t>
            </w:r>
          </w:p>
        </w:tc>
        <w:tc>
          <w:tcPr>
            <w:tcW w:w="10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191,093</w:t>
            </w:r>
          </w:p>
        </w:tc>
        <w:tc>
          <w:tcPr>
            <w:tcW w:w="0" w:type="dxa"/>
            <w:vAlign w:val="bottom"/>
          </w:tcPr>
          <w:p>
            <w:pPr>
              <w:spacing w:after="0"/>
              <w:rPr>
                <w:sz w:val="1"/>
                <w:szCs w:val="1"/>
                <w:color w:val="auto"/>
              </w:rPr>
            </w:pPr>
          </w:p>
        </w:tc>
      </w:tr>
      <w:tr>
        <w:trPr>
          <w:trHeight w:val="120"/>
        </w:trPr>
        <w:tc>
          <w:tcPr>
            <w:tcW w:w="4280" w:type="dxa"/>
            <w:vAlign w:val="bottom"/>
            <w:shd w:val="clear" w:color="auto" w:fill="CFF0FC"/>
          </w:tcPr>
          <w:p>
            <w:pPr>
              <w:ind w:left="100"/>
              <w:spacing w:after="0" w:line="120" w:lineRule="exact"/>
              <w:rPr>
                <w:sz w:val="20"/>
                <w:szCs w:val="20"/>
                <w:color w:val="auto"/>
              </w:rPr>
            </w:pPr>
            <w:r>
              <w:rPr>
                <w:rFonts w:ascii="Times New Roman" w:cs="Times New Roman" w:eastAsia="Times New Roman" w:hAnsi="Times New Roman"/>
                <w:sz w:val="13"/>
                <w:szCs w:val="13"/>
                <w:color w:val="auto"/>
              </w:rPr>
              <w:t>Issuance of common stock from exercises of options and employee stock</w:t>
            </w: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purchase plan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0" w:type="dxa"/>
            <w:vAlign w:val="bottom"/>
          </w:tcPr>
          <w:p>
            <w:pPr>
              <w:spacing w:after="0"/>
              <w:rPr>
                <w:sz w:val="1"/>
                <w:szCs w:val="1"/>
                <w:color w:val="auto"/>
              </w:rPr>
            </w:pPr>
          </w:p>
        </w:tc>
      </w:tr>
      <w:tr>
        <w:trPr>
          <w:trHeight w:val="192"/>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Repurchases and retirements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(11,656)</w:t>
            </w:r>
          </w:p>
        </w:tc>
        <w:tc>
          <w:tcPr>
            <w:tcW w:w="0" w:type="dxa"/>
            <w:vAlign w:val="bottom"/>
          </w:tcPr>
          <w:p>
            <w:pPr>
              <w:spacing w:after="0"/>
              <w:rPr>
                <w:sz w:val="1"/>
                <w:szCs w:val="1"/>
                <w:color w:val="auto"/>
              </w:rPr>
            </w:pPr>
          </w:p>
        </w:tc>
      </w:tr>
      <w:tr>
        <w:trPr>
          <w:trHeight w:val="208"/>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8,427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8,427</w:t>
            </w:r>
          </w:p>
        </w:tc>
        <w:tc>
          <w:tcPr>
            <w:tcW w:w="0" w:type="dxa"/>
            <w:vAlign w:val="bottom"/>
          </w:tcPr>
          <w:p>
            <w:pPr>
              <w:spacing w:after="0"/>
              <w:rPr>
                <w:sz w:val="1"/>
                <w:szCs w:val="1"/>
                <w:color w:val="auto"/>
              </w:rPr>
            </w:pPr>
          </w:p>
        </w:tc>
      </w:tr>
      <w:tr>
        <w:trPr>
          <w:trHeight w:val="192"/>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Comprehensive loss, net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0" w:type="dxa"/>
            <w:vAlign w:val="bottom"/>
          </w:tcPr>
          <w:p>
            <w:pPr>
              <w:spacing w:after="0"/>
              <w:rPr>
                <w:sz w:val="1"/>
                <w:szCs w:val="1"/>
                <w:color w:val="auto"/>
              </w:rPr>
            </w:pPr>
          </w:p>
        </w:tc>
      </w:tr>
      <w:tr>
        <w:trPr>
          <w:trHeight w:val="208"/>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(39,845)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(39,845)</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26,531</w:t>
            </w:r>
          </w:p>
        </w:tc>
        <w:tc>
          <w:tcPr>
            <w:tcW w:w="1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686,611</w:t>
            </w: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(3,611)</w:t>
            </w: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(534,577)</w:t>
            </w:r>
          </w:p>
        </w:tc>
        <w:tc>
          <w:tcPr>
            <w:tcW w:w="10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148,450</w:t>
            </w:r>
          </w:p>
        </w:tc>
        <w:tc>
          <w:tcPr>
            <w:tcW w:w="0" w:type="dxa"/>
            <w:vAlign w:val="bottom"/>
          </w:tcPr>
          <w:p>
            <w:pPr>
              <w:spacing w:after="0"/>
              <w:rPr>
                <w:sz w:val="1"/>
                <w:szCs w:val="1"/>
                <w:color w:val="auto"/>
              </w:rPr>
            </w:pPr>
          </w:p>
        </w:tc>
      </w:tr>
      <w:tr>
        <w:trPr>
          <w:trHeight w:val="120"/>
        </w:trPr>
        <w:tc>
          <w:tcPr>
            <w:tcW w:w="4280" w:type="dxa"/>
            <w:vAlign w:val="bottom"/>
            <w:shd w:val="clear" w:color="auto" w:fill="CFF0FC"/>
          </w:tcPr>
          <w:p>
            <w:pPr>
              <w:ind w:left="100"/>
              <w:spacing w:after="0" w:line="120" w:lineRule="exact"/>
              <w:rPr>
                <w:sz w:val="20"/>
                <w:szCs w:val="20"/>
                <w:color w:val="auto"/>
              </w:rPr>
            </w:pPr>
            <w:r>
              <w:rPr>
                <w:rFonts w:ascii="Times New Roman" w:cs="Times New Roman" w:eastAsia="Times New Roman" w:hAnsi="Times New Roman"/>
                <w:sz w:val="13"/>
                <w:szCs w:val="13"/>
                <w:color w:val="auto"/>
              </w:rPr>
              <w:t>Issuance of common stock from exercises of options and employee stock</w:t>
            </w: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purchase plan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0" w:type="dxa"/>
            <w:vAlign w:val="bottom"/>
          </w:tcPr>
          <w:p>
            <w:pPr>
              <w:spacing w:after="0"/>
              <w:rPr>
                <w:sz w:val="1"/>
                <w:szCs w:val="1"/>
                <w:color w:val="auto"/>
              </w:rPr>
            </w:pPr>
          </w:p>
        </w:tc>
      </w:tr>
      <w:tr>
        <w:trPr>
          <w:trHeight w:val="192"/>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8"/>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Repurchases and retirements of common stock</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92"/>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7,807</w:t>
            </w:r>
          </w:p>
        </w:tc>
        <w:tc>
          <w:tcPr>
            <w:tcW w:w="0" w:type="dxa"/>
            <w:vAlign w:val="bottom"/>
          </w:tcPr>
          <w:p>
            <w:pPr>
              <w:spacing w:after="0"/>
              <w:rPr>
                <w:sz w:val="1"/>
                <w:szCs w:val="1"/>
                <w:color w:val="auto"/>
              </w:rPr>
            </w:pPr>
          </w:p>
        </w:tc>
      </w:tr>
      <w:tr>
        <w:trPr>
          <w:trHeight w:val="208"/>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Comprehensive gain, net</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0" w:type="dxa"/>
            <w:vAlign w:val="bottom"/>
          </w:tcPr>
          <w:p>
            <w:pPr>
              <w:spacing w:after="0"/>
              <w:rPr>
                <w:sz w:val="1"/>
                <w:szCs w:val="1"/>
                <w:color w:val="auto"/>
              </w:rPr>
            </w:pPr>
          </w:p>
        </w:tc>
      </w:tr>
      <w:tr>
        <w:trPr>
          <w:trHeight w:val="193"/>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(37,308)</w:t>
            </w:r>
          </w:p>
        </w:tc>
        <w:tc>
          <w:tcPr>
            <w:tcW w:w="0" w:type="dxa"/>
            <w:vAlign w:val="bottom"/>
          </w:tcPr>
          <w:p>
            <w:pPr>
              <w:spacing w:after="0"/>
              <w:rPr>
                <w:sz w:val="1"/>
                <w:szCs w:val="1"/>
                <w:color w:val="auto"/>
              </w:rPr>
            </w:pPr>
          </w:p>
        </w:tc>
      </w:tr>
      <w:tr>
        <w:trPr>
          <w:trHeight w:val="198"/>
        </w:trPr>
        <w:tc>
          <w:tcPr>
            <w:tcW w:w="42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26,575</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694,591</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(2,350)</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(571,885)</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120,383</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0"/>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1"/>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(123,447)</w:t>
            </w:r>
          </w:p>
        </w:tc>
        <w:tc>
          <w:tcPr>
            <w:tcW w:w="12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(121,408)</w:t>
            </w:r>
          </w:p>
        </w:tc>
      </w:tr>
      <w:tr>
        <w:trPr>
          <w:trHeight w:val="22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11"/>
        </w:trPr>
        <w:tc>
          <w:tcPr>
            <w:tcW w:w="7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16"/>
        </w:trPr>
        <w:tc>
          <w:tcPr>
            <w:tcW w:w="7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25,864</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25,094</w:t>
            </w:r>
          </w:p>
        </w:tc>
      </w:tr>
      <w:tr>
        <w:trPr>
          <w:trHeight w:val="211"/>
        </w:trPr>
        <w:tc>
          <w:tcPr>
            <w:tcW w:w="7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Accretion/amortization of investments, net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(7,367)</w:t>
            </w:r>
          </w:p>
        </w:tc>
      </w:tr>
      <w:tr>
        <w:trPr>
          <w:trHeight w:val="216"/>
        </w:trPr>
        <w:tc>
          <w:tcPr>
            <w:tcW w:w="7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of right-of-use assets – operating</w:t>
            </w: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1,285</w:t>
            </w:r>
          </w:p>
        </w:tc>
      </w:tr>
      <w:tr>
        <w:trPr>
          <w:trHeight w:val="211"/>
        </w:trPr>
        <w:tc>
          <w:tcPr>
            <w:tcW w:w="7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13,125</w:t>
            </w:r>
          </w:p>
        </w:tc>
      </w:tr>
      <w:tr>
        <w:trPr>
          <w:trHeight w:val="216"/>
        </w:trPr>
        <w:tc>
          <w:tcPr>
            <w:tcW w:w="7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1"/>
        </w:trPr>
        <w:tc>
          <w:tcPr>
            <w:tcW w:w="7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Receivables from collaborative partners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r>
      <w:tr>
        <w:trPr>
          <w:trHeight w:val="216"/>
        </w:trPr>
        <w:tc>
          <w:tcPr>
            <w:tcW w:w="7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(7,037)</w:t>
            </w:r>
          </w:p>
        </w:tc>
      </w:tr>
      <w:tr>
        <w:trPr>
          <w:trHeight w:val="211"/>
        </w:trPr>
        <w:tc>
          <w:tcPr>
            <w:tcW w:w="7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12,436</w:t>
            </w:r>
          </w:p>
        </w:tc>
      </w:tr>
      <w:tr>
        <w:trPr>
          <w:trHeight w:val="216"/>
        </w:trPr>
        <w:tc>
          <w:tcPr>
            <w:tcW w:w="7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(1,216)</w:t>
            </w:r>
          </w:p>
        </w:tc>
      </w:tr>
      <w:tr>
        <w:trPr>
          <w:trHeight w:val="204"/>
        </w:trPr>
        <w:tc>
          <w:tcPr>
            <w:tcW w:w="780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(68,665)</w:t>
            </w:r>
          </w:p>
        </w:tc>
        <w:tc>
          <w:tcPr>
            <w:tcW w:w="12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(86,451)</w:t>
            </w:r>
          </w:p>
        </w:tc>
      </w:tr>
      <w:tr>
        <w:trPr>
          <w:trHeight w:val="19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1"/>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(259,494)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(237,612)</w:t>
            </w:r>
          </w:p>
        </w:tc>
      </w:tr>
      <w:tr>
        <w:trPr>
          <w:trHeight w:val="21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 and maturities of investments</w:t>
            </w: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384,383</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333,715</w:t>
            </w:r>
          </w:p>
        </w:tc>
      </w:tr>
      <w:tr>
        <w:trPr>
          <w:trHeight w:val="211"/>
        </w:trPr>
        <w:tc>
          <w:tcPr>
            <w:tcW w:w="78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09"/>
        </w:trPr>
        <w:tc>
          <w:tcPr>
            <w:tcW w:w="7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124,794</w:t>
            </w: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95,576</w:t>
            </w:r>
          </w:p>
        </w:tc>
      </w:tr>
      <w:tr>
        <w:trPr>
          <w:trHeight w:val="192"/>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5"/>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public offerings, net of underwriters’ fees</w:t>
            </w: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94,369</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r>
      <w:tr>
        <w:trPr>
          <w:trHeight w:val="21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and retirements of common stock</w:t>
            </w:r>
          </w:p>
        </w:tc>
        <w:tc>
          <w:tcPr>
            <w:tcW w:w="10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1"/>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sale of future royalties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 for net share settlement of equity awards</w:t>
            </w: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(7,504)</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liability for sale of future royalties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w:t>
            </w:r>
          </w:p>
        </w:tc>
      </w:tr>
      <w:tr>
        <w:trPr>
          <w:trHeight w:val="21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for offering costs</w:t>
            </w: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8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9"/>
        </w:trPr>
        <w:tc>
          <w:tcPr>
            <w:tcW w:w="7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99,487</w:t>
            </w: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(54,138)</w:t>
            </w:r>
          </w:p>
        </w:tc>
      </w:tr>
      <w:tr>
        <w:trPr>
          <w:trHeight w:val="204"/>
        </w:trPr>
        <w:tc>
          <w:tcPr>
            <w:tcW w:w="78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0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155,616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(45,013)</w:t>
            </w:r>
          </w:p>
        </w:tc>
      </w:tr>
      <w:tr>
        <w:trPr>
          <w:trHeight w:val="21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35,965</w:t>
            </w: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71,308</w:t>
            </w:r>
          </w:p>
        </w:tc>
      </w:tr>
      <w:tr>
        <w:trPr>
          <w:trHeight w:val="204"/>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191,581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26,295</w:t>
            </w:r>
          </w:p>
        </w:tc>
      </w:tr>
      <w:tr>
        <w:trPr>
          <w:trHeight w:val="20"/>
        </w:trPr>
        <w:tc>
          <w:tcPr>
            <w:tcW w:w="780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1"/>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Amounts accrued for property and equipment</w:t>
            </w:r>
          </w:p>
        </w:tc>
        <w:tc>
          <w:tcPr>
            <w:tcW w:w="100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1"/>
        </w:trPr>
        <w:tc>
          <w:tcPr>
            <w:tcW w:w="7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Amounts accrued for repurchases of common stock</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216"/>
        </w:trPr>
        <w:tc>
          <w:tcPr>
            <w:tcW w:w="7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Receivable related to issuance of common stock, upon exercise of stock options</w:t>
            </w:r>
          </w:p>
        </w:tc>
        <w:tc>
          <w:tcPr>
            <w:tcW w:w="100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9"/>
        </w:trPr>
        <w:tc>
          <w:tcPr>
            <w:tcW w:w="7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Amounts accrued for offering costs</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 w:name="page9"/>
    <w:bookmarkEnd w:id="8"/>
    <w:p>
      <w:pPr>
        <w:spacing w:after="0" w:line="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AnaptysBio, Inc. (“we,” “us,” “our,” or the “company”) was incorporated in the state of Delaware in November 2005. We are a clinical-stage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biotechnology company focused on delivering innovative immunology therapeutics for autoimmune and inflammatory diseases. Our pipeline includes two</w:t>
      </w:r>
    </w:p>
    <w:p>
      <w:pPr>
        <w:spacing w:after="0" w:line="232" w:lineRule="auto"/>
        <w:rPr>
          <w:sz w:val="20"/>
          <w:szCs w:val="20"/>
          <w:color w:val="auto"/>
        </w:rPr>
      </w:pPr>
      <w:r>
        <w:rPr>
          <w:rFonts w:ascii="Times New Roman" w:cs="Times New Roman" w:eastAsia="Times New Roman" w:hAnsi="Times New Roman"/>
          <w:sz w:val="18"/>
          <w:szCs w:val="18"/>
          <w:color w:val="auto"/>
        </w:rPr>
        <w:t>programs targeting co-inhibitory receptors: rosnilimab, our PD-1 agonist in a Phase 2b trial for the treatment of moderate-to-severe rheumatoid arthritis</w:t>
      </w:r>
    </w:p>
    <w:p>
      <w:pPr>
        <w:spacing w:after="0" w:line="232" w:lineRule="auto"/>
        <w:rPr>
          <w:sz w:val="20"/>
          <w:szCs w:val="20"/>
          <w:color w:val="auto"/>
        </w:rPr>
      </w:pPr>
      <w:r>
        <w:rPr>
          <w:rFonts w:ascii="Times New Roman" w:cs="Times New Roman" w:eastAsia="Times New Roman" w:hAnsi="Times New Roman"/>
          <w:sz w:val="18"/>
          <w:szCs w:val="18"/>
          <w:color w:val="auto"/>
        </w:rPr>
        <w:t>(“RA”) and a Phase 2 trial for the treatment of moderate-to-severe ulcerative colitis (“UC”); and ANB032, our BTLA agonist, in a Phase 2b trial for the</w:t>
      </w:r>
    </w:p>
    <w:p>
      <w:pPr>
        <w:spacing w:after="0"/>
        <w:rPr>
          <w:sz w:val="20"/>
          <w:szCs w:val="20"/>
          <w:color w:val="auto"/>
        </w:rPr>
      </w:pPr>
      <w:r>
        <w:rPr>
          <w:rFonts w:ascii="Times New Roman" w:cs="Times New Roman" w:eastAsia="Times New Roman" w:hAnsi="Times New Roman"/>
          <w:sz w:val="17"/>
          <w:szCs w:val="17"/>
          <w:color w:val="auto"/>
        </w:rPr>
        <w:t>treatment of moderate-to-severe atopic dermatitis (“AD”). We also have other antibodies in our portfolio, including ANB033, an anti-CD122 antagonist in a</w:t>
      </w:r>
    </w:p>
    <w:p>
      <w:pPr>
        <w:spacing w:after="0" w:line="237" w:lineRule="auto"/>
        <w:rPr>
          <w:sz w:val="20"/>
          <w:szCs w:val="20"/>
          <w:color w:val="auto"/>
        </w:rPr>
      </w:pPr>
      <w:r>
        <w:rPr>
          <w:rFonts w:ascii="Times New Roman" w:cs="Times New Roman" w:eastAsia="Times New Roman" w:hAnsi="Times New Roman"/>
          <w:sz w:val="18"/>
          <w:szCs w:val="18"/>
          <w:color w:val="auto"/>
        </w:rPr>
        <w:t>Phase 1 trial and ANB101, a BDCA2 modulator, soon to enter clinical development. In addition, we have developed two cytokine antagonists that are</w:t>
      </w:r>
    </w:p>
    <w:p>
      <w:pPr>
        <w:spacing w:after="0" w:line="217" w:lineRule="auto"/>
        <w:rPr>
          <w:sz w:val="20"/>
          <w:szCs w:val="20"/>
          <w:color w:val="auto"/>
        </w:rPr>
      </w:pPr>
      <w:r>
        <w:rPr>
          <w:rFonts w:ascii="Times New Roman" w:cs="Times New Roman" w:eastAsia="Times New Roman" w:hAnsi="Times New Roman"/>
          <w:sz w:val="18"/>
          <w:szCs w:val="18"/>
          <w:color w:val="auto"/>
        </w:rPr>
        <w:t>available for out-licensing: imsidolimab, our anti-IL-36R antagonist, that has completed Phase 3 trials for the treatment of generalized pustular psoriasis</w:t>
      </w:r>
    </w:p>
    <w:p>
      <w:pPr>
        <w:spacing w:after="0" w:line="232" w:lineRule="auto"/>
        <w:rPr>
          <w:sz w:val="20"/>
          <w:szCs w:val="20"/>
          <w:color w:val="auto"/>
        </w:rPr>
      </w:pPr>
      <w:r>
        <w:rPr>
          <w:rFonts w:ascii="Times New Roman" w:cs="Times New Roman" w:eastAsia="Times New Roman" w:hAnsi="Times New Roman"/>
          <w:sz w:val="18"/>
          <w:szCs w:val="18"/>
          <w:color w:val="auto"/>
        </w:rPr>
        <w:t>(“GPP”), and etokimab, our anti-IL-33 antagonist that is Phase 2/3 ready. We have also discovered multiple therapeutic antibodies licensed to</w:t>
      </w:r>
    </w:p>
    <w:p>
      <w:pPr>
        <w:spacing w:after="0" w:line="232" w:lineRule="auto"/>
        <w:rPr>
          <w:sz w:val="20"/>
          <w:szCs w:val="20"/>
          <w:color w:val="auto"/>
        </w:rPr>
      </w:pPr>
      <w:r>
        <w:rPr>
          <w:rFonts w:ascii="Times New Roman" w:cs="Times New Roman" w:eastAsia="Times New Roman" w:hAnsi="Times New Roman"/>
          <w:sz w:val="18"/>
          <w:szCs w:val="18"/>
          <w:color w:val="auto"/>
        </w:rPr>
        <w:t>GlaxoSmithKline, Inc. (“GSK”) in a financial collaboration for immuno-oncology, including an anti-PD-1 antagonist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(dostarlimab-gxly) or</w:t>
      </w:r>
    </w:p>
    <w:p>
      <w:pPr>
        <w:spacing w:after="0" w:line="23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and an anti-TIM-3 antagonist (cobolimab, GSK4069889). We currently recognize revenue from milestones and royalties achieved under our</w:t>
      </w:r>
    </w:p>
    <w:p>
      <w:pPr>
        <w:spacing w:after="0"/>
        <w:rPr>
          <w:sz w:val="20"/>
          <w:szCs w:val="20"/>
          <w:color w:val="auto"/>
        </w:rPr>
      </w:pPr>
      <w:r>
        <w:rPr>
          <w:rFonts w:ascii="Times New Roman" w:cs="Times New Roman" w:eastAsia="Times New Roman" w:hAnsi="Times New Roman"/>
          <w:sz w:val="18"/>
          <w:szCs w:val="18"/>
          <w:color w:val="auto"/>
        </w:rPr>
        <w:t>immuno-oncology collaboration with GSK.</w:t>
      </w:r>
    </w:p>
    <w:p>
      <w:pPr>
        <w:spacing w:after="0" w:line="93" w:lineRule="exact"/>
        <w:rPr>
          <w:sz w:val="20"/>
          <w:szCs w:val="20"/>
          <w:color w:val="auto"/>
        </w:rPr>
      </w:pPr>
    </w:p>
    <w:p>
      <w:pPr>
        <w:ind w:right="60" w:firstLine="560"/>
        <w:spacing w:after="0" w:line="251" w:lineRule="auto"/>
        <w:rPr>
          <w:sz w:val="20"/>
          <w:szCs w:val="20"/>
          <w:color w:val="auto"/>
        </w:rPr>
      </w:pPr>
      <w:r>
        <w:rPr>
          <w:rFonts w:ascii="Times New Roman" w:cs="Times New Roman" w:eastAsia="Times New Roman" w:hAnsi="Times New Roman"/>
          <w:sz w:val="18"/>
          <w:szCs w:val="18"/>
          <w:color w:val="auto"/>
        </w:rPr>
        <w:t>Since our inception, we have devoted our primary effort to research and development activities. Our financial support has been provided primarily from the sale of our common stock,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12 months from the issuance of our consolidated financial statements. The accompanying consolidated financial statements do not include any adjustments that might be necessary if we are unable to continue as a going concern.</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w:t>
      </w:r>
    </w:p>
    <w:p>
      <w:pPr>
        <w:spacing w:after="0" w:line="117" w:lineRule="exact"/>
        <w:rPr>
          <w:sz w:val="20"/>
          <w:szCs w:val="20"/>
          <w:color w:val="auto"/>
        </w:rPr>
      </w:pPr>
    </w:p>
    <w:p>
      <w:pPr>
        <w:ind w:firstLine="560"/>
        <w:spacing w:after="0" w:line="262" w:lineRule="auto"/>
        <w:rPr>
          <w:sz w:val="20"/>
          <w:szCs w:val="20"/>
          <w:color w:val="auto"/>
        </w:rPr>
      </w:pPr>
      <w:r>
        <w:rPr>
          <w:rFonts w:ascii="Times New Roman" w:cs="Times New Roman" w:eastAsia="Times New Roman" w:hAnsi="Times New Roman"/>
          <w:sz w:val="18"/>
          <w:szCs w:val="18"/>
          <w:color w:val="auto"/>
        </w:rPr>
        <w:t>On August 15, 2024, we completed an underwritten public offering selling 2,750,498 shares of common stock, at an offering price of $36.50 per share. The aggregate net proceeds received by us from the offering were $93.9 million, net of underwriting discounts and commissions and offering expenses of $6.5 million, in the aggregate.</w:t>
      </w:r>
    </w:p>
    <w:p>
      <w:pPr>
        <w:spacing w:after="0" w:line="279" w:lineRule="exact"/>
        <w:rPr>
          <w:sz w:val="20"/>
          <w:szCs w:val="20"/>
          <w:color w:val="auto"/>
        </w:rPr>
      </w:pPr>
    </w:p>
    <w:p>
      <w:pPr>
        <w:ind w:left="240" w:right="7680" w:hanging="233"/>
        <w:spacing w:after="0" w:line="373" w:lineRule="auto"/>
        <w:tabs>
          <w:tab w:leader="none" w:pos="17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nine months ended September 30, 2024 are not necessarily indicative of the results that may be expected for the year ending December 31, 2024. The financial statements should be read in conjunction with our audited financial statements for the year ended December 31, 2023 included in our Annual Report on Form 10-K.</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17" w:lineRule="exact"/>
        <w:rPr>
          <w:sz w:val="20"/>
          <w:szCs w:val="20"/>
          <w:color w:val="auto"/>
        </w:rPr>
      </w:pPr>
    </w:p>
    <w:p>
      <w:pPr>
        <w:ind w:right="500" w:firstLine="480"/>
        <w:spacing w:after="0" w:line="307"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us and our wholly owned Australian subsidiary. All intercompany accounts and transactions have been eliminated in consolidation. We operate in one reportable segment, and our functional and reporting currency is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 w:name="page10"/>
    <w:bookmarkEnd w:id="9"/>
    <w:p>
      <w:pPr>
        <w:spacing w:after="0" w:line="2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7"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revenue recognition, accrued research and development expenses, stock-based compensation, and the liability related to the sale of future royalties. We evaluate our estimates and assumptions on an ongoing basis. Our actual results could differ from these estimates under different assumptions or conditions.</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17"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74" w:lineRule="exact"/>
        <w:rPr>
          <w:sz w:val="20"/>
          <w:szCs w:val="20"/>
          <w:color w:val="auto"/>
        </w:rPr>
      </w:pPr>
    </w:p>
    <w:p>
      <w:pPr>
        <w:ind w:right="80" w:firstLine="480"/>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218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60" w:type="dxa"/>
            <w:vAlign w:val="bottom"/>
            <w:gridSpan w:val="3"/>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3"/>
        </w:trPr>
        <w:tc>
          <w:tcPr>
            <w:tcW w:w="6500" w:type="dxa"/>
            <w:vAlign w:val="bottom"/>
          </w:tcPr>
          <w:p>
            <w:pPr>
              <w:spacing w:after="0"/>
              <w:rPr>
                <w:sz w:val="16"/>
                <w:szCs w:val="16"/>
                <w:color w:val="auto"/>
              </w:rPr>
            </w:pPr>
          </w:p>
        </w:tc>
        <w:tc>
          <w:tcPr>
            <w:tcW w:w="218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3"/>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gridSpan w:val="2"/>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r>
      <w:tr>
        <w:trPr>
          <w:trHeight w:val="22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45"/>
        </w:trPr>
        <w:tc>
          <w:tcPr>
            <w:tcW w:w="65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w:t>
      </w:r>
    </w:p>
    <w:p>
      <w:pPr>
        <w:spacing w:after="0" w:line="117" w:lineRule="exact"/>
        <w:rPr>
          <w:sz w:val="20"/>
          <w:szCs w:val="20"/>
          <w:color w:val="auto"/>
        </w:rPr>
      </w:pPr>
    </w:p>
    <w:p>
      <w:pPr>
        <w:ind w:right="20" w:firstLine="560"/>
        <w:spacing w:after="0" w:line="262" w:lineRule="auto"/>
        <w:rPr>
          <w:sz w:val="20"/>
          <w:szCs w:val="20"/>
          <w:color w:val="auto"/>
        </w:rPr>
      </w:pPr>
      <w:r>
        <w:rPr>
          <w:rFonts w:ascii="Times New Roman" w:cs="Times New Roman" w:eastAsia="Times New Roman" w:hAnsi="Times New Roman"/>
          <w:sz w:val="18"/>
          <w:szCs w:val="18"/>
          <w:color w:val="auto"/>
        </w:rPr>
        <w:t>We have implemented all new accounting pronouncements that are in effect and may have an impact on our consolidated financial statements. Unless otherwise discussed, we believe the impact of any recently issued and not yet effective pronouncements will not have a material impact on our consolidated financial statements.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5" w:lineRule="exact"/>
        <w:rPr>
          <w:sz w:val="20"/>
          <w:szCs w:val="20"/>
          <w:color w:val="auto"/>
        </w:rPr>
      </w:pPr>
    </w:p>
    <w:p>
      <w:pPr>
        <w:ind w:right="20" w:firstLine="56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which requires enhanced disclosure of significant segment expenses on an annual and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The guidance will be effective for fiscal years beginning after December 15, 2023, and interim periods within fiscal years beginning December 15, 2024, with early adoption permitted. Upon adoption, the guidance should be applied retrospectively to all prior periods presented in the financial statements. We are currently assessing the impact that this standard will have on our consolidated financial statements.</w:t>
      </w:r>
    </w:p>
    <w:p>
      <w:pPr>
        <w:spacing w:after="0" w:line="75" w:lineRule="exact"/>
        <w:rPr>
          <w:sz w:val="20"/>
          <w:szCs w:val="20"/>
          <w:color w:val="auto"/>
        </w:rPr>
      </w:pPr>
    </w:p>
    <w:p>
      <w:pPr>
        <w:ind w:right="260" w:firstLine="560"/>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 Income Taxes</w:t>
      </w:r>
      <w:r>
        <w:rPr>
          <w:rFonts w:ascii="Times New Roman" w:cs="Times New Roman" w:eastAsia="Times New Roman" w:hAnsi="Times New Roman"/>
          <w:sz w:val="18"/>
          <w:szCs w:val="18"/>
          <w:color w:val="auto"/>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15, 2024. Early adoption is permitted. Upon adoption, the guidance can be applied prospectively or retrospectively. We are currently assessing the impact that this standard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Accounts and Supplemental Disclosures</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9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0" w:type="dxa"/>
            <w:vAlign w:val="bottom"/>
          </w:tcPr>
          <w:p>
            <w:pPr>
              <w:spacing w:after="0"/>
              <w:rPr>
                <w:sz w:val="1"/>
                <w:szCs w:val="1"/>
                <w:color w:val="auto"/>
              </w:rPr>
            </w:pP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2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0"/>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0" w:type="dxa"/>
            <w:vAlign w:val="bottom"/>
          </w:tcPr>
          <w:p>
            <w:pPr>
              <w:spacing w:after="0"/>
              <w:rPr>
                <w:sz w:val="1"/>
                <w:szCs w:val="1"/>
                <w:color w:val="auto"/>
              </w:rPr>
            </w:pPr>
          </w:p>
        </w:tc>
      </w:tr>
      <w:tr>
        <w:trPr>
          <w:trHeight w:val="22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0" w:type="dxa"/>
            <w:vAlign w:val="bottom"/>
          </w:tcPr>
          <w:p>
            <w:pPr>
              <w:spacing w:after="0"/>
              <w:rPr>
                <w:sz w:val="1"/>
                <w:szCs w:val="1"/>
                <w:color w:val="auto"/>
              </w:rPr>
            </w:pPr>
          </w:p>
        </w:tc>
      </w:tr>
      <w:tr>
        <w:trPr>
          <w:trHeight w:val="220"/>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8"/>
        </w:trPr>
        <w:tc>
          <w:tcPr>
            <w:tcW w:w="7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24"/>
                <w:szCs w:val="24"/>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9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0" w:type="dxa"/>
            <w:vAlign w:val="bottom"/>
          </w:tcPr>
          <w:p>
            <w:pPr>
              <w:spacing w:after="0"/>
              <w:rPr>
                <w:sz w:val="1"/>
                <w:szCs w:val="1"/>
                <w:color w:val="auto"/>
              </w:rPr>
            </w:pP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2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development and manufacturing expenses</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21,898</w:t>
            </w:r>
          </w:p>
        </w:tc>
        <w:tc>
          <w:tcPr>
            <w:tcW w:w="0" w:type="dxa"/>
            <w:vAlign w:val="bottom"/>
          </w:tcPr>
          <w:p>
            <w:pPr>
              <w:spacing w:after="0"/>
              <w:rPr>
                <w:sz w:val="1"/>
                <w:szCs w:val="1"/>
                <w:color w:val="auto"/>
              </w:rPr>
            </w:pPr>
          </w:p>
        </w:tc>
      </w:tr>
      <w:tr>
        <w:trPr>
          <w:trHeight w:val="227"/>
        </w:trPr>
        <w:tc>
          <w:tcPr>
            <w:tcW w:w="79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for repurchases of common stock</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45"/>
        </w:trPr>
        <w:tc>
          <w:tcPr>
            <w:tcW w:w="79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30,967</w:t>
            </w:r>
          </w:p>
        </w:tc>
        <w:tc>
          <w:tcPr>
            <w:tcW w:w="0" w:type="dxa"/>
            <w:vAlign w:val="bottom"/>
          </w:tcPr>
          <w:p>
            <w:pPr>
              <w:spacing w:after="0"/>
              <w:rPr>
                <w:sz w:val="1"/>
                <w:szCs w:val="1"/>
                <w:color w:val="auto"/>
              </w:rPr>
            </w:pPr>
          </w:p>
        </w:tc>
      </w:tr>
      <w:tr>
        <w:trPr>
          <w:trHeight w:val="20"/>
        </w:trPr>
        <w:tc>
          <w:tcPr>
            <w:tcW w:w="79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Collaborative Research and Development Agreements</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GSK Collaboration</w:t>
      </w:r>
    </w:p>
    <w:p>
      <w:pPr>
        <w:spacing w:after="0" w:line="104" w:lineRule="exact"/>
        <w:rPr>
          <w:sz w:val="20"/>
          <w:szCs w:val="20"/>
          <w:color w:val="auto"/>
        </w:rPr>
      </w:pPr>
    </w:p>
    <w:p>
      <w:pPr>
        <w:ind w:right="100" w:firstLine="480"/>
        <w:spacing w:after="0" w:line="235" w:lineRule="auto"/>
        <w:rPr>
          <w:sz w:val="20"/>
          <w:szCs w:val="20"/>
          <w:color w:val="auto"/>
        </w:rPr>
      </w:pPr>
      <w:r>
        <w:rPr>
          <w:rFonts w:ascii="Times New Roman" w:cs="Times New Roman" w:eastAsia="Times New Roman" w:hAnsi="Times New Roman"/>
          <w:sz w:val="18"/>
          <w:szCs w:val="18"/>
          <w:color w:val="auto"/>
        </w:rPr>
        <w:t xml:space="preserve">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as a monotherapy for various solid tumor indications. In addition, GSK is developing dostarlimab in combination with additional therapies under the collaboration, including with another development program from the GSK Agreement: cobolimab, an anti-TIM-3 antibody, in 2L NSCLC. In October 2023, Amendment No. 5 to the GSK Agreement (the “GSK Amendment No. 5”) was agreed by both parties to terminate the anti-LAG-3 antagonist antibody development program under the GSK Agreement. In accordance with the GSK Agreement and the GSK Amendment No. 5, we have regained full global rights to the anti-LAG-3 antagonist antibody development program.</w:t>
      </w:r>
    </w:p>
    <w:p>
      <w:pPr>
        <w:spacing w:after="0" w:line="89" w:lineRule="exact"/>
        <w:rPr>
          <w:sz w:val="20"/>
          <w:szCs w:val="20"/>
          <w:color w:val="auto"/>
        </w:rPr>
      </w:pPr>
    </w:p>
    <w:p>
      <w:pPr>
        <w:ind w:right="140" w:firstLine="480"/>
        <w:spacing w:after="0" w:line="251" w:lineRule="auto"/>
        <w:rPr>
          <w:sz w:val="20"/>
          <w:szCs w:val="20"/>
          <w:color w:val="auto"/>
        </w:rPr>
      </w:pPr>
      <w:r>
        <w:rPr>
          <w:rFonts w:ascii="Times New Roman" w:cs="Times New Roman" w:eastAsia="Times New Roman" w:hAnsi="Times New Roman"/>
          <w:sz w:val="18"/>
          <w:szCs w:val="18"/>
          <w:color w:val="auto"/>
        </w:rPr>
        <w:t xml:space="preserve">For each remaining development program under the GSK Agreement, we are eligible to receive milestone payments if certain preclinical and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“GSK Amendment No. 3”) was agreed to by both parties to permit GSK to conduct development and commercialization in combination with any third-party molecules of Zejula, an oral, once-daily poly (ADP-ribose) polymerase (PARP) inhibitor (“Zejula”). Under GSK Amendment No. 3, we were granted increased royalties upon sales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equal to 8% of Net Sales (as defined in the GSK Agreement) below $1.0 billion and from 12% up to 25% of Net Sales above $1.0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spacing w:after="0" w:line="80" w:lineRule="exact"/>
        <w:rPr>
          <w:sz w:val="20"/>
          <w:szCs w:val="20"/>
          <w:color w:val="auto"/>
        </w:rPr>
      </w:pPr>
    </w:p>
    <w:p>
      <w:pPr>
        <w:ind w:right="240" w:firstLine="480"/>
        <w:spacing w:after="0" w:line="262" w:lineRule="auto"/>
        <w:rPr>
          <w:sz w:val="20"/>
          <w:szCs w:val="20"/>
          <w:color w:val="auto"/>
        </w:rPr>
      </w:pPr>
      <w:r>
        <w:rPr>
          <w:rFonts w:ascii="Times New Roman" w:cs="Times New Roman" w:eastAsia="Times New Roman" w:hAnsi="Times New Roman"/>
          <w:sz w:val="18"/>
          <w:szCs w:val="18"/>
          <w:color w:val="auto"/>
        </w:rPr>
        <w:t>We assessed these arrangements in accordance with Accounting Standards Codification 606 and concluded that the contract counterparty, GSK, is a customer. We identified the following material promises under the GSK Agreement: (1) the licenses under certain patent rights and transfer of certain development and regulatory information, (2) research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7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spacing w:after="0" w:line="78" w:lineRule="exact"/>
        <w:rPr>
          <w:sz w:val="20"/>
          <w:szCs w:val="20"/>
          <w:color w:val="auto"/>
        </w:rPr>
      </w:pPr>
    </w:p>
    <w:p>
      <w:pPr>
        <w:ind w:right="560" w:firstLine="480"/>
        <w:spacing w:after="0" w:line="307" w:lineRule="auto"/>
        <w:rPr>
          <w:sz w:val="20"/>
          <w:szCs w:val="20"/>
          <w:color w:val="auto"/>
        </w:rPr>
      </w:pPr>
      <w:r>
        <w:rPr>
          <w:rFonts w:ascii="Times New Roman" w:cs="Times New Roman" w:eastAsia="Times New Roman" w:hAnsi="Times New Roman"/>
          <w:sz w:val="17"/>
          <w:szCs w:val="17"/>
          <w:color w:val="auto"/>
        </w:rPr>
        <w:t>As of September 30, 2024, the transaction price for the GSK Agreement and its associated amendments includes the upfront payment, research reimbursement revenue and milestones and royalties earned to date, which are allocated in their entirety to the single performance obligation.</w:t>
      </w:r>
    </w:p>
    <w:p>
      <w:pPr>
        <w:spacing w:after="0" w:line="34"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 xml:space="preserve">We recognized $15.0 million and $33.2 million in royalty revenue during the three and nine months ended September 30, 2024, respectively, related to GSK’s net sales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Zejula during the period, which we estimate based on either GSK’s prior sales experience or actuals. Of the royalty revenue recognized during the three and nine months ended September 30, 2024, $13.8 million and $30.1 million, respectively, is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non-cash revenue related to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and $1.2 million and $3.1 million, respectively, is Zejula non-cash revenue related to the Zejula Royalty Monetization Agreement, each of such agreements as described in Note 5. We recognized $3.3 million and $8.2 million in royalty revenue during the three and nine months ended September 30, 2023, respectively, related to GSK’s net sales of Zejula and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during the period based on GSK’s prior sales experience or actuals. Of the royalty revenue recognized during the three and nine months ended September 30, 2023, $2.5 million and $5.8 million is </w:t>
      </w:r>
      <w:r>
        <w:rPr>
          <w:rFonts w:ascii="Times New Roman" w:cs="Times New Roman" w:eastAsia="Times New Roman" w:hAnsi="Times New Roman"/>
          <w:sz w:val="18"/>
          <w:szCs w:val="18"/>
          <w:i w:val="1"/>
          <w:iCs w:val="1"/>
          <w:color w:val="auto"/>
        </w:rPr>
        <w:t xml:space="preserve">Jemperli </w:t>
      </w:r>
      <w:r>
        <w:rPr>
          <w:rFonts w:ascii="Times New Roman" w:cs="Times New Roman" w:eastAsia="Times New Roman" w:hAnsi="Times New Roman"/>
          <w:sz w:val="18"/>
          <w:szCs w:val="18"/>
          <w:color w:val="auto"/>
        </w:rPr>
        <w:t>non-cash revenue related to the</w:t>
      </w:r>
      <w:r>
        <w:rPr>
          <w:rFonts w:ascii="Times New Roman" w:cs="Times New Roman" w:eastAsia="Times New Roman" w:hAnsi="Times New Roman"/>
          <w:sz w:val="18"/>
          <w:szCs w:val="18"/>
          <w:i w:val="1"/>
          <w:iCs w:val="1"/>
          <w:color w:val="auto"/>
        </w:rPr>
        <w:t xml:space="preserve"> Jemperli </w:t>
      </w:r>
      <w:r>
        <w:rPr>
          <w:rFonts w:ascii="Times New Roman" w:cs="Times New Roman" w:eastAsia="Times New Roman" w:hAnsi="Times New Roman"/>
          <w:sz w:val="18"/>
          <w:szCs w:val="18"/>
          <w:color w:val="auto"/>
        </w:rPr>
        <w:t>Royalty Monetization Agreement and $0.8 million and $2.4 million is Zejula non-cash revenue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Zejula Royalty Monetization Agreement. GSK reports sales information to us on a one quarter lag and differences between actual and estimated royalty revenues will be adjusted in the following quarter.</w:t>
      </w:r>
    </w:p>
    <w:p>
      <w:pPr>
        <w:spacing w:after="0" w:line="83" w:lineRule="exact"/>
        <w:rPr>
          <w:sz w:val="20"/>
          <w:szCs w:val="20"/>
          <w:color w:val="auto"/>
        </w:rPr>
      </w:pPr>
    </w:p>
    <w:p>
      <w:pPr>
        <w:ind w:right="100" w:firstLine="480"/>
        <w:spacing w:after="0" w:line="251" w:lineRule="auto"/>
        <w:rPr>
          <w:sz w:val="20"/>
          <w:szCs w:val="20"/>
          <w:color w:val="auto"/>
        </w:rPr>
      </w:pPr>
      <w:r>
        <w:rPr>
          <w:rFonts w:ascii="Times New Roman" w:cs="Times New Roman" w:eastAsia="Times New Roman" w:hAnsi="Times New Roman"/>
          <w:sz w:val="18"/>
          <w:szCs w:val="18"/>
          <w:color w:val="auto"/>
        </w:rPr>
        <w:t xml:space="preserve">Our first sales milestone for $15.0 million was recognized during the three and nine months ended September 30, 2024 when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annual sales exceeded $250 million, and is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non-cash revenue related to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No sales milestones were recognized during the three and nine months ended September 30, 2023. No clinical milestones were recognized during the three and nine months ended September 30, 2024 and 2023.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Milestones under the GSK Agreement are as follows:</w:t>
      </w:r>
    </w:p>
    <w:p>
      <w:pPr>
        <w:spacing w:after="0" w:line="134"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80" w:type="dxa"/>
            <w:vAlign w:val="bottom"/>
          </w:tcPr>
          <w:p>
            <w:pPr>
              <w:jc w:val="center"/>
              <w:ind w:right="749"/>
              <w:spacing w:after="0"/>
              <w:rPr>
                <w:sz w:val="20"/>
                <w:szCs w:val="20"/>
                <w:color w:val="auto"/>
              </w:rPr>
            </w:pPr>
            <w:r>
              <w:rPr>
                <w:rFonts w:ascii="Times New Roman" w:cs="Times New Roman" w:eastAsia="Times New Roman" w:hAnsi="Times New Roman"/>
                <w:sz w:val="14"/>
                <w:szCs w:val="14"/>
                <w:b w:val="1"/>
                <w:bCs w:val="1"/>
                <w:color w:val="auto"/>
              </w:rPr>
              <w:t>Anti-PD-1</w:t>
            </w:r>
          </w:p>
        </w:tc>
        <w:tc>
          <w:tcPr>
            <w:tcW w:w="120" w:type="dxa"/>
            <w:vAlign w:val="bottom"/>
          </w:tcPr>
          <w:p>
            <w:pPr>
              <w:spacing w:after="0"/>
              <w:rPr>
                <w:sz w:val="14"/>
                <w:szCs w:val="14"/>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Anti-TIM-3</w:t>
            </w:r>
          </w:p>
        </w:tc>
        <w:tc>
          <w:tcPr>
            <w:tcW w:w="0" w:type="dxa"/>
            <w:vAlign w:val="bottom"/>
          </w:tcPr>
          <w:p>
            <w:pPr>
              <w:spacing w:after="0"/>
              <w:rPr>
                <w:sz w:val="1"/>
                <w:szCs w:val="1"/>
                <w:color w:val="auto"/>
              </w:rPr>
            </w:pPr>
          </w:p>
        </w:tc>
      </w:tr>
      <w:tr>
        <w:trPr>
          <w:trHeight w:val="194"/>
        </w:trPr>
        <w:tc>
          <w:tcPr>
            <w:tcW w:w="5860" w:type="dxa"/>
            <w:vAlign w:val="bottom"/>
          </w:tcPr>
          <w:p>
            <w:pPr>
              <w:spacing w:after="0"/>
              <w:rPr>
                <w:sz w:val="16"/>
                <w:szCs w:val="16"/>
                <w:color w:val="auto"/>
              </w:rPr>
            </w:pPr>
          </w:p>
        </w:tc>
        <w:tc>
          <w:tcPr>
            <w:tcW w:w="2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Jemperli</w:t>
            </w:r>
            <w:r>
              <w:rPr>
                <w:rFonts w:ascii="Times New Roman" w:cs="Times New Roman" w:eastAsia="Times New Roman" w:hAnsi="Times New Roman"/>
                <w:sz w:val="14"/>
                <w:szCs w:val="14"/>
                <w:b w:val="1"/>
                <w:bCs w:val="1"/>
                <w:color w:val="auto"/>
              </w:rPr>
              <w:t>/Dostarlimab)</w:t>
            </w:r>
          </w:p>
        </w:tc>
        <w:tc>
          <w:tcPr>
            <w:tcW w:w="120" w:type="dxa"/>
            <w:vAlign w:val="bottom"/>
          </w:tcPr>
          <w:p>
            <w:pPr>
              <w:spacing w:after="0"/>
              <w:rPr>
                <w:sz w:val="16"/>
                <w:szCs w:val="16"/>
                <w:color w:val="auto"/>
              </w:rPr>
            </w:pPr>
          </w:p>
        </w:tc>
        <w:tc>
          <w:tcPr>
            <w:tcW w:w="2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(GSK4069889A/Cobolimab)</w:t>
            </w:r>
          </w:p>
        </w:tc>
        <w:tc>
          <w:tcPr>
            <w:tcW w:w="0" w:type="dxa"/>
            <w:vAlign w:val="bottom"/>
          </w:tcPr>
          <w:p>
            <w:pPr>
              <w:spacing w:after="0"/>
              <w:rPr>
                <w:sz w:val="1"/>
                <w:szCs w:val="1"/>
                <w:color w:val="auto"/>
              </w:rPr>
            </w:pPr>
          </w:p>
        </w:tc>
      </w:tr>
      <w:tr>
        <w:trPr>
          <w:trHeight w:val="132"/>
        </w:trPr>
        <w:tc>
          <w:tcPr>
            <w:tcW w:w="586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80" w:type="dxa"/>
            <w:vAlign w:val="bottom"/>
          </w:tcPr>
          <w:p>
            <w:pPr>
              <w:jc w:val="center"/>
              <w:ind w:left="269"/>
              <w:spacing w:after="0" w:line="133"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1"/>
                <w:szCs w:val="11"/>
                <w:color w:val="auto"/>
              </w:rPr>
            </w:pPr>
          </w:p>
        </w:tc>
        <w:tc>
          <w:tcPr>
            <w:tcW w:w="11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400"/>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Initiated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toxicology studies using good laboratory practices (GLPs)</w:t>
            </w:r>
          </w:p>
        </w:tc>
        <w:tc>
          <w:tcPr>
            <w:tcW w:w="840" w:type="dxa"/>
            <w:vAlign w:val="bottom"/>
            <w:tcBorders>
              <w:bottom w:val="single" w:sz="8" w:color="CFF0FC"/>
            </w:tcBorders>
            <w:shd w:val="clear" w:color="auto" w:fill="CFF0FC"/>
          </w:tcPr>
          <w:p>
            <w:pPr>
              <w:jc w:val="center"/>
              <w:ind w:left="269"/>
              <w:spacing w:after="0"/>
              <w:rPr>
                <w:sz w:val="20"/>
                <w:szCs w:val="20"/>
                <w:color w:val="auto"/>
              </w:rPr>
            </w:pPr>
            <w:r>
              <w:rPr>
                <w:rFonts w:ascii="Times New Roman" w:cs="Times New Roman" w:eastAsia="Times New Roman" w:hAnsi="Times New Roman"/>
                <w:sz w:val="14"/>
                <w:szCs w:val="14"/>
                <w:color w:val="auto"/>
              </w:rPr>
              <w:t>$1.0M</w:t>
            </w:r>
          </w:p>
        </w:tc>
        <w:tc>
          <w:tcPr>
            <w:tcW w:w="1480" w:type="dxa"/>
            <w:vAlign w:val="bottom"/>
            <w:tcBorders>
              <w:bottom w:val="single" w:sz="8" w:color="CFF0FC"/>
            </w:tcBorders>
            <w:shd w:val="clear" w:color="auto" w:fill="CFF0FC"/>
          </w:tcPr>
          <w:p>
            <w:pPr>
              <w:jc w:val="center"/>
              <w:ind w:left="269"/>
              <w:spacing w:after="0"/>
              <w:rPr>
                <w:sz w:val="20"/>
                <w:szCs w:val="20"/>
                <w:color w:val="auto"/>
              </w:rPr>
            </w:pPr>
            <w:r>
              <w:rPr>
                <w:rFonts w:ascii="Times New Roman" w:cs="Times New Roman" w:eastAsia="Times New Roman" w:hAnsi="Times New Roman"/>
                <w:sz w:val="14"/>
                <w:szCs w:val="14"/>
                <w:color w:val="auto"/>
              </w:rPr>
              <w:t>Q2'15</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$1.0M</w:t>
            </w:r>
          </w:p>
        </w:tc>
        <w:tc>
          <w:tcPr>
            <w:tcW w:w="11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Q4'15</w:t>
            </w:r>
          </w:p>
        </w:tc>
        <w:tc>
          <w:tcPr>
            <w:tcW w:w="0" w:type="dxa"/>
            <w:vAlign w:val="bottom"/>
          </w:tcPr>
          <w:p>
            <w:pPr>
              <w:spacing w:after="0"/>
              <w:rPr>
                <w:sz w:val="1"/>
                <w:szCs w:val="1"/>
                <w:color w:val="auto"/>
              </w:rPr>
            </w:pPr>
          </w:p>
        </w:tc>
      </w:tr>
      <w:tr>
        <w:trPr>
          <w:trHeight w:val="192"/>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 clearance from the FDA</w:t>
            </w:r>
          </w:p>
        </w:tc>
        <w:tc>
          <w:tcPr>
            <w:tcW w:w="8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$4.0M</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Q1'16</w:t>
            </w:r>
          </w:p>
        </w:tc>
        <w:tc>
          <w:tcPr>
            <w:tcW w:w="1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Q2'16</w:t>
            </w:r>
          </w:p>
        </w:tc>
        <w:tc>
          <w:tcPr>
            <w:tcW w:w="0" w:type="dxa"/>
            <w:vAlign w:val="bottom"/>
          </w:tcPr>
          <w:p>
            <w:pPr>
              <w:spacing w:after="0"/>
              <w:rPr>
                <w:sz w:val="1"/>
                <w:szCs w:val="1"/>
                <w:color w:val="auto"/>
              </w:rPr>
            </w:pPr>
          </w:p>
        </w:tc>
      </w:tr>
      <w:tr>
        <w:trPr>
          <w:trHeight w:val="20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Phase 2 clinical trial initiation</w:t>
            </w:r>
          </w:p>
        </w:tc>
        <w:tc>
          <w:tcPr>
            <w:tcW w:w="840" w:type="dxa"/>
            <w:vAlign w:val="bottom"/>
            <w:shd w:val="clear" w:color="auto" w:fill="CFF0FC"/>
          </w:tcPr>
          <w:p>
            <w:pPr>
              <w:jc w:val="center"/>
              <w:ind w:left="269"/>
              <w:spacing w:after="0"/>
              <w:rPr>
                <w:sz w:val="20"/>
                <w:szCs w:val="20"/>
                <w:color w:val="auto"/>
              </w:rPr>
            </w:pPr>
            <w:r>
              <w:rPr>
                <w:rFonts w:ascii="Times New Roman" w:cs="Times New Roman" w:eastAsia="Times New Roman" w:hAnsi="Times New Roman"/>
                <w:sz w:val="14"/>
                <w:szCs w:val="14"/>
                <w:color w:val="auto"/>
              </w:rPr>
              <w:t>$3.0M</w:t>
            </w:r>
          </w:p>
        </w:tc>
        <w:tc>
          <w:tcPr>
            <w:tcW w:w="1480" w:type="dxa"/>
            <w:vAlign w:val="bottom"/>
            <w:shd w:val="clear" w:color="auto" w:fill="CFF0FC"/>
          </w:tcPr>
          <w:p>
            <w:pPr>
              <w:jc w:val="center"/>
              <w:ind w:left="269"/>
              <w:spacing w:after="0"/>
              <w:rPr>
                <w:sz w:val="20"/>
                <w:szCs w:val="20"/>
                <w:color w:val="auto"/>
              </w:rPr>
            </w:pPr>
            <w:r>
              <w:rPr>
                <w:rFonts w:ascii="Times New Roman" w:cs="Times New Roman" w:eastAsia="Times New Roman" w:hAnsi="Times New Roman"/>
                <w:sz w:val="14"/>
                <w:szCs w:val="14"/>
                <w:color w:val="auto"/>
              </w:rPr>
              <w:t>Q2'17</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$3.0M</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Q4'17</w:t>
            </w:r>
          </w:p>
        </w:tc>
        <w:tc>
          <w:tcPr>
            <w:tcW w:w="0" w:type="dxa"/>
            <w:vAlign w:val="bottom"/>
          </w:tcPr>
          <w:p>
            <w:pPr>
              <w:spacing w:after="0"/>
              <w:rPr>
                <w:sz w:val="1"/>
                <w:szCs w:val="1"/>
                <w:color w:val="auto"/>
              </w:rPr>
            </w:pPr>
          </w:p>
        </w:tc>
      </w:tr>
      <w:tr>
        <w:trPr>
          <w:trHeight w:val="192"/>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Phase 3 clinical trial initiation - first indication</w:t>
            </w:r>
          </w:p>
        </w:tc>
        <w:tc>
          <w:tcPr>
            <w:tcW w:w="8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$5.0M</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Q3'18</w:t>
            </w:r>
          </w:p>
        </w:tc>
        <w:tc>
          <w:tcPr>
            <w:tcW w:w="1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Q4'22</w:t>
            </w:r>
          </w:p>
        </w:tc>
        <w:tc>
          <w:tcPr>
            <w:tcW w:w="0" w:type="dxa"/>
            <w:vAlign w:val="bottom"/>
          </w:tcPr>
          <w:p>
            <w:pPr>
              <w:spacing w:after="0"/>
              <w:rPr>
                <w:sz w:val="1"/>
                <w:szCs w:val="1"/>
                <w:color w:val="auto"/>
              </w:rPr>
            </w:pPr>
          </w:p>
        </w:tc>
      </w:tr>
      <w:tr>
        <w:trPr>
          <w:trHeight w:val="20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Phase 3 clinical trial initiation - second indication</w:t>
            </w:r>
          </w:p>
        </w:tc>
        <w:tc>
          <w:tcPr>
            <w:tcW w:w="840" w:type="dxa"/>
            <w:vAlign w:val="bottom"/>
            <w:shd w:val="clear" w:color="auto" w:fill="CFF0FC"/>
          </w:tcPr>
          <w:p>
            <w:pPr>
              <w:jc w:val="center"/>
              <w:ind w:left="269"/>
              <w:spacing w:after="0"/>
              <w:rPr>
                <w:sz w:val="20"/>
                <w:szCs w:val="20"/>
                <w:color w:val="auto"/>
              </w:rPr>
            </w:pPr>
            <w:r>
              <w:rPr>
                <w:rFonts w:ascii="Times New Roman" w:cs="Times New Roman" w:eastAsia="Times New Roman" w:hAnsi="Times New Roman"/>
                <w:sz w:val="14"/>
                <w:szCs w:val="14"/>
                <w:color w:val="auto"/>
              </w:rPr>
              <w:t>$5.0M</w:t>
            </w:r>
          </w:p>
        </w:tc>
        <w:tc>
          <w:tcPr>
            <w:tcW w:w="1480" w:type="dxa"/>
            <w:vAlign w:val="bottom"/>
            <w:shd w:val="clear" w:color="auto" w:fill="CFF0FC"/>
          </w:tcPr>
          <w:p>
            <w:pPr>
              <w:jc w:val="center"/>
              <w:ind w:left="269"/>
              <w:spacing w:after="0"/>
              <w:rPr>
                <w:sz w:val="20"/>
                <w:szCs w:val="20"/>
                <w:color w:val="auto"/>
              </w:rPr>
            </w:pPr>
            <w:r>
              <w:rPr>
                <w:rFonts w:ascii="Times New Roman" w:cs="Times New Roman" w:eastAsia="Times New Roman" w:hAnsi="Times New Roman"/>
                <w:sz w:val="14"/>
                <w:szCs w:val="14"/>
                <w:color w:val="auto"/>
              </w:rPr>
              <w:t>Q2'19</w:t>
            </w:r>
          </w:p>
        </w:tc>
        <w:tc>
          <w:tcPr>
            <w:tcW w:w="120" w:type="dxa"/>
            <w:vAlign w:val="bottom"/>
            <w:shd w:val="clear" w:color="auto" w:fill="CFF0FC"/>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$5.0M</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0"/>
        </w:trPr>
        <w:tc>
          <w:tcPr>
            <w:tcW w:w="586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Filing of the first BLA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 first indication</w:t>
            </w:r>
          </w:p>
        </w:tc>
        <w:tc>
          <w:tcPr>
            <w:tcW w:w="84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$10.0M</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Q1'20</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0"/>
        </w:trPr>
        <w:tc>
          <w:tcPr>
            <w:tcW w:w="58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Filing of the first MAA</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 first indication</w:t>
            </w:r>
          </w:p>
        </w:tc>
        <w:tc>
          <w:tcPr>
            <w:tcW w:w="84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rPr>
              <w:t>$5.0M</w:t>
            </w:r>
          </w:p>
        </w:tc>
        <w:tc>
          <w:tcPr>
            <w:tcW w:w="148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rPr>
              <w:t>Q1'20</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$5.0M</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2"/>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Filing of the first BLA - second indication</w:t>
            </w:r>
          </w:p>
        </w:tc>
        <w:tc>
          <w:tcPr>
            <w:tcW w:w="84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$10.0M</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Q1'21</w:t>
            </w:r>
          </w:p>
        </w:tc>
        <w:tc>
          <w:tcPr>
            <w:tcW w:w="1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BLA approval - first indication</w:t>
            </w:r>
          </w:p>
        </w:tc>
        <w:tc>
          <w:tcPr>
            <w:tcW w:w="840" w:type="dxa"/>
            <w:vAlign w:val="bottom"/>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rPr>
              <w:t>$20.0M</w:t>
            </w:r>
          </w:p>
        </w:tc>
        <w:tc>
          <w:tcPr>
            <w:tcW w:w="148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rPr>
              <w:t>Q2'21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$20.0M</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4"/>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MAA approval - first indication</w:t>
            </w:r>
          </w:p>
        </w:tc>
        <w:tc>
          <w:tcPr>
            <w:tcW w:w="84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$10.0M</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Q2'21</w:t>
            </w:r>
          </w:p>
        </w:tc>
        <w:tc>
          <w:tcPr>
            <w:tcW w:w="1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BLA approval - second indication</w:t>
            </w:r>
          </w:p>
        </w:tc>
        <w:tc>
          <w:tcPr>
            <w:tcW w:w="840" w:type="dxa"/>
            <w:vAlign w:val="bottom"/>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rPr>
              <w:t>$20.0M</w:t>
            </w:r>
          </w:p>
        </w:tc>
        <w:tc>
          <w:tcPr>
            <w:tcW w:w="148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rPr>
              <w:t>Q3'21</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$20.0M</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0"/>
        </w:trPr>
        <w:tc>
          <w:tcPr>
            <w:tcW w:w="586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Filing of the first MAA - second indication</w:t>
            </w:r>
            <w:r>
              <w:rPr>
                <w:rFonts w:ascii="Times New Roman" w:cs="Times New Roman" w:eastAsia="Times New Roman" w:hAnsi="Times New Roman"/>
                <w:sz w:val="18"/>
                <w:szCs w:val="18"/>
                <w:color w:val="auto"/>
                <w:vertAlign w:val="superscript"/>
              </w:rPr>
              <w:t>(3)</w:t>
            </w:r>
          </w:p>
        </w:tc>
        <w:tc>
          <w:tcPr>
            <w:tcW w:w="8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$5.0M</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0"/>
        </w:trPr>
        <w:tc>
          <w:tcPr>
            <w:tcW w:w="58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First MAA approval - second indication</w:t>
            </w:r>
            <w:r>
              <w:rPr>
                <w:rFonts w:ascii="Times New Roman" w:cs="Times New Roman" w:eastAsia="Times New Roman" w:hAnsi="Times New Roman"/>
                <w:sz w:val="18"/>
                <w:szCs w:val="18"/>
                <w:color w:val="auto"/>
                <w:vertAlign w:val="superscript"/>
              </w:rPr>
              <w:t>(3)</w:t>
            </w:r>
          </w:p>
        </w:tc>
        <w:tc>
          <w:tcPr>
            <w:tcW w:w="840" w:type="dxa"/>
            <w:vAlign w:val="bottom"/>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rPr>
              <w:t>$10.0M</w:t>
            </w:r>
          </w:p>
        </w:tc>
        <w:tc>
          <w:tcPr>
            <w:tcW w:w="148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$10.0M</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0"/>
        </w:trPr>
        <w:tc>
          <w:tcPr>
            <w:tcW w:w="586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First commercial sales milestone</w:t>
            </w:r>
            <w:r>
              <w:rPr>
                <w:rFonts w:ascii="Times New Roman" w:cs="Times New Roman" w:eastAsia="Times New Roman" w:hAnsi="Times New Roman"/>
                <w:sz w:val="18"/>
                <w:szCs w:val="18"/>
                <w:color w:val="auto"/>
                <w:vertAlign w:val="superscript"/>
              </w:rPr>
              <w:t>(3)</w:t>
            </w:r>
          </w:p>
        </w:tc>
        <w:tc>
          <w:tcPr>
            <w:tcW w:w="84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$15.0M</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Q3'24</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0"/>
        </w:trPr>
        <w:tc>
          <w:tcPr>
            <w:tcW w:w="58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Second commercial sales milestone</w:t>
            </w:r>
            <w:r>
              <w:rPr>
                <w:rFonts w:ascii="Times New Roman" w:cs="Times New Roman" w:eastAsia="Times New Roman" w:hAnsi="Times New Roman"/>
                <w:sz w:val="18"/>
                <w:szCs w:val="18"/>
                <w:color w:val="auto"/>
                <w:vertAlign w:val="superscript"/>
              </w:rPr>
              <w:t>(3)</w:t>
            </w:r>
          </w:p>
        </w:tc>
        <w:tc>
          <w:tcPr>
            <w:tcW w:w="840" w:type="dxa"/>
            <w:vAlign w:val="bottom"/>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rPr>
              <w:t>$25.0M</w:t>
            </w:r>
          </w:p>
        </w:tc>
        <w:tc>
          <w:tcPr>
            <w:tcW w:w="148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$25.0M</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0"/>
        </w:trPr>
        <w:tc>
          <w:tcPr>
            <w:tcW w:w="586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Third commercial sales milestone</w:t>
            </w:r>
            <w:r>
              <w:rPr>
                <w:rFonts w:ascii="Times New Roman" w:cs="Times New Roman" w:eastAsia="Times New Roman" w:hAnsi="Times New Roman"/>
                <w:sz w:val="18"/>
                <w:szCs w:val="18"/>
                <w:color w:val="auto"/>
                <w:vertAlign w:val="superscript"/>
              </w:rPr>
              <w:t>(3)</w:t>
            </w:r>
          </w:p>
        </w:tc>
        <w:tc>
          <w:tcPr>
            <w:tcW w:w="84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$50.0M</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Fourth commercial sales milestone</w:t>
            </w:r>
          </w:p>
        </w:tc>
        <w:tc>
          <w:tcPr>
            <w:tcW w:w="840" w:type="dxa"/>
            <w:vAlign w:val="bottom"/>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rPr>
              <w:t>$75.0M</w:t>
            </w:r>
          </w:p>
        </w:tc>
        <w:tc>
          <w:tcPr>
            <w:tcW w:w="148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$75.0M</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67"/>
        </w:trPr>
        <w:tc>
          <w:tcPr>
            <w:tcW w:w="58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Milestones recognized through September 30, 2024</w:t>
            </w:r>
          </w:p>
        </w:tc>
        <w:tc>
          <w:tcPr>
            <w:tcW w:w="840" w:type="dxa"/>
            <w:vAlign w:val="bottom"/>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rPr>
              <w:t>$108.0M</w:t>
            </w:r>
          </w:p>
        </w:tc>
        <w:tc>
          <w:tcPr>
            <w:tcW w:w="148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$13.0M</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Milestones that may be recognized in the future</w:t>
            </w:r>
          </w:p>
        </w:tc>
        <w:tc>
          <w:tcPr>
            <w:tcW w:w="84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$165.0M</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$260.0M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40" w:hanging="393"/>
        <w:spacing w:after="0"/>
        <w:tabs>
          <w:tab w:leader="none" w:pos="4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Biologics License Application (“BLA”)</w:t>
      </w:r>
    </w:p>
    <w:p>
      <w:pPr>
        <w:spacing w:after="0" w:line="14" w:lineRule="exact"/>
        <w:rPr>
          <w:rFonts w:ascii="Times New Roman" w:cs="Times New Roman" w:eastAsia="Times New Roman" w:hAnsi="Times New Roman"/>
          <w:sz w:val="23"/>
          <w:szCs w:val="23"/>
          <w:color w:val="auto"/>
          <w:vertAlign w:val="superscript"/>
        </w:rPr>
      </w:pPr>
    </w:p>
    <w:p>
      <w:pPr>
        <w:ind w:left="440" w:hanging="393"/>
        <w:spacing w:after="0" w:line="192" w:lineRule="auto"/>
        <w:tabs>
          <w:tab w:leader="none" w:pos="4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Marketing Authorization Application (“MAA”)</w:t>
      </w:r>
    </w:p>
    <w:p>
      <w:pPr>
        <w:spacing w:after="0" w:line="15" w:lineRule="exact"/>
        <w:rPr>
          <w:rFonts w:ascii="Times New Roman" w:cs="Times New Roman" w:eastAsia="Times New Roman" w:hAnsi="Times New Roman"/>
          <w:sz w:val="23"/>
          <w:szCs w:val="23"/>
          <w:color w:val="auto"/>
          <w:vertAlign w:val="superscript"/>
        </w:rPr>
      </w:pPr>
    </w:p>
    <w:p>
      <w:pPr>
        <w:ind w:left="440" w:right="260" w:hanging="393"/>
        <w:spacing w:after="0" w:line="227" w:lineRule="auto"/>
        <w:tabs>
          <w:tab w:leader="none" w:pos="428"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For </w:t>
      </w:r>
      <w:r>
        <w:rPr>
          <w:rFonts w:ascii="Times New Roman" w:cs="Times New Roman" w:eastAsia="Times New Roman" w:hAnsi="Times New Roman"/>
          <w:sz w:val="17"/>
          <w:szCs w:val="17"/>
          <w:i w:val="1"/>
          <w:iCs w:val="1"/>
          <w:color w:val="auto"/>
        </w:rPr>
        <w:t>Jemperli</w:t>
      </w:r>
      <w:r>
        <w:rPr>
          <w:rFonts w:ascii="Times New Roman" w:cs="Times New Roman" w:eastAsia="Times New Roman" w:hAnsi="Times New Roman"/>
          <w:sz w:val="17"/>
          <w:szCs w:val="17"/>
          <w:color w:val="auto"/>
        </w:rPr>
        <w:t>, the filing and approval of the first MAA for a second indication and first three commercial sales milestones are included as part of the royalty monetization agreement with Sagard (as defined below), see Note 5. Cash is generally received within 30 days of milestone achievement.</w:t>
      </w:r>
    </w:p>
    <w:p>
      <w:pPr>
        <w:spacing w:after="0" w:line="1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Centessa</w:t>
      </w:r>
    </w:p>
    <w:p>
      <w:pPr>
        <w:spacing w:after="0" w:line="117"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On November 24, 2023, we entered into an exclusive license agreement (as amended,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CBS008 (renamed ANB102) and the related family of backup antibodies, for the treatment of autoimmune and inflammatory diseases.</w:t>
      </w:r>
    </w:p>
    <w:p>
      <w:pPr>
        <w:spacing w:after="0" w:line="74"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17"/>
          <w:szCs w:val="17"/>
          <w:color w:val="auto"/>
        </w:rPr>
        <w:t>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w:t>
      </w:r>
    </w:p>
    <w:p>
      <w:pPr>
        <w:spacing w:after="0" w:line="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$7.3 million was expensed as in-process research and development and classified as an operating activity in the statement of cash flows. We accounted for the transaction as an asset acquisition as the set of acquired assets did not constitute a business.</w:t>
      </w:r>
    </w:p>
    <w:p>
      <w:pPr>
        <w:spacing w:after="0" w:line="75"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Under the terms of the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76"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18"/>
          <w:szCs w:val="18"/>
          <w:color w:val="auto"/>
        </w:rPr>
        <w:t>September 30, 2024, achievement of the milestone is not probable and, therefore, we have not recognized a liability for the associated $10.0 million contingent consideration.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Sale of Future Royalties</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Jemperli Royalty Monetization Agreement</w:t>
      </w:r>
    </w:p>
    <w:p>
      <w:pPr>
        <w:spacing w:after="0" w:line="102" w:lineRule="exact"/>
        <w:rPr>
          <w:sz w:val="20"/>
          <w:szCs w:val="20"/>
          <w:color w:val="auto"/>
        </w:rPr>
      </w:pPr>
    </w:p>
    <w:p>
      <w:pPr>
        <w:ind w:firstLine="440"/>
        <w:spacing w:after="0" w:line="234" w:lineRule="auto"/>
        <w:rPr>
          <w:sz w:val="20"/>
          <w:szCs w:val="20"/>
          <w:color w:val="auto"/>
        </w:rPr>
      </w:pPr>
      <w:r>
        <w:rPr>
          <w:rFonts w:ascii="Times New Roman" w:cs="Times New Roman" w:eastAsia="Times New Roman" w:hAnsi="Times New Roman"/>
          <w:sz w:val="18"/>
          <w:szCs w:val="18"/>
          <w:color w:val="auto"/>
        </w:rPr>
        <w:t>In October 2021, we signed a royalty monetization agreement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with Sagard Healthcare Royalty Partners, LP (“Sagard”). Under the terms of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we received $250.0 million in exchange for royalties and milestones payable to us under our GSK collaboration on annual global net sales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below $1.0 billion starting in October 2021 (not including any combination products that contain both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another Development Antibody (as defined in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w:t>
      </w:r>
    </w:p>
    <w:p>
      <w:pPr>
        <w:spacing w:after="0" w:line="60" w:lineRule="exact"/>
        <w:rPr>
          <w:sz w:val="20"/>
          <w:szCs w:val="20"/>
          <w:color w:val="auto"/>
        </w:rPr>
      </w:pPr>
    </w:p>
    <w:p>
      <w:pPr>
        <w:ind w:right="20" w:firstLine="440"/>
        <w:spacing w:after="0" w:line="226" w:lineRule="auto"/>
        <w:rPr>
          <w:sz w:val="20"/>
          <w:szCs w:val="20"/>
          <w:color w:val="auto"/>
        </w:rPr>
      </w:pPr>
      <w:r>
        <w:rPr>
          <w:rFonts w:ascii="Times New Roman" w:cs="Times New Roman" w:eastAsia="Times New Roman" w:hAnsi="Times New Roman"/>
          <w:sz w:val="18"/>
          <w:szCs w:val="18"/>
          <w:color w:val="auto"/>
        </w:rPr>
        <w:t xml:space="preserve">In May 2024, we entered into an amendment to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Amendment No. 1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Amendment”) under which we sold additional receivables to Sagard in exchange for $50.0 million.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Amendment now includes all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sales, expands the definition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to include any product containing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whether or not such product constitutes a combination product, and increases the threshold amounts of aggregate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royalties and milestones to be received by Sagard under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to either</w:t>
      </w:r>
    </w:p>
    <w:p>
      <w:pPr>
        <w:spacing w:after="0" w:line="3"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18"/>
          <w:szCs w:val="18"/>
          <w:color w:val="auto"/>
        </w:rPr>
        <w:t xml:space="preserve">$600.0 million if received by the end of March 31, 2031, or $675.0 million if received thereafter. Once either of these thresholds are met,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will expire, resulting in us regaining all subsequent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royalties and milestones. As of September 30, 2024, Sagard has received a total of $50.3 million in royalties and milestones.</w:t>
      </w:r>
    </w:p>
    <w:p>
      <w:pPr>
        <w:spacing w:after="0" w:line="76" w:lineRule="exact"/>
        <w:rPr>
          <w:sz w:val="20"/>
          <w:szCs w:val="20"/>
          <w:color w:val="auto"/>
        </w:rPr>
      </w:pPr>
    </w:p>
    <w:p>
      <w:pPr>
        <w:ind w:right="300" w:firstLine="440"/>
        <w:spacing w:after="0" w:line="273" w:lineRule="auto"/>
        <w:rPr>
          <w:sz w:val="20"/>
          <w:szCs w:val="20"/>
          <w:color w:val="auto"/>
        </w:rPr>
      </w:pPr>
      <w:r>
        <w:rPr>
          <w:rFonts w:ascii="Times New Roman" w:cs="Times New Roman" w:eastAsia="Times New Roman" w:hAnsi="Times New Roman"/>
          <w:sz w:val="17"/>
          <w:szCs w:val="17"/>
          <w:color w:val="auto"/>
        </w:rPr>
        <w:t xml:space="preserve">The proceeds received from Sagard of $250.0 million and $50.0 million were recorded as a liability, net of transaction costs of $0.4 million and $0.1 million, which will be amortized over the estimated life of the arrangement using the effective interest rate method. The aggregate future estimated payments, less the $299.5 million, net of proceeds, will be recognized as non-cash interest expense over the life of the agreement. Royalty and milestone revenue will be recognized as earned on net sales of </w:t>
      </w:r>
      <w:r>
        <w:rPr>
          <w:rFonts w:ascii="Times New Roman" w:cs="Times New Roman" w:eastAsia="Times New Roman" w:hAnsi="Times New Roman"/>
          <w:sz w:val="17"/>
          <w:szCs w:val="17"/>
          <w:i w:val="1"/>
          <w:iCs w:val="1"/>
          <w:color w:val="auto"/>
        </w:rPr>
        <w:t>Jemperli</w:t>
      </w:r>
      <w:r>
        <w:rPr>
          <w:rFonts w:ascii="Times New Roman" w:cs="Times New Roman" w:eastAsia="Times New Roman" w:hAnsi="Times New Roman"/>
          <w:sz w:val="17"/>
          <w:szCs w:val="17"/>
          <w:color w:val="auto"/>
        </w:rPr>
        <w:t xml:space="preserve">, and these payments to Sagard will be recorded as a reduction of the liability when paid. As such payments are made to Sagard, the balance of the liability will be effectively repaid over the life of the </w:t>
      </w:r>
      <w:r>
        <w:rPr>
          <w:rFonts w:ascii="Times New Roman" w:cs="Times New Roman" w:eastAsia="Times New Roman" w:hAnsi="Times New Roman"/>
          <w:sz w:val="17"/>
          <w:szCs w:val="17"/>
          <w:i w:val="1"/>
          <w:iCs w:val="1"/>
          <w:color w:val="auto"/>
        </w:rPr>
        <w:t>Jemperli</w:t>
      </w:r>
      <w:r>
        <w:rPr>
          <w:rFonts w:ascii="Times New Roman" w:cs="Times New Roman" w:eastAsia="Times New Roman" w:hAnsi="Times New Roman"/>
          <w:sz w:val="17"/>
          <w:szCs w:val="17"/>
          <w:color w:val="auto"/>
        </w:rPr>
        <w:t xml:space="preserve"> Royalty Monetization Agreement.</w:t>
      </w:r>
    </w:p>
    <w:p>
      <w:pPr>
        <w:spacing w:after="0" w:line="60"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We estimate the effective interest rate used to record non-cash interest expense under the </w:t>
      </w:r>
      <w:r>
        <w:rPr>
          <w:rFonts w:ascii="Times New Roman" w:cs="Times New Roman" w:eastAsia="Times New Roman" w:hAnsi="Times New Roman"/>
          <w:sz w:val="17"/>
          <w:szCs w:val="17"/>
          <w:i w:val="1"/>
          <w:iCs w:val="1"/>
          <w:color w:val="auto"/>
        </w:rPr>
        <w:t>Jemperli</w:t>
      </w:r>
      <w:r>
        <w:rPr>
          <w:rFonts w:ascii="Times New Roman" w:cs="Times New Roman" w:eastAsia="Times New Roman" w:hAnsi="Times New Roman"/>
          <w:sz w:val="17"/>
          <w:szCs w:val="17"/>
          <w:color w:val="auto"/>
        </w:rPr>
        <w:t xml:space="preserve"> Royalty Monetization Agreement based on the estimate of future royalty payments to be received by Sagard. As of September 30, 2024, the estimated effective rate under the agreement was 20.3%.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prior estimates, we will prospectively adjust the imputed interest rate and the related amortization of the royalty obligation.</w:t>
      </w:r>
    </w:p>
    <w:p>
      <w:pPr>
        <w:spacing w:after="0" w:line="58" w:lineRule="exact"/>
        <w:rPr>
          <w:sz w:val="20"/>
          <w:szCs w:val="20"/>
          <w:color w:val="auto"/>
        </w:rPr>
      </w:pPr>
    </w:p>
    <w:p>
      <w:pPr>
        <w:ind w:right="780" w:firstLine="440"/>
        <w:spacing w:after="0" w:line="309" w:lineRule="auto"/>
        <w:rPr>
          <w:sz w:val="20"/>
          <w:szCs w:val="20"/>
          <w:color w:val="auto"/>
        </w:rPr>
      </w:pPr>
      <w:r>
        <w:rPr>
          <w:rFonts w:ascii="Times New Roman" w:cs="Times New Roman" w:eastAsia="Times New Roman" w:hAnsi="Times New Roman"/>
          <w:sz w:val="17"/>
          <w:szCs w:val="17"/>
          <w:color w:val="auto"/>
        </w:rPr>
        <w:t xml:space="preserve">We recognized </w:t>
      </w:r>
      <w:r>
        <w:rPr>
          <w:rFonts w:ascii="Times New Roman" w:cs="Times New Roman" w:eastAsia="Times New Roman" w:hAnsi="Times New Roman"/>
          <w:sz w:val="17"/>
          <w:szCs w:val="17"/>
          <w:i w:val="1"/>
          <w:iCs w:val="1"/>
          <w:color w:val="auto"/>
        </w:rPr>
        <w:t>Jemperli</w:t>
      </w:r>
      <w:r>
        <w:rPr>
          <w:rFonts w:ascii="Times New Roman" w:cs="Times New Roman" w:eastAsia="Times New Roman" w:hAnsi="Times New Roman"/>
          <w:sz w:val="17"/>
          <w:szCs w:val="17"/>
          <w:color w:val="auto"/>
        </w:rPr>
        <w:t xml:space="preserve"> non-cash royalty revenue of approximately $13.8 million and $30.1 million during the three and nine months ended September 30, 2024 and approximately $2.5 million and $5.8 million during the three and nine months ended September 30, 2023, respectively.</w:t>
      </w:r>
    </w:p>
    <w:p>
      <w:pPr>
        <w:spacing w:after="0" w:line="30" w:lineRule="exact"/>
        <w:rPr>
          <w:sz w:val="20"/>
          <w:szCs w:val="20"/>
          <w:color w:val="auto"/>
        </w:rPr>
      </w:pPr>
    </w:p>
    <w:p>
      <w:pPr>
        <w:jc w:val="both"/>
        <w:ind w:right="260" w:firstLine="440"/>
        <w:spacing w:after="0" w:line="263" w:lineRule="auto"/>
        <w:rPr>
          <w:sz w:val="20"/>
          <w:szCs w:val="20"/>
          <w:color w:val="auto"/>
        </w:rPr>
      </w:pPr>
      <w:r>
        <w:rPr>
          <w:rFonts w:ascii="Times New Roman" w:cs="Times New Roman" w:eastAsia="Times New Roman" w:hAnsi="Times New Roman"/>
          <w:sz w:val="18"/>
          <w:szCs w:val="18"/>
          <w:color w:val="auto"/>
        </w:rPr>
        <w:t xml:space="preserve">Our first sales milestone for $15.0 million was recognized during the three and nine months ended September 30, 2024, when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annual sales exceeded $250 million, and is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non-cash revenue related to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No sales milestones were recognized during the three and nine months ended September 30, 2023.</w:t>
      </w:r>
    </w:p>
    <w:p>
      <w:pPr>
        <w:spacing w:after="0" w:line="69"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We recognized non-cash interest expense of approximately $15.2 million and $32.0 million during the three and nine months ended September 30, 2024 and $4.2 million and $12.4 million during the three and nine months ended September 30, 2023, respectively. The interest and amortization of issuance costs are reflected as non-cash interest expense for the sale of future royalties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shows the activity within the liability account for the nine months ended September 30, 2024:</w:t>
      </w:r>
    </w:p>
    <w:p>
      <w:pPr>
        <w:sectPr>
          <w:pgSz w:w="11900" w:h="16838" w:orient="portrait"/>
          <w:cols w:equalWidth="0" w:num="1">
            <w:col w:w="11240"/>
          </w:cols>
          <w:pgMar w:left="320" w:top="1440" w:right="339" w:bottom="1440" w:gutter="0" w:footer="0" w:header="0"/>
        </w:sectPr>
      </w:pP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4225" cy="152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37" w:lineRule="exact"/>
        <w:rPr>
          <w:sz w:val="20"/>
          <w:szCs w:val="20"/>
          <w:color w:val="auto"/>
        </w:rPr>
      </w:pPr>
    </w:p>
    <w:p>
      <w:pPr>
        <w:ind w:left="140" w:right="2060" w:hanging="106"/>
        <w:spacing w:after="0" w:line="267" w:lineRule="auto"/>
        <w:rPr>
          <w:sz w:val="20"/>
          <w:szCs w:val="20"/>
          <w:color w:val="auto"/>
        </w:rPr>
      </w:pPr>
      <w:r>
        <w:rPr>
          <w:rFonts w:ascii="Times New Roman" w:cs="Times New Roman" w:eastAsia="Times New Roman" w:hAnsi="Times New Roman"/>
          <w:sz w:val="18"/>
          <w:szCs w:val="18"/>
          <w:color w:val="auto"/>
        </w:rPr>
        <w:t xml:space="preserve">Liability related to sale of future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royalties and milestones – balance at 12/31/2023 Proceeds from sale of future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34225" cy="144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Issuance costs related to the sale of future royalties</w:t>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Amortization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Royalty and milestone payments to Sagard</w:t>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Non-cash interest expense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69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royalties and milestones – ending balance</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Zejula Royalty Monetization Agreement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59" w:lineRule="exact"/>
        <w:rPr>
          <w:sz w:val="20"/>
          <w:szCs w:val="20"/>
          <w:color w:val="auto"/>
        </w:rPr>
      </w:pPr>
    </w:p>
    <w:p>
      <w:pPr>
        <w:ind w:left="1320" w:hanging="1316"/>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278,090</w:t>
      </w:r>
    </w:p>
    <w:p>
      <w:pPr>
        <w:spacing w:after="0" w:line="25"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w:t>
      </w:r>
    </w:p>
    <w:p>
      <w:pPr>
        <w:spacing w:after="0" w:line="19"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w:t>
      </w:r>
    </w:p>
    <w:p>
      <w:pPr>
        <w:spacing w:after="0" w:line="19" w:lineRule="exact"/>
        <w:rPr>
          <w:rFonts w:ascii="Times New Roman" w:cs="Times New Roman" w:eastAsia="Times New Roman" w:hAnsi="Times New Roman"/>
          <w:sz w:val="18"/>
          <w:szCs w:val="18"/>
          <w:color w:val="auto"/>
        </w:rPr>
      </w:pPr>
    </w:p>
    <w:p>
      <w:pPr>
        <w:ind w:left="1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(39,875)</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31,978</w:t>
      </w:r>
    </w:p>
    <w:p>
      <w:pPr>
        <w:spacing w:after="0" w:line="28" w:lineRule="exact"/>
        <w:rPr>
          <w:sz w:val="20"/>
          <w:szCs w:val="20"/>
          <w:color w:val="auto"/>
        </w:rPr>
      </w:pPr>
    </w:p>
    <w:p>
      <w:pPr>
        <w:ind w:left="1320" w:hanging="1316"/>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320,131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41275</wp:posOffset>
            </wp:positionV>
            <wp:extent cx="12541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566" w:lineRule="exact"/>
        <w:rPr>
          <w:sz w:val="20"/>
          <w:szCs w:val="20"/>
          <w:color w:val="auto"/>
        </w:rPr>
      </w:pPr>
    </w:p>
    <w:p>
      <w:pPr>
        <w:sectPr>
          <w:pgSz w:w="11900" w:h="16838" w:orient="portrait"/>
          <w:cols w:equalWidth="0" w:num="2">
            <w:col w:w="8560" w:space="720"/>
            <w:col w:w="1960"/>
          </w:cols>
          <w:pgMar w:left="320" w:top="1440" w:right="339" w:bottom="1440" w:gutter="0" w:footer="0" w:header="0"/>
          <w:type w:val="continuous"/>
        </w:sectPr>
      </w:pPr>
    </w:p>
    <w:p>
      <w:pPr>
        <w:ind w:right="860" w:firstLine="400"/>
        <w:spacing w:after="0" w:line="277" w:lineRule="auto"/>
        <w:rPr>
          <w:sz w:val="20"/>
          <w:szCs w:val="20"/>
          <w:color w:val="auto"/>
        </w:rPr>
      </w:pPr>
      <w:r>
        <w:rPr>
          <w:rFonts w:ascii="Times New Roman" w:cs="Times New Roman" w:eastAsia="Times New Roman" w:hAnsi="Times New Roman"/>
          <w:sz w:val="18"/>
          <w:szCs w:val="18"/>
          <w:color w:val="auto"/>
        </w:rPr>
        <w:t>In October 2020, in connection with GSK Amendment No. 3, GSK agreed, under the terms of a settlement agreement (the “GSK Settlement Agreement”), to pay us a royalty of 0.5% on all GSK net sales of Zejula starting January 1, 2021.</w:t>
      </w:r>
    </w:p>
    <w:p>
      <w:pPr>
        <w:spacing w:after="0" w:line="56"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In September 2022, we signed a purchase and sale agreement (the “Zejula Royalty Monetization Agreement”) with a wholly owned subsidiary of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In addition, under the Zejula Royalty Monetization Agreement, we are entitled to receive an additional $10.0 million payment from DRI if Zejula is approved by the U.S. Food and Drug Administration for the treatment of endometrial cancer on or prior to December 31, 2025.</w:t>
      </w:r>
    </w:p>
    <w:p>
      <w:pPr>
        <w:spacing w:after="0" w:line="7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proceeds received from DRI of $35.0 million were recorded as a liability, net of transaction costs of $0.2 million, which will be amortized over the estimated life of the arrangement using the effective interest rate method. Royalty revenue will be recognized as earned on net sales of Zejula, and these royalty payments to DRI will be recorded as a reduction of the liability when paid. The aggregate future estimated payments, less the $34.8 million, of net proceeds, will be recorded as non-cash interest expense over the life of the agreement. As such payments are made to DRI, the balance of the liability will be effectively repaid over the life of the Zejula Royalty Monetization Agreement.</w:t>
      </w:r>
    </w:p>
    <w:p>
      <w:pPr>
        <w:spacing w:after="0" w:line="79"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8"/>
          <w:szCs w:val="18"/>
          <w:color w:val="auto"/>
        </w:rPr>
        <w:t>We recognized Zejula non-cash royalty revenue of approximately $1.2 million and $3.1 million during the three and nine months ended September 30, 2024 and $0.8 million and $2.4 million during the three and nine months ended September 30, 2023, respectively.</w:t>
      </w:r>
    </w:p>
    <w:p>
      <w:pPr>
        <w:spacing w:after="0" w:line="56"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We recognized non-cash interest expense of approximately $0.2 million and $0.7 million during the three and nine months ended September 30, 2024 and $0.2 million and $0.7 million nine months ended September 30, 2023, respectively. The interest and amortization of issuance costs is reflected as non-cash interest expense for the sale of future royalties in the Consolidated Statements of Operations.</w:t>
      </w:r>
    </w:p>
    <w:p>
      <w:pPr>
        <w:sectPr>
          <w:pgSz w:w="11900" w:h="16838" w:orient="portrait"/>
          <w:cols w:equalWidth="0" w:num="1">
            <w:col w:w="11240"/>
          </w:cols>
          <w:pgMar w:left="320" w:top="1440" w:right="339" w:bottom="1440" w:gutter="0" w:footer="0" w:header="0"/>
          <w:type w:val="continuous"/>
        </w:sectPr>
      </w:pP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shows the activity within the liability account for the nine months ended September 30, 2024:</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4225" cy="152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Zejula royalties and milestones – balance at 12/31/2023</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Amortization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Royalty and milestone payments to DRI</w:t>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Non-cash interest expense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69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royalties and milestones – ending balance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60" w:type="dxa"/>
            <w:vAlign w:val="bottom"/>
          </w:tcPr>
          <w:p>
            <w:pPr>
              <w:spacing w:after="0"/>
              <w:rPr>
                <w:sz w:val="16"/>
                <w:szCs w:val="16"/>
                <w:color w:val="auto"/>
              </w:rPr>
            </w:pPr>
          </w:p>
        </w:tc>
        <w:tc>
          <w:tcPr>
            <w:tcW w:w="17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5"/>
        </w:trPr>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5"/>
        </w:trPr>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32,717</w:t>
            </w:r>
          </w:p>
        </w:tc>
      </w:tr>
      <w:tr>
        <w:trPr>
          <w:trHeight w:val="227"/>
        </w:trPr>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32"/>
        </w:trPr>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0"/>
        </w:trPr>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60" w:space="700"/>
            <w:col w:w="19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385" w:lineRule="exact"/>
        <w:rPr>
          <w:sz w:val="20"/>
          <w:szCs w:val="20"/>
          <w:color w:val="auto"/>
        </w:rPr>
      </w:pPr>
    </w:p>
    <w:p>
      <w:pPr>
        <w:ind w:left="240" w:right="6420" w:hanging="233"/>
        <w:spacing w:after="0" w:line="373" w:lineRule="auto"/>
        <w:tabs>
          <w:tab w:leader="none" w:pos="17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and Available for Sale Investments </w:t>
      </w:r>
      <w:r>
        <w:rPr>
          <w:rFonts w:ascii="Times New Roman" w:cs="Times New Roman" w:eastAsia="Times New Roman" w:hAnsi="Times New Roman"/>
          <w:sz w:val="18"/>
          <w:szCs w:val="18"/>
          <w:b w:val="1"/>
          <w:bCs w:val="1"/>
          <w:i w:val="1"/>
          <w:iCs w:val="1"/>
          <w:color w:val="auto"/>
        </w:rPr>
        <w:t>Fair Value Measurements</w:t>
      </w:r>
    </w:p>
    <w:p>
      <w:pPr>
        <w:spacing w:after="0" w:line="1" w:lineRule="exact"/>
        <w:rPr>
          <w:sz w:val="20"/>
          <w:szCs w:val="20"/>
          <w:color w:val="auto"/>
        </w:rPr>
      </w:pPr>
    </w:p>
    <w:p>
      <w:pPr>
        <w:ind w:right="200" w:firstLine="480"/>
        <w:spacing w:after="0" w:line="262" w:lineRule="auto"/>
        <w:rPr>
          <w:sz w:val="20"/>
          <w:szCs w:val="20"/>
          <w:color w:val="auto"/>
        </w:rPr>
      </w:pPr>
      <w:r>
        <w:rPr>
          <w:rFonts w:ascii="Times New Roman" w:cs="Times New Roman" w:eastAsia="Times New Roman" w:hAnsi="Times New Roman"/>
          <w:sz w:val="18"/>
          <w:szCs w:val="18"/>
          <w:color w:val="auto"/>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69"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13"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activities, therefore requiring an entity to develop its own assumptions.</w:t>
      </w:r>
    </w:p>
    <w:p>
      <w:pPr>
        <w:spacing w:after="0" w:line="2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320" w:firstLine="480"/>
        <w:spacing w:after="0" w:line="277" w:lineRule="auto"/>
        <w:rPr>
          <w:sz w:val="20"/>
          <w:szCs w:val="20"/>
          <w:color w:val="auto"/>
        </w:rPr>
      </w:pPr>
      <w:r>
        <w:rPr>
          <w:rFonts w:ascii="Times New Roman" w:cs="Times New Roman" w:eastAsia="Times New Roman" w:hAnsi="Times New Roman"/>
          <w:sz w:val="18"/>
          <w:szCs w:val="18"/>
          <w:color w:val="auto"/>
        </w:rPr>
        <w:t>The following table summarizes our assets and liabilities that require fair value measurements on a recurring basis and their respective input levels based on the fair value hierarchy: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End of Period Using:</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5"/>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Quoted Market</w:t>
            </w:r>
          </w:p>
        </w:tc>
        <w:tc>
          <w:tcPr>
            <w:tcW w:w="140" w:type="dxa"/>
            <w:vAlign w:val="bottom"/>
          </w:tcPr>
          <w:p>
            <w:pPr>
              <w:spacing w:after="0"/>
              <w:rPr>
                <w:sz w:val="13"/>
                <w:szCs w:val="13"/>
                <w:color w:val="auto"/>
              </w:rPr>
            </w:pPr>
          </w:p>
        </w:tc>
        <w:tc>
          <w:tcPr>
            <w:tcW w:w="14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3"/>
                <w:szCs w:val="13"/>
                <w:color w:val="auto"/>
              </w:rPr>
            </w:pPr>
          </w:p>
        </w:tc>
        <w:tc>
          <w:tcPr>
            <w:tcW w:w="1280" w:type="dxa"/>
            <w:vAlign w:val="bottom"/>
          </w:tcPr>
          <w:p>
            <w:pPr>
              <w:jc w:val="center"/>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0"/>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Prices for</w:t>
            </w:r>
          </w:p>
        </w:tc>
        <w:tc>
          <w:tcPr>
            <w:tcW w:w="14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20" w:type="dxa"/>
            <w:vAlign w:val="bottom"/>
          </w:tcPr>
          <w:p>
            <w:pPr>
              <w:spacing w:after="0"/>
              <w:rPr>
                <w:sz w:val="13"/>
                <w:szCs w:val="13"/>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60"/>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3"/>
                <w:szCs w:val="13"/>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3"/>
                <w:szCs w:val="13"/>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87"/>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5"/>
        </w:trPr>
        <w:tc>
          <w:tcPr>
            <w:tcW w:w="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7"/>
        </w:trPr>
        <w:tc>
          <w:tcPr>
            <w:tcW w:w="20" w:type="dxa"/>
            <w:vAlign w:val="bottom"/>
            <w:shd w:val="clear" w:color="auto" w:fill="CCEEFF"/>
          </w:tcPr>
          <w:p>
            <w:pPr>
              <w:spacing w:after="0"/>
              <w:rPr>
                <w:sz w:val="16"/>
                <w:szCs w:val="16"/>
                <w:color w:val="auto"/>
              </w:rPr>
            </w:pPr>
          </w:p>
        </w:tc>
        <w:tc>
          <w:tcPr>
            <w:tcW w:w="486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At September 30, 2024</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54"/>
        </w:trPr>
        <w:tc>
          <w:tcPr>
            <w:tcW w:w="20" w:type="dxa"/>
            <w:vAlign w:val="bottom"/>
            <w:tcBorders>
              <w:top w:val="single" w:sz="8" w:color="CCEEFF"/>
            </w:tcBorders>
          </w:tcPr>
          <w:p>
            <w:pPr>
              <w:spacing w:after="0"/>
              <w:rPr>
                <w:sz w:val="22"/>
                <w:szCs w:val="22"/>
                <w:color w:val="auto"/>
              </w:rPr>
            </w:pPr>
          </w:p>
        </w:tc>
        <w:tc>
          <w:tcPr>
            <w:tcW w:w="1720" w:type="dxa"/>
            <w:vAlign w:val="bottom"/>
            <w:tcBorders>
              <w:top w:val="single" w:sz="8" w:color="auto"/>
            </w:tcBorders>
            <w:gridSpan w:val="2"/>
          </w:tcPr>
          <w:p>
            <w:pPr>
              <w:spacing w:after="0" w:line="254"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14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181,132</w:t>
            </w:r>
          </w:p>
        </w:tc>
        <w:tc>
          <w:tcPr>
            <w:tcW w:w="12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181,132</w:t>
            </w: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4880" w:type="dxa"/>
            <w:vAlign w:val="bottom"/>
            <w:gridSpan w:val="4"/>
            <w:shd w:val="clear" w:color="auto" w:fill="CCEEFF"/>
          </w:tcPr>
          <w:p>
            <w:pPr>
              <w:ind w:left="20"/>
              <w:spacing w:after="0" w:line="254"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4880" w:type="dxa"/>
            <w:vAlign w:val="bottom"/>
            <w:gridSpan w:val="4"/>
          </w:tcPr>
          <w:p>
            <w:pPr>
              <w:ind w:left="20"/>
              <w:spacing w:after="0" w:line="254"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4880" w:type="dxa"/>
            <w:vAlign w:val="bottom"/>
            <w:gridSpan w:val="4"/>
            <w:shd w:val="clear" w:color="auto" w:fill="CCEEFF"/>
          </w:tcPr>
          <w:p>
            <w:pPr>
              <w:ind w:left="20"/>
              <w:spacing w:after="0" w:line="254"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4880" w:type="dxa"/>
            <w:vAlign w:val="bottom"/>
            <w:gridSpan w:val="4"/>
          </w:tcPr>
          <w:p>
            <w:pPr>
              <w:ind w:left="20"/>
              <w:spacing w:after="0" w:line="254"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spacing w:after="0" w:line="187" w:lineRule="exact"/>
              <w:rPr>
                <w:sz w:val="20"/>
                <w:szCs w:val="20"/>
                <w:color w:val="auto"/>
              </w:rPr>
            </w:pPr>
            <w:r>
              <w:rPr>
                <w:rFonts w:ascii="Times New Roman" w:cs="Times New Roman" w:eastAsia="Times New Roman" w:hAnsi="Times New Roman"/>
                <w:sz w:val="18"/>
                <w:szCs w:val="18"/>
                <w:b w:val="1"/>
                <w:bCs w:val="1"/>
                <w:color w:val="auto"/>
                <w:w w:val="98"/>
              </w:rPr>
              <w:t>At December 31, 2023</w:t>
            </w:r>
          </w:p>
        </w:tc>
        <w:tc>
          <w:tcPr>
            <w:tcW w:w="3180" w:type="dxa"/>
            <w:vAlign w:val="bottom"/>
            <w:tcBorders>
              <w:bottom w:val="single" w:sz="8" w:color="CCEEFF"/>
            </w:tcBorders>
            <w:gridSpan w:val="2"/>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54"/>
        </w:trPr>
        <w:tc>
          <w:tcPr>
            <w:tcW w:w="4880" w:type="dxa"/>
            <w:vAlign w:val="bottom"/>
            <w:gridSpan w:val="4"/>
          </w:tcPr>
          <w:p>
            <w:pPr>
              <w:ind w:left="20"/>
              <w:spacing w:after="0" w:line="254"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27,789</w:t>
            </w:r>
          </w:p>
        </w:tc>
        <w:tc>
          <w:tcPr>
            <w:tcW w:w="1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4880" w:type="dxa"/>
            <w:vAlign w:val="bottom"/>
            <w:gridSpan w:val="4"/>
            <w:shd w:val="clear" w:color="auto" w:fill="CCEEFF"/>
          </w:tcPr>
          <w:p>
            <w:pPr>
              <w:ind w:left="20"/>
              <w:spacing w:after="0" w:line="254"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4880" w:type="dxa"/>
            <w:vAlign w:val="bottom"/>
            <w:gridSpan w:val="4"/>
          </w:tcPr>
          <w:p>
            <w:pPr>
              <w:ind w:left="20"/>
              <w:spacing w:after="0" w:line="254"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4880" w:type="dxa"/>
            <w:vAlign w:val="bottom"/>
            <w:gridSpan w:val="4"/>
            <w:shd w:val="clear" w:color="auto" w:fill="CCEEFF"/>
          </w:tcPr>
          <w:p>
            <w:pPr>
              <w:ind w:left="20"/>
              <w:spacing w:after="0" w:line="254"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0" w:type="dxa"/>
            <w:vAlign w:val="bottom"/>
          </w:tcPr>
          <w:p>
            <w:pPr>
              <w:spacing w:after="0"/>
              <w:rPr>
                <w:sz w:val="19"/>
                <w:szCs w:val="19"/>
                <w:color w:val="auto"/>
              </w:rPr>
            </w:pPr>
          </w:p>
        </w:tc>
        <w:tc>
          <w:tcPr>
            <w:tcW w:w="4860" w:type="dxa"/>
            <w:vAlign w:val="bottom"/>
            <w:gridSpan w:val="3"/>
          </w:tcPr>
          <w:p>
            <w:pPr>
              <w:ind w:left="40"/>
              <w:spacing w:after="0" w:line="226"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4880" w:type="dxa"/>
            <w:vAlign w:val="bottom"/>
            <w:gridSpan w:val="4"/>
            <w:shd w:val="clear" w:color="auto" w:fill="CCEEFF"/>
          </w:tcPr>
          <w:p>
            <w:pPr>
              <w:ind w:left="20"/>
              <w:spacing w:after="0" w:line="254"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bl>
    <w:p>
      <w:pPr>
        <w:spacing w:after="0" w:line="110" w:lineRule="exact"/>
        <w:rPr>
          <w:sz w:val="20"/>
          <w:szCs w:val="20"/>
          <w:color w:val="auto"/>
        </w:rPr>
      </w:pPr>
    </w:p>
    <w:p>
      <w:pPr>
        <w:ind w:left="280" w:hanging="233"/>
        <w:spacing w:after="0"/>
        <w:tabs>
          <w:tab w:leader="none" w:pos="28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cash and cash equivalents in the accompanying consolidated balance sheets.</w:t>
      </w:r>
    </w:p>
    <w:p>
      <w:pPr>
        <w:spacing w:after="0" w:line="27" w:lineRule="exact"/>
        <w:rPr>
          <w:rFonts w:ascii="Times New Roman" w:cs="Times New Roman" w:eastAsia="Times New Roman" w:hAnsi="Times New Roman"/>
          <w:sz w:val="23"/>
          <w:szCs w:val="23"/>
          <w:color w:val="auto"/>
          <w:vertAlign w:val="superscript"/>
        </w:rPr>
      </w:pPr>
    </w:p>
    <w:p>
      <w:pPr>
        <w:ind w:left="300" w:hanging="253"/>
        <w:spacing w:after="0" w:line="192" w:lineRule="auto"/>
        <w:tabs>
          <w:tab w:leader="none" w:pos="3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short-term or long-term investments in the accompanying consolidated balance sheets depending on the respective maturity date.</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financial instruments for which it is practicable to estimate that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92" w:lineRule="exact"/>
        <w:rPr>
          <w:sz w:val="20"/>
          <w:szCs w:val="20"/>
          <w:color w:val="auto"/>
        </w:rPr>
      </w:pPr>
    </w:p>
    <w:p>
      <w:pPr>
        <w:ind w:right="12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w:t>
      </w:r>
      <w:r>
        <w:rPr>
          <w:rFonts w:ascii="Times New Roman" w:cs="Times New Roman" w:eastAsia="Times New Roman" w:hAnsi="Times New Roman"/>
          <w:sz w:val="18"/>
          <w:szCs w:val="18"/>
          <w:color w:val="auto"/>
        </w:rPr>
        <w:t>For fair values determined by Level 1 inputs, which utilize quoted prices in active markets for identical assets,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2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Other Financial Instruments</w:t>
      </w:r>
    </w:p>
    <w:p>
      <w:pPr>
        <w:spacing w:after="0" w:line="117" w:lineRule="exact"/>
        <w:rPr>
          <w:sz w:val="20"/>
          <w:szCs w:val="20"/>
          <w:color w:val="auto"/>
        </w:rPr>
      </w:pPr>
    </w:p>
    <w:p>
      <w:pPr>
        <w:ind w:right="840" w:firstLine="522"/>
        <w:spacing w:after="0" w:line="277" w:lineRule="auto"/>
        <w:rPr>
          <w:sz w:val="20"/>
          <w:szCs w:val="20"/>
          <w:color w:val="auto"/>
        </w:rPr>
      </w:pPr>
      <w:r>
        <w:rPr>
          <w:rFonts w:ascii="Times New Roman" w:cs="Times New Roman" w:eastAsia="Times New Roman" w:hAnsi="Times New Roman"/>
          <w:sz w:val="18"/>
          <w:szCs w:val="18"/>
          <w:color w:val="auto"/>
        </w:rPr>
        <w:t>The carrying amounts of certain of our financial instruments, including cash and cash equivalents, accounts payable, and accrued expenses approximate fair value due to their short-term nature.</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Available for Sale Investments</w:t>
      </w:r>
    </w:p>
    <w:p>
      <w:pPr>
        <w:spacing w:after="0" w:line="117"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short-term and long-term investments as of September 30, 2024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3"/>
                <w:szCs w:val="13"/>
                <w:color w:val="auto"/>
              </w:rPr>
            </w:pPr>
          </w:p>
        </w:tc>
        <w:tc>
          <w:tcPr>
            <w:tcW w:w="11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5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6"/>
                <w:szCs w:val="16"/>
                <w:color w:val="auto"/>
              </w:rPr>
            </w:pPr>
          </w:p>
        </w:tc>
        <w:tc>
          <w:tcPr>
            <w:tcW w:w="11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7"/>
        </w:trPr>
        <w:tc>
          <w:tcPr>
            <w:tcW w:w="526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0" w:type="dxa"/>
            <w:vAlign w:val="bottom"/>
          </w:tcPr>
          <w:p>
            <w:pPr>
              <w:spacing w:after="0"/>
              <w:rPr>
                <w:sz w:val="1"/>
                <w:szCs w:val="1"/>
                <w:color w:val="auto"/>
              </w:rPr>
            </w:pPr>
          </w:p>
        </w:tc>
      </w:tr>
      <w:tr>
        <w:trPr>
          <w:trHeight w:val="227"/>
        </w:trPr>
        <w:tc>
          <w:tcPr>
            <w:tcW w:w="526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0" w:type="dxa"/>
            <w:vAlign w:val="bottom"/>
          </w:tcPr>
          <w:p>
            <w:pPr>
              <w:spacing w:after="0"/>
              <w:rPr>
                <w:sz w:val="1"/>
                <w:szCs w:val="1"/>
                <w:color w:val="auto"/>
              </w:rPr>
            </w:pPr>
          </w:p>
        </w:tc>
      </w:tr>
      <w:tr>
        <w:trPr>
          <w:trHeight w:val="227"/>
        </w:trPr>
        <w:tc>
          <w:tcPr>
            <w:tcW w:w="526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244,051</w:t>
            </w:r>
          </w:p>
        </w:tc>
        <w:tc>
          <w:tcPr>
            <w:tcW w:w="0" w:type="dxa"/>
            <w:vAlign w:val="bottom"/>
          </w:tcPr>
          <w:p>
            <w:pPr>
              <w:spacing w:after="0"/>
              <w:rPr>
                <w:sz w:val="1"/>
                <w:szCs w:val="1"/>
                <w:color w:val="auto"/>
              </w:rPr>
            </w:pPr>
          </w:p>
        </w:tc>
      </w:tr>
      <w:tr>
        <w:trPr>
          <w:trHeight w:val="220"/>
        </w:trPr>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available for sale investments</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266,450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40" w:right="360" w:hanging="393"/>
        <w:spacing w:after="0" w:line="227" w:lineRule="auto"/>
        <w:tabs>
          <w:tab w:leader="none" w:pos="272"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agency securities, $5.0 million have maturity dates of less than one year and $0.0 million have maturity dates between one to two years as of September 30, 2024.</w:t>
      </w:r>
    </w:p>
    <w:p>
      <w:pPr>
        <w:spacing w:after="0" w:line="21" w:lineRule="exact"/>
        <w:rPr>
          <w:rFonts w:ascii="Times New Roman" w:cs="Times New Roman" w:eastAsia="Times New Roman" w:hAnsi="Times New Roman"/>
          <w:sz w:val="23"/>
          <w:szCs w:val="23"/>
          <w:color w:val="auto"/>
          <w:vertAlign w:val="superscript"/>
        </w:rPr>
      </w:pPr>
    </w:p>
    <w:p>
      <w:pPr>
        <w:ind w:left="440" w:right="160" w:hanging="393"/>
        <w:spacing w:after="0" w:line="227" w:lineRule="auto"/>
        <w:tabs>
          <w:tab w:leader="none" w:pos="29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commercial and corporate obligations, $17.4 million have maturity dates of less than one year and $0.0 million have a maturity date of between one to two years as of September 30, 2024.</w:t>
      </w:r>
    </w:p>
    <w:p>
      <w:pPr>
        <w:spacing w:after="0" w:line="7" w:lineRule="exact"/>
        <w:rPr>
          <w:rFonts w:ascii="Times New Roman" w:cs="Times New Roman" w:eastAsia="Times New Roman" w:hAnsi="Times New Roman"/>
          <w:sz w:val="23"/>
          <w:szCs w:val="23"/>
          <w:color w:val="auto"/>
          <w:vertAlign w:val="superscript"/>
        </w:rPr>
      </w:pPr>
    </w:p>
    <w:p>
      <w:pPr>
        <w:ind w:left="440" w:right="160" w:hanging="393"/>
        <w:spacing w:after="0" w:line="227" w:lineRule="auto"/>
        <w:tabs>
          <w:tab w:leader="none" w:pos="272"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U.S. Treasury securities, $216.1 million have maturity dates of less than one year and $27.9 million have a maturity date of between one to two years as of September 30, 2024.</w:t>
      </w:r>
    </w:p>
    <w:p>
      <w:pPr>
        <w:spacing w:after="0" w:line="195"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The aggregate market value, cost basis, and gross unrealized gains and losses of available for sale investments by security type, classified in short-term and long-term investments as of December 31, 2023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3"/>
                <w:szCs w:val="13"/>
                <w:color w:val="auto"/>
              </w:rPr>
            </w:pPr>
          </w:p>
        </w:tc>
        <w:tc>
          <w:tcPr>
            <w:tcW w:w="11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6"/>
                <w:szCs w:val="16"/>
                <w:color w:val="auto"/>
              </w:rPr>
            </w:pPr>
          </w:p>
        </w:tc>
        <w:tc>
          <w:tcPr>
            <w:tcW w:w="11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6"/>
        </w:trPr>
        <w:tc>
          <w:tcPr>
            <w:tcW w:w="518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20,322</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20,253</w:t>
            </w: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3"/>
                <w:szCs w:val="23"/>
                <w:color w:val="auto"/>
                <w:vertAlign w:val="superscript"/>
              </w:rPr>
              <w:t>(3)</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0" w:type="dxa"/>
            <w:vAlign w:val="bottom"/>
          </w:tcPr>
          <w:p>
            <w:pPr>
              <w:spacing w:after="0"/>
              <w:rPr>
                <w:sz w:val="1"/>
                <w:szCs w:val="1"/>
                <w:color w:val="auto"/>
              </w:rPr>
            </w:pPr>
          </w:p>
        </w:tc>
      </w:tr>
      <w:tr>
        <w:trPr>
          <w:trHeight w:val="227"/>
        </w:trPr>
        <w:tc>
          <w:tcPr>
            <w:tcW w:w="5180" w:type="dxa"/>
            <w:vAlign w:val="bottom"/>
            <w:tcBorders>
              <w:bottom w:val="single" w:sz="8" w:color="CFF0FC"/>
            </w:tcBorders>
          </w:tcPr>
          <w:p>
            <w:pPr>
              <w:ind w:left="20"/>
              <w:spacing w:after="0" w:line="226"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325,714</w:t>
            </w:r>
          </w:p>
        </w:tc>
        <w:tc>
          <w:tcPr>
            <w:tcW w:w="0" w:type="dxa"/>
            <w:vAlign w:val="bottom"/>
          </w:tcPr>
          <w:p>
            <w:pPr>
              <w:spacing w:after="0"/>
              <w:rPr>
                <w:sz w:val="1"/>
                <w:szCs w:val="1"/>
                <w:color w:val="auto"/>
              </w:rPr>
            </w:pPr>
          </w:p>
        </w:tc>
      </w:tr>
      <w:tr>
        <w:trPr>
          <w:trHeight w:val="245"/>
        </w:trPr>
        <w:tc>
          <w:tcPr>
            <w:tcW w:w="5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available for sale investments</w:t>
            </w:r>
          </w:p>
        </w:tc>
        <w:tc>
          <w:tcPr>
            <w:tcW w:w="2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382,555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381,965</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6146800</wp:posOffset>
            </wp:positionH>
            <wp:positionV relativeFrom="paragraph">
              <wp:posOffset>-186055</wp:posOffset>
            </wp:positionV>
            <wp:extent cx="679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-186055</wp:posOffset>
            </wp:positionV>
            <wp:extent cx="679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-329565</wp:posOffset>
            </wp:positionV>
            <wp:extent cx="4261485" cy="152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61485" cy="152400"/>
                    </a:xfrm>
                    <a:prstGeom prst="rect">
                      <a:avLst/>
                    </a:prstGeom>
                    <a:noFill/>
                  </pic:spPr>
                </pic:pic>
              </a:graphicData>
            </a:graphic>
          </wp:anchor>
        </w:drawing>
      </w:r>
    </w:p>
    <w:p>
      <w:pPr>
        <w:spacing w:after="0" w:line="95" w:lineRule="exact"/>
        <w:rPr>
          <w:sz w:val="20"/>
          <w:szCs w:val="20"/>
          <w:color w:val="auto"/>
        </w:rPr>
      </w:pPr>
    </w:p>
    <w:p>
      <w:pPr>
        <w:ind w:left="440" w:right="260" w:hanging="393"/>
        <w:spacing w:after="0" w:line="227" w:lineRule="auto"/>
        <w:tabs>
          <w:tab w:leader="none" w:pos="352"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agency securities, $20.3 million have maturity dates of less than one year and $0.0 million have a maturity date of between one to two years as of December 31, 2023.</w:t>
      </w:r>
    </w:p>
    <w:p>
      <w:pPr>
        <w:spacing w:after="0" w:line="7" w:lineRule="exact"/>
        <w:rPr>
          <w:rFonts w:ascii="Times New Roman" w:cs="Times New Roman" w:eastAsia="Times New Roman" w:hAnsi="Times New Roman"/>
          <w:sz w:val="23"/>
          <w:szCs w:val="23"/>
          <w:color w:val="auto"/>
          <w:vertAlign w:val="superscript"/>
        </w:rPr>
      </w:pPr>
    </w:p>
    <w:p>
      <w:pPr>
        <w:ind w:left="440" w:right="20" w:hanging="393"/>
        <w:spacing w:after="0" w:line="227" w:lineRule="auto"/>
        <w:tabs>
          <w:tab w:leader="none" w:pos="319"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certificates of deposit, $0.2 million have a maturity date of less than one year and $0.0 million have a maturity date of between one to two years as of December 31, 2023.</w:t>
      </w:r>
    </w:p>
    <w:p>
      <w:pPr>
        <w:spacing w:after="0" w:line="21" w:lineRule="exact"/>
        <w:rPr>
          <w:rFonts w:ascii="Times New Roman" w:cs="Times New Roman" w:eastAsia="Times New Roman" w:hAnsi="Times New Roman"/>
          <w:sz w:val="23"/>
          <w:szCs w:val="23"/>
          <w:color w:val="auto"/>
          <w:vertAlign w:val="superscript"/>
        </w:rPr>
      </w:pPr>
    </w:p>
    <w:p>
      <w:pPr>
        <w:ind w:left="440" w:right="320" w:hanging="393"/>
        <w:spacing w:after="0" w:line="227" w:lineRule="auto"/>
        <w:tabs>
          <w:tab w:leader="none" w:pos="397"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commercial and corporate obligations, $25.8 million have maturity dates of less than one year and $10.0 million have a maturity date of between one to two years as of December 31, 2023.</w:t>
      </w:r>
    </w:p>
    <w:p>
      <w:pPr>
        <w:spacing w:after="0" w:line="21" w:lineRule="exact"/>
        <w:rPr>
          <w:rFonts w:ascii="Times New Roman" w:cs="Times New Roman" w:eastAsia="Times New Roman" w:hAnsi="Times New Roman"/>
          <w:sz w:val="23"/>
          <w:szCs w:val="23"/>
          <w:color w:val="auto"/>
          <w:vertAlign w:val="superscript"/>
        </w:rPr>
      </w:pPr>
    </w:p>
    <w:p>
      <w:pPr>
        <w:ind w:left="440" w:right="40" w:hanging="393"/>
        <w:spacing w:after="0" w:line="227" w:lineRule="auto"/>
        <w:tabs>
          <w:tab w:leader="none" w:pos="397"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U.S. Treasury securities, $308.6 million have maturity dates of less than one year and $17.1 million have a maturity date of between one to two years as of December 31, 2023.</w:t>
      </w:r>
    </w:p>
    <w:p>
      <w:pPr>
        <w:spacing w:after="0" w:line="195" w:lineRule="exact"/>
        <w:rPr>
          <w:sz w:val="20"/>
          <w:szCs w:val="20"/>
          <w:color w:val="auto"/>
        </w:rPr>
      </w:pPr>
    </w:p>
    <w:p>
      <w:pPr>
        <w:ind w:right="120" w:firstLine="480"/>
        <w:spacing w:after="0" w:line="307" w:lineRule="auto"/>
        <w:rPr>
          <w:sz w:val="20"/>
          <w:szCs w:val="20"/>
          <w:color w:val="auto"/>
        </w:rPr>
      </w:pPr>
      <w:r>
        <w:rPr>
          <w:rFonts w:ascii="Times New Roman" w:cs="Times New Roman" w:eastAsia="Times New Roman" w:hAnsi="Times New Roman"/>
          <w:sz w:val="17"/>
          <w:szCs w:val="17"/>
          <w:color w:val="auto"/>
        </w:rPr>
        <w:t>The following tables present gross unrealized losses and fair values for those investments that were in an unrealized loss position as of September 30, 2024 and December 31, 2023, aggregated by investment category and the length of time that individual securities have been in a continuous loss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2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4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2"/>
                <w:szCs w:val="12"/>
                <w:color w:val="auto"/>
              </w:rPr>
            </w:pPr>
          </w:p>
        </w:tc>
        <w:tc>
          <w:tcPr>
            <w:tcW w:w="820" w:type="dxa"/>
            <w:vAlign w:val="bottom"/>
          </w:tcPr>
          <w:p>
            <w:pPr>
              <w:jc w:val="center"/>
              <w:ind w:left="323"/>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2"/>
                <w:szCs w:val="12"/>
                <w:color w:val="auto"/>
              </w:rPr>
            </w:pPr>
          </w:p>
        </w:tc>
        <w:tc>
          <w:tcPr>
            <w:tcW w:w="800" w:type="dxa"/>
            <w:vAlign w:val="bottom"/>
          </w:tcPr>
          <w:p>
            <w:pPr>
              <w:jc w:val="center"/>
              <w:ind w:left="323"/>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2"/>
                <w:szCs w:val="12"/>
                <w:color w:val="auto"/>
              </w:rPr>
            </w:pPr>
          </w:p>
        </w:tc>
        <w:tc>
          <w:tcPr>
            <w:tcW w:w="1000" w:type="dxa"/>
            <w:vAlign w:val="bottom"/>
          </w:tcPr>
          <w:p>
            <w:pPr>
              <w:jc w:val="center"/>
              <w:ind w:right="214"/>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87"/>
        </w:trPr>
        <w:tc>
          <w:tcPr>
            <w:tcW w:w="2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25"/>
        </w:trPr>
        <w:tc>
          <w:tcPr>
            <w:tcW w:w="2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2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6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4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corporate obligations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66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64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9"/>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5"/>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1"/>
                <w:szCs w:val="11"/>
                <w:color w:val="auto"/>
              </w:rPr>
            </w:pPr>
          </w:p>
        </w:tc>
        <w:tc>
          <w:tcPr>
            <w:tcW w:w="820" w:type="dxa"/>
            <w:vAlign w:val="bottom"/>
          </w:tcPr>
          <w:p>
            <w:pPr>
              <w:jc w:val="center"/>
              <w:ind w:left="343"/>
              <w:spacing w:after="0" w:line="135" w:lineRule="exact"/>
              <w:rPr>
                <w:sz w:val="20"/>
                <w:szCs w:val="20"/>
                <w:color w:val="auto"/>
              </w:rPr>
            </w:pPr>
            <w:r>
              <w:rPr>
                <w:rFonts w:ascii="Times New Roman" w:cs="Times New Roman" w:eastAsia="Times New Roman" w:hAnsi="Times New Roman"/>
                <w:sz w:val="14"/>
                <w:szCs w:val="14"/>
                <w:b w:val="1"/>
                <w:bCs w:val="1"/>
                <w:color w:val="auto"/>
              </w:rPr>
              <w:t>Gross</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1"/>
                <w:szCs w:val="11"/>
                <w:color w:val="auto"/>
              </w:rPr>
            </w:pPr>
          </w:p>
        </w:tc>
        <w:tc>
          <w:tcPr>
            <w:tcW w:w="800" w:type="dxa"/>
            <w:vAlign w:val="bottom"/>
          </w:tcPr>
          <w:p>
            <w:pPr>
              <w:jc w:val="center"/>
              <w:ind w:left="323"/>
              <w:spacing w:after="0" w:line="135" w:lineRule="exact"/>
              <w:rPr>
                <w:sz w:val="20"/>
                <w:szCs w:val="20"/>
                <w:color w:val="auto"/>
              </w:rPr>
            </w:pPr>
            <w:r>
              <w:rPr>
                <w:rFonts w:ascii="Times New Roman" w:cs="Times New Roman" w:eastAsia="Times New Roman" w:hAnsi="Times New Roman"/>
                <w:sz w:val="14"/>
                <w:szCs w:val="14"/>
                <w:b w:val="1"/>
                <w:bCs w:val="1"/>
                <w:color w:val="auto"/>
              </w:rPr>
              <w:t>Gross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1"/>
                <w:szCs w:val="11"/>
                <w:color w:val="auto"/>
              </w:rPr>
            </w:pPr>
          </w:p>
        </w:tc>
        <w:tc>
          <w:tcPr>
            <w:tcW w:w="1000" w:type="dxa"/>
            <w:vAlign w:val="bottom"/>
          </w:tcPr>
          <w:p>
            <w:pPr>
              <w:jc w:val="center"/>
              <w:ind w:right="214"/>
              <w:spacing w:after="0" w:line="13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92"/>
        </w:trPr>
        <w:tc>
          <w:tcPr>
            <w:tcW w:w="2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226"/>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corporate obligations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7"/>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98,840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45"/>
        </w:trPr>
        <w:tc>
          <w:tcPr>
            <w:tcW w:w="2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200" w:firstLine="480"/>
        <w:spacing w:after="0" w:line="257" w:lineRule="auto"/>
        <w:rPr>
          <w:sz w:val="20"/>
          <w:szCs w:val="20"/>
          <w:color w:val="auto"/>
        </w:rPr>
      </w:pPr>
      <w:r>
        <w:rPr>
          <w:rFonts w:ascii="Times New Roman" w:cs="Times New Roman" w:eastAsia="Times New Roman" w:hAnsi="Times New Roman"/>
          <w:sz w:val="18"/>
          <w:szCs w:val="18"/>
          <w:color w:val="auto"/>
        </w:rPr>
        <w:t>As of September 30, 2024 and December 31, 2023, unrealized losses on available-for-sale investments were less than $0.1 million and $0.8 million, respectively, with unrealized losses of less than $0.1 million, on available for sale investments that were in an unrealized loss position for greater than 12 months as of September 30, 2024. We do not intend to sell the investments and it is not more likely than not that we will be required to sell the investments before recovery of their amortized cost basis, accordingly, no allowance for credit losses was recorded.</w:t>
      </w:r>
    </w:p>
    <w:p>
      <w:pPr>
        <w:spacing w:after="0" w:line="284" w:lineRule="exact"/>
        <w:rPr>
          <w:sz w:val="20"/>
          <w:szCs w:val="20"/>
          <w:color w:val="auto"/>
        </w:rPr>
      </w:pPr>
    </w:p>
    <w:p>
      <w:pPr>
        <w:ind w:left="240" w:right="9440" w:hanging="233"/>
        <w:spacing w:after="0" w:line="395" w:lineRule="auto"/>
        <w:tabs>
          <w:tab w:leader="none" w:pos="178"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Common Stock</w:t>
      </w:r>
    </w:p>
    <w:p>
      <w:pPr>
        <w:spacing w:after="0" w:line="1" w:lineRule="exact"/>
        <w:rPr>
          <w:sz w:val="20"/>
          <w:szCs w:val="20"/>
          <w:color w:val="auto"/>
        </w:rPr>
      </w:pPr>
    </w:p>
    <w:p>
      <w:pPr>
        <w:ind w:left="240" w:right="1480" w:firstLine="240"/>
        <w:spacing w:after="0" w:line="371" w:lineRule="auto"/>
        <w:rPr>
          <w:sz w:val="20"/>
          <w:szCs w:val="20"/>
          <w:color w:val="auto"/>
        </w:rPr>
      </w:pPr>
      <w:r>
        <w:rPr>
          <w:rFonts w:ascii="Times New Roman" w:cs="Times New Roman" w:eastAsia="Times New Roman" w:hAnsi="Times New Roman"/>
          <w:sz w:val="18"/>
          <w:szCs w:val="18"/>
          <w:color w:val="auto"/>
        </w:rPr>
        <w:t xml:space="preserve">Of the 500,000,000 shares of common stock authorized, 30,428,682 shares were issued and outstanding as of September 30, 2024. </w:t>
      </w:r>
      <w:r>
        <w:rPr>
          <w:rFonts w:ascii="Times New Roman" w:cs="Times New Roman" w:eastAsia="Times New Roman" w:hAnsi="Times New Roman"/>
          <w:sz w:val="18"/>
          <w:szCs w:val="18"/>
          <w:b w:val="1"/>
          <w:bCs w:val="1"/>
          <w:i w:val="1"/>
          <w:iCs w:val="1"/>
          <w:color w:val="auto"/>
        </w:rPr>
        <w:t>Stock Repurchase Program</w:t>
      </w:r>
    </w:p>
    <w:p>
      <w:pPr>
        <w:spacing w:after="0" w:line="1" w:lineRule="exact"/>
        <w:rPr>
          <w:sz w:val="20"/>
          <w:szCs w:val="20"/>
          <w:color w:val="auto"/>
        </w:rPr>
      </w:pPr>
    </w:p>
    <w:p>
      <w:pPr>
        <w:ind w:right="80" w:firstLine="560"/>
        <w:spacing w:after="0" w:line="277" w:lineRule="auto"/>
        <w:rPr>
          <w:sz w:val="20"/>
          <w:szCs w:val="20"/>
          <w:color w:val="auto"/>
        </w:rPr>
      </w:pPr>
      <w:r>
        <w:rPr>
          <w:rFonts w:ascii="Times New Roman" w:cs="Times New Roman" w:eastAsia="Times New Roman" w:hAnsi="Times New Roman"/>
          <w:sz w:val="18"/>
          <w:szCs w:val="18"/>
          <w:color w:val="auto"/>
        </w:rPr>
        <w:t>In January 2023, our Board of Directors authorized a stock repurchase program (the “Repurchase Program”) to repurchase up to $50.0 million of our outstanding common stock. The Repurchase Program was completed in May 2023.</w:t>
      </w:r>
    </w:p>
    <w:p>
      <w:pPr>
        <w:spacing w:after="0" w:line="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repurchase activity from January 1, 2023 through May 5, 2023, the end date of the Repurchase Program:</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70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7"/>
        </w:trPr>
        <w:tc>
          <w:tcPr>
            <w:tcW w:w="594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ind w:right="178"/>
              <w:spacing w:after="0" w:line="147" w:lineRule="exact"/>
              <w:rPr>
                <w:sz w:val="20"/>
                <w:szCs w:val="20"/>
                <w:color w:val="auto"/>
              </w:rPr>
            </w:pPr>
            <w:r>
              <w:rPr>
                <w:rFonts w:ascii="Times New Roman" w:cs="Times New Roman" w:eastAsia="Times New Roman" w:hAnsi="Times New Roman"/>
                <w:sz w:val="14"/>
                <w:szCs w:val="14"/>
                <w:b w:val="1"/>
                <w:bCs w:val="1"/>
                <w:color w:val="auto"/>
              </w:rPr>
              <w:t>of shares purchased</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170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6"/>
                <w:szCs w:val="16"/>
                <w:color w:val="auto"/>
              </w:rPr>
            </w:pPr>
          </w:p>
        </w:tc>
        <w:tc>
          <w:tcPr>
            <w:tcW w:w="15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6"/>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2023</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1,589,424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38,456</w:t>
            </w:r>
          </w:p>
        </w:tc>
        <w:tc>
          <w:tcPr>
            <w:tcW w:w="0" w:type="dxa"/>
            <w:vAlign w:val="bottom"/>
          </w:tcPr>
          <w:p>
            <w:pPr>
              <w:spacing w:after="0"/>
              <w:rPr>
                <w:sz w:val="1"/>
                <w:szCs w:val="1"/>
                <w:color w:val="auto"/>
              </w:rPr>
            </w:pPr>
          </w:p>
        </w:tc>
      </w:tr>
      <w:tr>
        <w:trPr>
          <w:trHeight w:val="22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Second Quarter 2023</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0" w:type="dxa"/>
            <w:vAlign w:val="bottom"/>
          </w:tcPr>
          <w:p>
            <w:pPr>
              <w:spacing w:after="0"/>
              <w:rPr>
                <w:sz w:val="1"/>
                <w:szCs w:val="1"/>
                <w:color w:val="auto"/>
              </w:rPr>
            </w:pPr>
          </w:p>
        </w:tc>
      </w:tr>
      <w:tr>
        <w:trPr>
          <w:trHeight w:val="245"/>
        </w:trPr>
        <w:tc>
          <w:tcPr>
            <w:tcW w:w="5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2,124,214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400" w:firstLine="560"/>
        <w:spacing w:after="0" w:line="277" w:lineRule="auto"/>
        <w:rPr>
          <w:sz w:val="20"/>
          <w:szCs w:val="20"/>
          <w:color w:val="auto"/>
        </w:rPr>
      </w:pPr>
      <w:r>
        <w:rPr>
          <w:rFonts w:ascii="Times New Roman" w:cs="Times New Roman" w:eastAsia="Times New Roman" w:hAnsi="Times New Roman"/>
          <w:sz w:val="18"/>
          <w:szCs w:val="18"/>
          <w:color w:val="auto"/>
        </w:rPr>
        <w:t>The repurchased common stock was subsequently retired after the repurchase and the par value of the shares was charged to common stock. The excess of the repurchase price over the par value was applied against additional paid 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Sales Agreement</w:t>
      </w:r>
    </w:p>
    <w:p>
      <w:pPr>
        <w:spacing w:after="0" w:line="117" w:lineRule="exact"/>
        <w:rPr>
          <w:sz w:val="20"/>
          <w:szCs w:val="20"/>
          <w:color w:val="auto"/>
        </w:rPr>
      </w:pPr>
    </w:p>
    <w:p>
      <w:pPr>
        <w:ind w:firstLine="560"/>
        <w:spacing w:after="0" w:line="262" w:lineRule="auto"/>
        <w:rPr>
          <w:sz w:val="20"/>
          <w:szCs w:val="20"/>
          <w:color w:val="auto"/>
        </w:rPr>
      </w:pPr>
      <w:r>
        <w:rPr>
          <w:rFonts w:ascii="Times New Roman" w:cs="Times New Roman" w:eastAsia="Times New Roman" w:hAnsi="Times New Roman"/>
          <w:sz w:val="18"/>
          <w:szCs w:val="18"/>
          <w:color w:val="auto"/>
        </w:rPr>
        <w:t>In November 2022, we entered into a sales agreement with Cowen and Company, LLC (“Cowen”), through which we may offer and sell shares of our common stock, having an aggregate offering of up to $150.0 million through Cowen as our sales agent. As of September 30, 2024, we had sold no shares under this agreement.</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17"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In August 2024, we entered into an underwriting agreement with TD Securities (USA) LLC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Incentive Plans</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117"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were to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1,063,871 shares as of January 1, 2024. At our annual stockholder meeting on June 12, 2024, the 2017 Plan was amended, eliminating the automatic annual share increase and the number of shares available for issuance was increased by 2,700,000 shares. All future share increases will require stockholder approval. As of September 30, 2024, 3,067,332 shares were available for future issuance.</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17"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In January 2017, our Board of Directors and stockholders approved and adopted the 2017 Employee Stock Purchase Plan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265,967 shares as of January 1, 2024. As of September 30, 2024, 151,842 shares have been issued under the ESPP and 1,946,965 shares were available for future issuance.</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7" w:lineRule="exact"/>
        <w:rPr>
          <w:sz w:val="20"/>
          <w:szCs w:val="20"/>
          <w:color w:val="auto"/>
        </w:rPr>
      </w:pPr>
    </w:p>
    <w:p>
      <w:pPr>
        <w:jc w:val="both"/>
        <w:ind w:right="60" w:firstLine="480"/>
        <w:spacing w:after="0" w:line="284" w:lineRule="auto"/>
        <w:rPr>
          <w:sz w:val="20"/>
          <w:szCs w:val="20"/>
          <w:color w:val="auto"/>
        </w:rPr>
      </w:pPr>
      <w:r>
        <w:rPr>
          <w:rFonts w:ascii="Times New Roman" w:cs="Times New Roman" w:eastAsia="Times New Roman" w:hAnsi="Times New Roman"/>
          <w:sz w:val="17"/>
          <w:szCs w:val="17"/>
          <w:color w:val="auto"/>
        </w:rPr>
        <w:t>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nine months ended September 30, 2024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3"/>
                <w:szCs w:val="13"/>
                <w:color w:val="auto"/>
              </w:rPr>
            </w:pPr>
          </w:p>
        </w:tc>
        <w:tc>
          <w:tcPr>
            <w:tcW w:w="126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0"/>
        </w:trPr>
        <w:tc>
          <w:tcPr>
            <w:tcW w:w="47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3"/>
                <w:szCs w:val="13"/>
                <w:color w:val="auto"/>
              </w:rPr>
            </w:pPr>
          </w:p>
        </w:tc>
        <w:tc>
          <w:tcPr>
            <w:tcW w:w="126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0"/>
        </w:trPr>
        <w:tc>
          <w:tcPr>
            <w:tcW w:w="47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80" w:type="dxa"/>
            <w:vAlign w:val="bottom"/>
          </w:tcPr>
          <w:p>
            <w:pPr>
              <w:spacing w:after="0"/>
              <w:rPr>
                <w:sz w:val="13"/>
                <w:szCs w:val="13"/>
                <w:color w:val="auto"/>
              </w:rPr>
            </w:pPr>
          </w:p>
        </w:tc>
        <w:tc>
          <w:tcPr>
            <w:tcW w:w="126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Pr>
          <w:p>
            <w:pPr>
              <w:spacing w:after="0"/>
              <w:rPr>
                <w:sz w:val="16"/>
                <w:szCs w:val="16"/>
                <w:color w:val="auto"/>
              </w:rPr>
            </w:pPr>
          </w:p>
        </w:tc>
        <w:tc>
          <w:tcPr>
            <w:tcW w:w="126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5"/>
        </w:trPr>
        <w:tc>
          <w:tcPr>
            <w:tcW w:w="47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2,228,915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 and cancellations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(225,904)</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5,957,416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0" w:type="dxa"/>
            <w:vAlign w:val="bottom"/>
          </w:tcPr>
          <w:p>
            <w:pPr>
              <w:spacing w:after="0" w:line="20" w:lineRule="exact"/>
              <w:rPr>
                <w:sz w:val="1"/>
                <w:szCs w:val="1"/>
                <w:color w:val="auto"/>
              </w:rPr>
            </w:pPr>
          </w:p>
        </w:tc>
      </w:tr>
      <w:tr>
        <w:trPr>
          <w:trHeight w:val="206"/>
        </w:trPr>
        <w:tc>
          <w:tcPr>
            <w:tcW w:w="4780" w:type="dxa"/>
            <w:vAlign w:val="bottom"/>
            <w:vMerge w:val="continue"/>
          </w:tcPr>
          <w:p>
            <w:pPr>
              <w:spacing w:after="0"/>
              <w:rPr>
                <w:sz w:val="17"/>
                <w:szCs w:val="17"/>
                <w:color w:val="auto"/>
              </w:rPr>
            </w:pPr>
          </w:p>
        </w:tc>
        <w:tc>
          <w:tcPr>
            <w:tcW w:w="15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2,648,111</w:t>
            </w:r>
          </w:p>
        </w:tc>
        <w:tc>
          <w:tcPr>
            <w:tcW w:w="26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40" w:right="1140"/>
        <w:spacing w:after="0" w:line="379" w:lineRule="auto"/>
        <w:rPr>
          <w:sz w:val="20"/>
          <w:szCs w:val="20"/>
          <w:color w:val="auto"/>
        </w:rPr>
      </w:pPr>
      <w:r>
        <w:rPr>
          <w:rFonts w:ascii="Times New Roman" w:cs="Times New Roman" w:eastAsia="Times New Roman" w:hAnsi="Times New Roman"/>
          <w:sz w:val="18"/>
          <w:szCs w:val="18"/>
          <w:color w:val="auto"/>
        </w:rPr>
        <w:t xml:space="preserve">Total cash received from the exercise of stock options was approximately $5.3 million during the nine months ended September 30, 2024. </w:t>
      </w:r>
      <w:r>
        <w:rPr>
          <w:rFonts w:ascii="Times New Roman" w:cs="Times New Roman" w:eastAsia="Times New Roman" w:hAnsi="Times New Roman"/>
          <w:sz w:val="18"/>
          <w:szCs w:val="18"/>
          <w:b w:val="1"/>
          <w:bCs w:val="1"/>
          <w:i w:val="1"/>
          <w:iCs w:val="1"/>
          <w:color w:val="auto"/>
        </w:rPr>
        <w:t>Time-Based Restricted Stock Units</w:t>
      </w:r>
    </w:p>
    <w:p>
      <w:pPr>
        <w:ind w:right="180" w:firstLine="480"/>
        <w:spacing w:after="0" w:line="257" w:lineRule="auto"/>
        <w:rPr>
          <w:sz w:val="20"/>
          <w:szCs w:val="20"/>
          <w:color w:val="auto"/>
        </w:rPr>
      </w:pPr>
      <w:r>
        <w:rPr>
          <w:rFonts w:ascii="Times New Roman" w:cs="Times New Roman" w:eastAsia="Times New Roman" w:hAnsi="Times New Roman"/>
          <w:sz w:val="18"/>
          <w:szCs w:val="18"/>
          <w:color w:val="auto"/>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6"/>
                <w:szCs w:val="16"/>
                <w:color w:val="auto"/>
              </w:rPr>
            </w:pPr>
          </w:p>
        </w:tc>
        <w:tc>
          <w:tcPr>
            <w:tcW w:w="118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514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2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180" w:type="dxa"/>
            <w:vAlign w:val="bottom"/>
          </w:tcPr>
          <w:p>
            <w:pPr>
              <w:jc w:val="center"/>
              <w:ind w:right="181"/>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7"/>
        </w:trPr>
        <w:tc>
          <w:tcPr>
            <w:tcW w:w="5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2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Pr>
          <w:p>
            <w:pPr>
              <w:spacing w:after="0"/>
              <w:rPr>
                <w:sz w:val="12"/>
                <w:szCs w:val="12"/>
                <w:color w:val="auto"/>
              </w:rPr>
            </w:pPr>
          </w:p>
        </w:tc>
        <w:tc>
          <w:tcPr>
            <w:tcW w:w="1180" w:type="dxa"/>
            <w:vAlign w:val="bottom"/>
          </w:tcPr>
          <w:p>
            <w:pPr>
              <w:jc w:val="center"/>
              <w:ind w:right="181"/>
              <w:spacing w:after="0" w:line="147"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94"/>
        </w:trPr>
        <w:tc>
          <w:tcPr>
            <w:tcW w:w="5140" w:type="dxa"/>
            <w:vAlign w:val="bottom"/>
          </w:tcPr>
          <w:p>
            <w:pPr>
              <w:spacing w:after="0"/>
              <w:rPr>
                <w:sz w:val="16"/>
                <w:szCs w:val="16"/>
                <w:color w:val="auto"/>
              </w:rPr>
            </w:pP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6"/>
                <w:szCs w:val="16"/>
                <w:color w:val="auto"/>
              </w:rPr>
            </w:pPr>
          </w:p>
        </w:tc>
        <w:tc>
          <w:tcPr>
            <w:tcW w:w="118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6"/>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31,735</w:t>
            </w:r>
          </w:p>
        </w:tc>
        <w:tc>
          <w:tcPr>
            <w:tcW w:w="0" w:type="dxa"/>
            <w:vAlign w:val="bottom"/>
          </w:tcPr>
          <w:p>
            <w:pPr>
              <w:spacing w:after="0"/>
              <w:rPr>
                <w:sz w:val="1"/>
                <w:szCs w:val="1"/>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811,166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(1,103,808)</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 and cancellations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1,180,583</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39,550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RSU expected to vest at September 30, 2024</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39,550</w:t>
            </w:r>
          </w:p>
        </w:tc>
        <w:tc>
          <w:tcPr>
            <w:tcW w:w="0" w:type="dxa"/>
            <w:vAlign w:val="bottom"/>
          </w:tcPr>
          <w:p>
            <w:pPr>
              <w:spacing w:after="0" w:line="20" w:lineRule="exact"/>
              <w:rPr>
                <w:sz w:val="1"/>
                <w:szCs w:val="1"/>
                <w:color w:val="auto"/>
              </w:rPr>
            </w:pPr>
          </w:p>
        </w:tc>
      </w:tr>
      <w:tr>
        <w:trPr>
          <w:trHeight w:val="206"/>
        </w:trPr>
        <w:tc>
          <w:tcPr>
            <w:tcW w:w="5140" w:type="dxa"/>
            <w:vAlign w:val="bottom"/>
            <w:vMerge w:val="continue"/>
          </w:tcPr>
          <w:p>
            <w:pPr>
              <w:spacing w:after="0"/>
              <w:rPr>
                <w:sz w:val="17"/>
                <w:szCs w:val="17"/>
                <w:color w:val="auto"/>
              </w:rPr>
            </w:pPr>
          </w:p>
        </w:tc>
        <w:tc>
          <w:tcPr>
            <w:tcW w:w="14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1,180,583</w:t>
            </w:r>
          </w:p>
        </w:tc>
        <w:tc>
          <w:tcPr>
            <w:tcW w:w="240" w:type="dxa"/>
            <w:vAlign w:val="bottom"/>
            <w:gridSpan w:val="2"/>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17"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A Performance Stock Unit (“PSU”) represents one equivalent share of our common stock to be issued after achievement of the performance metrics specified in the grant. The fair value of our PSUs is estimated as of the grant date of July 22, 2024, based upon the expected achievement of the performance metrics specified in the grant and the closing market price of our common stock on the date of grant. The grant date fair value is estimated using a Monte Carlo simulation using the following assumptions:</w:t>
      </w:r>
    </w:p>
    <w:p>
      <w:pPr>
        <w:spacing w:after="0" w:line="108"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4"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12065</wp:posOffset>
            </wp:positionV>
            <wp:extent cx="15589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58925" cy="8255"/>
                    </a:xfrm>
                    <a:prstGeom prst="rect">
                      <a:avLst/>
                    </a:prstGeom>
                    <a:noFill/>
                  </pic:spPr>
                </pic:pic>
              </a:graphicData>
            </a:graphic>
          </wp:anchor>
        </w:drawing>
      </w:r>
    </w:p>
    <w:p>
      <w:pPr>
        <w:spacing w:after="0" w:line="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30" w:lineRule="exact"/>
        <w:rPr>
          <w:sz w:val="20"/>
          <w:szCs w:val="20"/>
          <w:color w:val="auto"/>
        </w:rPr>
      </w:pPr>
    </w:p>
    <w:tbl>
      <w:tblPr>
        <w:tblLayout w:type="fixed"/>
        <w:tblInd w:w="2020" w:type="dxa"/>
        <w:tblCellMar>
          <w:top w:w="0" w:type="dxa"/>
          <w:left w:w="0" w:type="dxa"/>
          <w:bottom w:w="0" w:type="dxa"/>
          <w:right w:w="0" w:type="dxa"/>
        </w:tblCellMar>
      </w:tblPr>
      <w:tr>
        <w:trPr>
          <w:trHeight w:val="240"/>
        </w:trPr>
        <w:tc>
          <w:tcPr>
            <w:tcW w:w="47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Volatility of common stock</w:t>
            </w:r>
          </w:p>
        </w:tc>
        <w:tc>
          <w:tcPr>
            <w:tcW w:w="2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term (in years)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176" w:lineRule="exact"/>
        <w:rPr>
          <w:sz w:val="20"/>
          <w:szCs w:val="20"/>
          <w:color w:val="auto"/>
        </w:rPr>
      </w:pPr>
    </w:p>
    <w:p>
      <w:pPr>
        <w:ind w:right="120" w:firstLine="240"/>
        <w:spacing w:after="0" w:line="262" w:lineRule="auto"/>
        <w:rPr>
          <w:sz w:val="20"/>
          <w:szCs w:val="20"/>
          <w:color w:val="auto"/>
        </w:rPr>
      </w:pPr>
      <w:r>
        <w:rPr>
          <w:rFonts w:ascii="Times New Roman" w:cs="Times New Roman" w:eastAsia="Times New Roman" w:hAnsi="Times New Roman"/>
          <w:sz w:val="18"/>
          <w:szCs w:val="18"/>
          <w:color w:val="auto"/>
        </w:rPr>
        <w:t>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 The requisite service period over which the compensation expense will be recognized is July 22, 2024 through July 1, 2028.</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a summary of activity with respect to our PSUs:</w:t>
      </w:r>
    </w:p>
    <w:p>
      <w:pPr>
        <w:spacing w:after="0" w:line="13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1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Number of Performance Stock</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 Grant Date</w:t>
            </w:r>
          </w:p>
        </w:tc>
        <w:tc>
          <w:tcPr>
            <w:tcW w:w="2000" w:type="dxa"/>
            <w:vAlign w:val="bottom"/>
          </w:tcPr>
          <w:p>
            <w:pPr>
              <w:jc w:val="center"/>
              <w:ind w:left="63"/>
              <w:spacing w:after="0"/>
              <w:rPr>
                <w:sz w:val="20"/>
                <w:szCs w:val="20"/>
                <w:color w:val="auto"/>
              </w:rPr>
            </w:pPr>
            <w:r>
              <w:rPr>
                <w:rFonts w:ascii="Times New Roman" w:cs="Times New Roman" w:eastAsia="Times New Roman" w:hAnsi="Times New Roman"/>
                <w:sz w:val="14"/>
                <w:szCs w:val="14"/>
                <w:b w:val="1"/>
                <w:bCs w:val="1"/>
                <w:color w:val="auto"/>
              </w:rPr>
              <w:t>Weighted-Average Remaining</w:t>
            </w:r>
          </w:p>
        </w:tc>
      </w:tr>
      <w:tr>
        <w:trPr>
          <w:trHeight w:val="192"/>
        </w:trPr>
        <w:tc>
          <w:tcPr>
            <w:tcW w:w="4620" w:type="dxa"/>
            <w:vAlign w:val="bottom"/>
          </w:tcPr>
          <w:p>
            <w:pPr>
              <w:spacing w:after="0"/>
              <w:rPr>
                <w:sz w:val="16"/>
                <w:szCs w:val="16"/>
                <w:color w:val="auto"/>
              </w:rPr>
            </w:pPr>
          </w:p>
        </w:tc>
        <w:tc>
          <w:tcPr>
            <w:tcW w:w="2140" w:type="dxa"/>
            <w:vAlign w:val="bottom"/>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0" w:type="dxa"/>
            <w:vAlign w:val="bottom"/>
          </w:tcPr>
          <w:p>
            <w:pPr>
              <w:jc w:val="center"/>
              <w:ind w:left="63"/>
              <w:spacing w:after="0"/>
              <w:rPr>
                <w:sz w:val="20"/>
                <w:szCs w:val="20"/>
                <w:color w:val="auto"/>
              </w:rPr>
            </w:pPr>
            <w:r>
              <w:rPr>
                <w:rFonts w:ascii="Times New Roman" w:cs="Times New Roman" w:eastAsia="Times New Roman" w:hAnsi="Times New Roman"/>
                <w:sz w:val="14"/>
                <w:szCs w:val="14"/>
                <w:b w:val="1"/>
                <w:bCs w:val="1"/>
                <w:color w:val="auto"/>
              </w:rPr>
              <w:t>Contractual Term (in years)</w:t>
            </w:r>
          </w:p>
        </w:tc>
      </w:tr>
      <w:tr>
        <w:trPr>
          <w:trHeight w:val="226"/>
        </w:trPr>
        <w:tc>
          <w:tcPr>
            <w:tcW w:w="46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r>
      <w:tr>
        <w:trPr>
          <w:trHeight w:val="22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spacing w:after="0"/>
              <w:rPr>
                <w:sz w:val="19"/>
                <w:szCs w:val="19"/>
                <w:color w:val="auto"/>
              </w:rPr>
            </w:pPr>
          </w:p>
        </w:tc>
      </w:tr>
      <w:tr>
        <w:trPr>
          <w:trHeight w:val="227"/>
        </w:trPr>
        <w:tc>
          <w:tcPr>
            <w:tcW w:w="46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tcPr>
          <w:p>
            <w:pPr>
              <w:spacing w:after="0"/>
              <w:rPr>
                <w:sz w:val="19"/>
                <w:szCs w:val="19"/>
                <w:color w:val="auto"/>
              </w:rPr>
            </w:pPr>
          </w:p>
        </w:tc>
      </w:tr>
      <w:tr>
        <w:trPr>
          <w:trHeight w:val="245"/>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511,000</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Borders>
              <w:bottom w:val="single" w:sz="8" w:color="CFF0FC"/>
            </w:tcBorders>
            <w:shd w:val="clear" w:color="auto" w:fill="CFF0FC"/>
          </w:tcPr>
          <w:p>
            <w:pPr>
              <w:spacing w:after="0"/>
              <w:rPr>
                <w:sz w:val="20"/>
                <w:szCs w:val="20"/>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r>
    </w:tbl>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17" w:lineRule="exact"/>
        <w:rPr>
          <w:sz w:val="20"/>
          <w:szCs w:val="20"/>
          <w:color w:val="auto"/>
        </w:rPr>
      </w:pPr>
    </w:p>
    <w:p>
      <w:pPr>
        <w:ind w:right="200" w:firstLine="480"/>
        <w:spacing w:after="0" w:line="253" w:lineRule="auto"/>
        <w:rPr>
          <w:sz w:val="20"/>
          <w:szCs w:val="20"/>
          <w:color w:val="auto"/>
        </w:rPr>
      </w:pPr>
      <w:r>
        <w:rPr>
          <w:rFonts w:ascii="Times New Roman" w:cs="Times New Roman" w:eastAsia="Times New Roman" w:hAnsi="Times New Roman"/>
          <w:sz w:val="18"/>
          <w:szCs w:val="18"/>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were determined on the date of grant using the Black-Scholes option valuation model with the following weighted-average assumptions:</w:t>
      </w:r>
    </w:p>
    <w:p>
      <w:pPr>
        <w:spacing w:after="0" w:line="89"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80" w:type="dxa"/>
            <w:vAlign w:val="bottom"/>
            <w:tcBorders>
              <w:bottom w:val="single" w:sz="8" w:color="CFF0FC"/>
            </w:tcBorders>
          </w:tcPr>
          <w:p>
            <w:pPr>
              <w:spacing w:after="0"/>
              <w:rPr>
                <w:sz w:val="17"/>
                <w:szCs w:val="17"/>
                <w:color w:val="auto"/>
              </w:rPr>
            </w:pPr>
          </w:p>
        </w:tc>
        <w:tc>
          <w:tcPr>
            <w:tcW w:w="11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auto"/>
            </w:tcBorders>
          </w:tcPr>
          <w:p>
            <w:pPr>
              <w:spacing w:after="0"/>
              <w:rPr>
                <w:sz w:val="17"/>
                <w:szCs w:val="17"/>
                <w:color w:val="auto"/>
              </w:rPr>
            </w:pPr>
          </w:p>
        </w:tc>
      </w:tr>
      <w:tr>
        <w:trPr>
          <w:trHeight w:val="22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shd w:val="clear" w:color="auto" w:fill="CFF0FC"/>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shd w:val="clear" w:color="auto" w:fill="CFF0FC"/>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tcPr>
          <w:p>
            <w:pPr>
              <w:spacing w:after="0"/>
              <w:rPr>
                <w:sz w:val="19"/>
                <w:szCs w:val="19"/>
                <w:color w:val="auto"/>
              </w:rPr>
            </w:pPr>
          </w:p>
        </w:tc>
      </w:tr>
      <w:tr>
        <w:trPr>
          <w:trHeight w:val="22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per share</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15.59</w:t>
            </w:r>
          </w:p>
        </w:tc>
        <w:tc>
          <w:tcPr>
            <w:tcW w:w="8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16.31</w:t>
            </w:r>
          </w:p>
        </w:tc>
        <w:tc>
          <w:tcPr>
            <w:tcW w:w="240" w:type="dxa"/>
            <w:vAlign w:val="bottom"/>
            <w:shd w:val="clear" w:color="auto" w:fill="CFF0FC"/>
          </w:tcPr>
          <w:p>
            <w:pPr>
              <w:spacing w:after="0"/>
              <w:rPr>
                <w:sz w:val="19"/>
                <w:szCs w:val="19"/>
                <w:color w:val="auto"/>
              </w:rPr>
            </w:pPr>
          </w:p>
        </w:tc>
      </w:tr>
    </w:tbl>
    <w:p>
      <w:pPr>
        <w:spacing w:after="0" w:line="275" w:lineRule="exact"/>
        <w:rPr>
          <w:sz w:val="20"/>
          <w:szCs w:val="20"/>
          <w:color w:val="auto"/>
        </w:rPr>
      </w:pPr>
    </w:p>
    <w:p>
      <w:pPr>
        <w:ind w:right="180" w:firstLine="480"/>
        <w:spacing w:after="0" w:line="254" w:lineRule="auto"/>
        <w:rPr>
          <w:sz w:val="20"/>
          <w:szCs w:val="20"/>
          <w:color w:val="auto"/>
        </w:rPr>
      </w:pPr>
      <w:r>
        <w:rPr>
          <w:rFonts w:ascii="Times New Roman" w:cs="Times New Roman" w:eastAsia="Times New Roman" w:hAnsi="Times New Roman"/>
          <w:sz w:val="18"/>
          <w:szCs w:val="18"/>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1" w:name="page22"/>
    <w:bookmarkEnd w:id="21"/>
    <w:p>
      <w:pPr>
        <w:spacing w:after="0" w:line="283" w:lineRule="exact"/>
        <w:rPr>
          <w:sz w:val="20"/>
          <w:szCs w:val="20"/>
          <w:color w:val="auto"/>
        </w:rPr>
      </w:pPr>
    </w:p>
    <w:p>
      <w:pPr>
        <w:ind w:right="800" w:firstLine="480"/>
        <w:spacing w:after="0" w:line="277" w:lineRule="auto"/>
        <w:rPr>
          <w:sz w:val="20"/>
          <w:szCs w:val="20"/>
          <w:color w:val="auto"/>
        </w:rPr>
      </w:pPr>
      <w:r>
        <w:rPr>
          <w:rFonts w:ascii="Times New Roman" w:cs="Times New Roman" w:eastAsia="Times New Roman" w:hAnsi="Times New Roman"/>
          <w:sz w:val="18"/>
          <w:szCs w:val="18"/>
          <w:color w:val="auto"/>
        </w:rPr>
        <w:t>Total non-cash stock-based compensation expense for all stock awards that was recognized in the consolidated statements of operations and comprehensive loss is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2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93"/>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193"/>
        </w:trPr>
        <w:tc>
          <w:tcPr>
            <w:tcW w:w="50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r>
      <w:tr>
        <w:trPr>
          <w:trHeight w:val="22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360" w:type="dxa"/>
            <w:vAlign w:val="bottom"/>
            <w:shd w:val="clear" w:color="auto" w:fill="CFF0FC"/>
          </w:tcPr>
          <w:p>
            <w:pPr>
              <w:spacing w:after="0"/>
              <w:rPr>
                <w:sz w:val="19"/>
                <w:szCs w:val="19"/>
                <w:color w:val="auto"/>
              </w:rPr>
            </w:pPr>
          </w:p>
        </w:tc>
      </w:tr>
      <w:tr>
        <w:trPr>
          <w:trHeight w:val="227"/>
        </w:trPr>
        <w:tc>
          <w:tcPr>
            <w:tcW w:w="50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3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14,917</w:t>
            </w:r>
          </w:p>
        </w:tc>
        <w:tc>
          <w:tcPr>
            <w:tcW w:w="4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17,419</w:t>
            </w:r>
          </w:p>
        </w:tc>
        <w:tc>
          <w:tcPr>
            <w:tcW w:w="3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rPr>
              <w:t>(3)</w:t>
            </w:r>
          </w:p>
        </w:tc>
      </w:tr>
      <w:tr>
        <w:trPr>
          <w:trHeight w:val="245"/>
        </w:trPr>
        <w:tc>
          <w:tcPr>
            <w:tcW w:w="50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1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3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4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360" w:type="dxa"/>
            <w:vAlign w:val="bottom"/>
            <w:tcBorders>
              <w:bottom w:val="single" w:sz="8" w:color="auto"/>
            </w:tcBorders>
            <w:shd w:val="clear" w:color="auto" w:fill="CFF0FC"/>
          </w:tcPr>
          <w:p>
            <w:pPr>
              <w:spacing w:after="0"/>
              <w:rPr>
                <w:sz w:val="20"/>
                <w:szCs w:val="20"/>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280" w:hanging="233"/>
        <w:spacing w:after="0"/>
        <w:tabs>
          <w:tab w:leader="none" w:pos="2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$2.9 million related to two year RSU initially issued to our Chief Executive Officer in March 2022 and now fully recognized.</w:t>
      </w:r>
    </w:p>
    <w:p>
      <w:pPr>
        <w:spacing w:after="0" w:line="27" w:lineRule="exact"/>
        <w:rPr>
          <w:rFonts w:ascii="Times New Roman" w:cs="Times New Roman" w:eastAsia="Times New Roman" w:hAnsi="Times New Roman"/>
          <w:sz w:val="23"/>
          <w:szCs w:val="23"/>
          <w:color w:val="auto"/>
          <w:vertAlign w:val="superscript"/>
        </w:rPr>
      </w:pPr>
    </w:p>
    <w:p>
      <w:pPr>
        <w:ind w:left="300" w:hanging="253"/>
        <w:spacing w:after="0" w:line="192" w:lineRule="auto"/>
        <w:tabs>
          <w:tab w:leader="none" w:pos="30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$2.6 million related to two year RSU initially issued to our Chief Executive Officer in March 2022 and now fully recognized.</w:t>
      </w:r>
    </w:p>
    <w:p>
      <w:pPr>
        <w:spacing w:after="0" w:line="41" w:lineRule="exact"/>
        <w:rPr>
          <w:rFonts w:ascii="Times New Roman" w:cs="Times New Roman" w:eastAsia="Times New Roman" w:hAnsi="Times New Roman"/>
          <w:sz w:val="23"/>
          <w:szCs w:val="23"/>
          <w:color w:val="auto"/>
          <w:vertAlign w:val="superscript"/>
        </w:rPr>
      </w:pPr>
    </w:p>
    <w:p>
      <w:pPr>
        <w:ind w:left="300" w:hanging="253"/>
        <w:spacing w:after="0" w:line="192" w:lineRule="auto"/>
        <w:tabs>
          <w:tab w:leader="none" w:pos="30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$5.8 million related to two year RSU initially issued to our Chief Executive Officer in March 2022 and now fully recognized.</w:t>
      </w:r>
    </w:p>
    <w:p>
      <w:pPr>
        <w:spacing w:after="0" w:line="89" w:lineRule="exact"/>
        <w:rPr>
          <w:sz w:val="20"/>
          <w:szCs w:val="20"/>
          <w:color w:val="auto"/>
        </w:rPr>
      </w:pPr>
    </w:p>
    <w:p>
      <w:pPr>
        <w:ind w:right="160" w:firstLine="480"/>
        <w:spacing w:after="0" w:line="254" w:lineRule="auto"/>
        <w:rPr>
          <w:sz w:val="20"/>
          <w:szCs w:val="20"/>
          <w:color w:val="auto"/>
        </w:rPr>
      </w:pPr>
      <w:r>
        <w:rPr>
          <w:rFonts w:ascii="Times New Roman" w:cs="Times New Roman" w:eastAsia="Times New Roman" w:hAnsi="Times New Roman"/>
          <w:sz w:val="18"/>
          <w:szCs w:val="18"/>
          <w:color w:val="auto"/>
        </w:rPr>
        <w:t>At September 30, 2024, there was $47.5 million of unrecognized compensation cost related to unvested stock option awards, which is expected to be recognized over a remaining weighted-average vesting period of 2.87 years, $21.0 million of unrecognized cost related to unvested RSU awards, which is expected to be recognized over a period of 2.95 years, $12.0 million of unrecognized cost related to unvested PSU awards, which is expected to be recognized over a period of 3.75 years, and $0.1 million of unrecognized compensation cost related to the ESPP, which is expected to be recognized over a remaining weighted-average vesting period of 0.13 years.</w:t>
      </w:r>
    </w:p>
    <w:p>
      <w:pPr>
        <w:spacing w:after="0" w:line="288" w:lineRule="exact"/>
        <w:rPr>
          <w:sz w:val="20"/>
          <w:szCs w:val="20"/>
          <w:color w:val="auto"/>
        </w:rPr>
      </w:pPr>
    </w:p>
    <w:p>
      <w:pPr>
        <w:ind w:left="280" w:right="8540" w:hanging="273"/>
        <w:spacing w:after="0" w:line="395" w:lineRule="auto"/>
        <w:tabs>
          <w:tab w:leader="none" w:pos="178"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Operating Leases</w:t>
      </w:r>
    </w:p>
    <w:p>
      <w:pPr>
        <w:spacing w:after="0" w:line="1"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18"/>
          <w:szCs w:val="18"/>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right-of-use asset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September 30, 2024, we have recorded $0.3 million as a security deposit in accordance with the terms of the Lease Agreement.</w:t>
      </w:r>
    </w:p>
    <w:p>
      <w:pPr>
        <w:spacing w:after="0" w:line="85" w:lineRule="exact"/>
        <w:rPr>
          <w:sz w:val="20"/>
          <w:szCs w:val="20"/>
          <w:color w:val="auto"/>
        </w:rPr>
      </w:pPr>
    </w:p>
    <w:p>
      <w:pPr>
        <w:ind w:right="120" w:firstLine="480"/>
        <w:spacing w:after="0" w:line="254" w:lineRule="auto"/>
        <w:rPr>
          <w:sz w:val="20"/>
          <w:szCs w:val="20"/>
          <w:color w:val="auto"/>
        </w:rPr>
      </w:pPr>
      <w:r>
        <w:rPr>
          <w:rFonts w:ascii="Times New Roman" w:cs="Times New Roman" w:eastAsia="Times New Roman" w:hAnsi="Times New Roman"/>
          <w:sz w:val="18"/>
          <w:szCs w:val="18"/>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6.9 years.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non-cancellable office lease costs are included in our consolidated statements of cash flow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60" w:type="dxa"/>
            <w:vAlign w:val="bottom"/>
            <w:gridSpan w:val="4"/>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4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3"/>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Cash Flow</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shd w:val="clear" w:color="auto" w:fill="CCEEFF"/>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182"/>
        </w:trPr>
        <w:tc>
          <w:tcPr>
            <w:tcW w:w="48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2"/>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32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September 30, 2024, the future minimum annual obligations for our operating lease liabilities are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5"/>
        </w:trPr>
        <w:tc>
          <w:tcPr>
            <w:tcW w:w="9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7"/>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7"/>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r>
      <w:tr>
        <w:trPr>
          <w:trHeight w:val="227"/>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r>
      <w:tr>
        <w:trPr>
          <w:trHeight w:val="227"/>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27"/>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27"/>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w:t>
            </w:r>
          </w:p>
        </w:tc>
      </w:tr>
      <w:tr>
        <w:trPr>
          <w:trHeight w:val="22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payments required</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w:t>
            </w:r>
          </w:p>
        </w:tc>
      </w:tr>
      <w:tr>
        <w:trPr>
          <w:trHeight w:val="227"/>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45"/>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ind w:left="280" w:hanging="273"/>
        <w:spacing w:after="0"/>
        <w:tabs>
          <w:tab w:leader="none" w:pos="2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13" w:lineRule="exact"/>
        <w:rPr>
          <w:rFonts w:ascii="Times New Roman" w:cs="Times New Roman" w:eastAsia="Times New Roman" w:hAnsi="Times New Roman"/>
          <w:sz w:val="18"/>
          <w:szCs w:val="18"/>
          <w:b w:val="1"/>
          <w:bCs w:val="1"/>
          <w:color w:val="auto"/>
        </w:rPr>
      </w:pPr>
    </w:p>
    <w:p>
      <w:pPr>
        <w:ind w:left="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Open Market Sales Agreements</w:t>
      </w:r>
    </w:p>
    <w:p>
      <w:pPr>
        <w:spacing w:after="0" w:line="117" w:lineRule="exact"/>
        <w:rPr>
          <w:sz w:val="20"/>
          <w:szCs w:val="20"/>
          <w:color w:val="auto"/>
        </w:rPr>
      </w:pPr>
    </w:p>
    <w:p>
      <w:pPr>
        <w:jc w:val="both"/>
        <w:ind w:right="140" w:firstLine="480"/>
        <w:spacing w:after="0" w:line="262" w:lineRule="auto"/>
        <w:rPr>
          <w:sz w:val="20"/>
          <w:szCs w:val="20"/>
          <w:color w:val="auto"/>
        </w:rPr>
      </w:pPr>
      <w:r>
        <w:rPr>
          <w:rFonts w:ascii="Times New Roman" w:cs="Times New Roman" w:eastAsia="Times New Roman" w:hAnsi="Times New Roman"/>
          <w:sz w:val="18"/>
          <w:szCs w:val="18"/>
          <w:color w:val="auto"/>
        </w:rPr>
        <w:t>In November 2024, we entered into a sales agreement with TD Securities (USA) LLC (“TD Cowen”), through which we may offer and sell shares of our common stock, having an aggregate offering of up to $100.0 million through TD Cowen as our sales agent. Our prior sales agreement with Cowen will terminate upon effectiveness of the registration statement on the Form S-3 we will file in connection with our sales agreement with TD 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4" w:lineRule="exact"/>
        <w:rPr>
          <w:sz w:val="20"/>
          <w:szCs w:val="20"/>
          <w:color w:val="auto"/>
        </w:rPr>
      </w:pPr>
    </w:p>
    <w:p>
      <w:pPr>
        <w:ind w:right="200" w:firstLine="480"/>
        <w:spacing w:after="0" w:line="257"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forward-looking statements in this report include, among other things, statements about:</w:t>
      </w:r>
    </w:p>
    <w:p>
      <w:pPr>
        <w:spacing w:after="0" w:line="113" w:lineRule="exact"/>
        <w:rPr>
          <w:sz w:val="20"/>
          <w:szCs w:val="20"/>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candidate development activities and ongoing and planned clinical trials;</w:t>
      </w:r>
    </w:p>
    <w:p>
      <w:pPr>
        <w:spacing w:after="0" w:line="113" w:lineRule="exact"/>
        <w:rPr>
          <w:rFonts w:ascii="Times New Roman" w:cs="Times New Roman" w:eastAsia="Times New Roman" w:hAnsi="Times New Roman"/>
          <w:sz w:val="18"/>
          <w:szCs w:val="18"/>
          <w:color w:val="auto"/>
        </w:rPr>
      </w:pPr>
    </w:p>
    <w:p>
      <w:pPr>
        <w:ind w:left="640" w:right="640" w:hanging="313"/>
        <w:spacing w:after="0" w:line="277"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antibodies, including two programs targeting co-inhibitory receptors in clinical-stage development: rosnilimab and ANB032;</w:t>
      </w:r>
    </w:p>
    <w:p>
      <w:pPr>
        <w:spacing w:after="0" w:line="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w:t>
      </w:r>
    </w:p>
    <w:p>
      <w:pPr>
        <w:spacing w:after="0" w:line="113" w:lineRule="exact"/>
        <w:rPr>
          <w:rFonts w:ascii="Times New Roman" w:cs="Times New Roman" w:eastAsia="Times New Roman" w:hAnsi="Times New Roman"/>
          <w:sz w:val="18"/>
          <w:szCs w:val="18"/>
          <w:color w:val="auto"/>
        </w:rPr>
      </w:pPr>
    </w:p>
    <w:p>
      <w:pPr>
        <w:ind w:left="640" w:right="20" w:hanging="313"/>
        <w:spacing w:after="0" w:line="262"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likelihood that the clinical data generated in any study we performed, are performing, or plan to perform in a non-U.S. jurisdiction will be subsequently accepted by the </w:t>
      </w:r>
      <w:r>
        <w:rPr>
          <w:rFonts w:ascii="Times New Roman" w:cs="Times New Roman" w:eastAsia="Times New Roman" w:hAnsi="Times New Roman"/>
          <w:sz w:val="18"/>
          <w:szCs w:val="18"/>
          <w:color w:val="231F20"/>
        </w:rPr>
        <w:t>U.S. Food and Drug Administration (“FDA”)</w:t>
      </w:r>
      <w:r>
        <w:rPr>
          <w:rFonts w:ascii="Times New Roman" w:cs="Times New Roman" w:eastAsia="Times New Roman" w:hAnsi="Times New Roman"/>
          <w:sz w:val="18"/>
          <w:szCs w:val="18"/>
          <w:color w:val="auto"/>
        </w:rPr>
        <w:t xml:space="preserve"> and/or by foreign regulatory authorities outside of the jurisdiction where the study was being performed;</w:t>
      </w:r>
    </w:p>
    <w:p>
      <w:pPr>
        <w:spacing w:after="0" w:line="6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advantages of our product candidates and approaches versus those of our competitors;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3" w:lineRule="exact"/>
        <w:rPr>
          <w:rFonts w:ascii="Times New Roman" w:cs="Times New Roman" w:eastAsia="Times New Roman" w:hAnsi="Times New Roman"/>
          <w:sz w:val="18"/>
          <w:szCs w:val="18"/>
          <w:color w:val="auto"/>
        </w:rPr>
      </w:pPr>
    </w:p>
    <w:p>
      <w:pPr>
        <w:ind w:left="640" w:right="300" w:hanging="313"/>
        <w:spacing w:after="0" w:line="277"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ability to obtain and maintain regulatory approvals for our product candidates, partnered product candidates and/or product candidates for which we may receive royalties;</w:t>
      </w:r>
    </w:p>
    <w:p>
      <w:pPr>
        <w:spacing w:after="0" w:line="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approved product candidates;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any approved product candidates, and our ability to serve those markets;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and foreign countries;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economic or public health events on our business and the United States (“U.S.”) and global economies;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factors, including volatility in equity markets, and fluctuations in interest rates and foreign exchange rates;</w:t>
      </w:r>
    </w:p>
    <w:p>
      <w:pPr>
        <w:spacing w:after="0" w:line="113" w:lineRule="exact"/>
        <w:rPr>
          <w:rFonts w:ascii="Times New Roman" w:cs="Times New Roman" w:eastAsia="Times New Roman" w:hAnsi="Times New Roman"/>
          <w:sz w:val="18"/>
          <w:szCs w:val="18"/>
          <w:color w:val="auto"/>
        </w:rPr>
      </w:pPr>
    </w:p>
    <w:p>
      <w:pPr>
        <w:ind w:left="640" w:right="520" w:hanging="313"/>
        <w:spacing w:after="0" w:line="277"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on favorable terms or at all, including funding necessary to complete further development and commercialization of our product candidates;</w:t>
      </w:r>
    </w:p>
    <w:p>
      <w:pPr>
        <w:spacing w:after="0" w:line="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 licensing partner for imsidolimab and etokimab;</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our collaborators to develop and commercialize our partnered product candidates;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our public offerings and other financing transactions; and</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3"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not occur, and actual results could differ materially and adversely from those anticipated or implied in the forward-looking statements.</w:t>
      </w:r>
    </w:p>
    <w:p>
      <w:pPr>
        <w:spacing w:after="0" w:line="113"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74" w:lineRule="exact"/>
        <w:rPr>
          <w:sz w:val="20"/>
          <w:szCs w:val="20"/>
          <w:color w:val="auto"/>
        </w:rPr>
      </w:pPr>
    </w:p>
    <w:p>
      <w:pPr>
        <w:ind w:right="880" w:firstLine="480"/>
        <w:spacing w:after="0" w:line="277" w:lineRule="auto"/>
        <w:rPr>
          <w:sz w:val="20"/>
          <w:szCs w:val="20"/>
          <w:color w:val="auto"/>
        </w:rPr>
      </w:pPr>
      <w:r>
        <w:rPr>
          <w:rFonts w:ascii="Times New Roman" w:cs="Times New Roman" w:eastAsia="Times New Roman" w:hAnsi="Times New Roman"/>
          <w:sz w:val="18"/>
          <w:szCs w:val="18"/>
          <w:color w:val="auto"/>
        </w:rPr>
        <w:t>You should read this Quarterly Report with the understanding that our actual future results, levels of activity, performance, and events and circumstances may be materially different from what we expect.</w:t>
      </w:r>
    </w:p>
    <w:p>
      <w:pPr>
        <w:spacing w:after="0" w:line="56" w:lineRule="exact"/>
        <w:rPr>
          <w:sz w:val="20"/>
          <w:szCs w:val="20"/>
          <w:color w:val="auto"/>
        </w:rPr>
      </w:pPr>
    </w:p>
    <w:p>
      <w:pPr>
        <w:jc w:val="both"/>
        <w:ind w:right="120" w:firstLine="480"/>
        <w:spacing w:after="0" w:line="254" w:lineRule="auto"/>
        <w:rPr>
          <w:sz w:val="20"/>
          <w:szCs w:val="20"/>
          <w:color w:val="auto"/>
        </w:rPr>
      </w:pPr>
      <w:r>
        <w:rPr>
          <w:rFonts w:ascii="Times New Roman" w:cs="Times New Roman" w:eastAsia="Times New Roman" w:hAnsi="Times New Roman"/>
          <w:sz w:val="18"/>
          <w:szCs w:val="18"/>
          <w:color w:val="auto"/>
        </w:rPr>
        <w:t>Unless the context indicates otherwise, as used in this Quarterly Report, the terms “AnaptysBio,” “Anaptys,”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5" w:name="page26"/>
    <w:bookmarkEnd w:id="25"/>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5" w:lineRule="exact"/>
        <w:rPr>
          <w:sz w:val="20"/>
          <w:szCs w:val="20"/>
          <w:color w:val="auto"/>
        </w:rPr>
      </w:pPr>
    </w:p>
    <w:p>
      <w:pPr>
        <w:ind w:right="40" w:firstLine="480"/>
        <w:spacing w:after="0" w:line="270"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unaudited consolidated financial statements and related notes for the nine months ended September 30, 2024, included in Part I, Item 1 of this report and with our audited consolidated financial statements and related notes thereto for the year ended December 31, 2023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1" w:lineRule="exact"/>
        <w:rPr>
          <w:sz w:val="20"/>
          <w:szCs w:val="20"/>
          <w:color w:val="auto"/>
        </w:rPr>
      </w:pPr>
    </w:p>
    <w:p>
      <w:pPr>
        <w:ind w:firstLine="560"/>
        <w:spacing w:after="0" w:line="234"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innovative immunology therapeutics for autoimmune and inflammatory diseases. Our pipeline includes two programs targeting co-inhibitory receptors: rosnilimab, our PD-1 agonist in a Phase 2b trial for the treatment of moderate-to-severe rheumatoid arthritis (“RA”) and a Phase 2 trial for the treatment of moderate-to-severe ulcerative colitis (“UC”); and ANB032, our BTLA agonist, in a Phase 2b trial for the treatment of moderate-to-severe atopic dermatitis (“AD”). We also have other antibodies in our portfolio, including ANB033, an anti-CD122 antagonist in a Phase 1 trial and ANB101, a BDCA2 modulator, soon to enter clinical development. In addition, we have developed two cytokine antagonists that are available for out-licensing: imsidolimab, our anti-IL-36R antagonist, that has completed Phase 3 trials for the treatment of generalized pustular psoriasis (“GPP”), and etokimab, our anti-IL-33 antagonist that is Phase 2/3 ready. We have also discovered multiple therapeutic antibodies licensed to GlaxoSmithKline, Inc. (“GSK”) in a financial collaboration for immuno-oncology, including an anti-PD-1 antagonist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(dostarlimab-gxly) 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and an anti-TIM-3 antagonist (cobolimab, GSK4069889). We currently recognize revenue from milestones and royalties achieved under our immuno-oncology collaboration with GSK.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Wholly Owned Product Candidate Pipeline</w:t>
      </w:r>
    </w:p>
    <w:p>
      <w:pPr>
        <w:spacing w:after="0" w:line="117" w:lineRule="exact"/>
        <w:rPr>
          <w:sz w:val="20"/>
          <w:szCs w:val="20"/>
          <w:color w:val="auto"/>
        </w:rPr>
      </w:pPr>
    </w:p>
    <w:p>
      <w:pPr>
        <w:jc w:val="both"/>
        <w:ind w:right="40" w:firstLine="480"/>
        <w:spacing w:after="0" w:line="277" w:lineRule="auto"/>
        <w:rPr>
          <w:sz w:val="20"/>
          <w:szCs w:val="20"/>
          <w:color w:val="auto"/>
        </w:rPr>
      </w:pPr>
      <w:r>
        <w:rPr>
          <w:rFonts w:ascii="Times New Roman" w:cs="Times New Roman" w:eastAsia="Times New Roman" w:hAnsi="Times New Roman"/>
          <w:sz w:val="17"/>
          <w:szCs w:val="17"/>
          <w:color w:val="auto"/>
        </w:rPr>
        <w:t>Our immune cell modulating antibodies, including those targeting the PD-1 and BTLA co-inhibitory receptors, treat inflammatory disorders by down regulating immune responses mediated by multiple immune cell types including T cells, B cells, and dendritic cells. T cells require both antigen presentation to the T cell receptor and co-stimulation to be activated. When these interactions are inhibited, T cells can’t be effectively primed to expand and differentiate into inflammatory T cells. Inhibition of immune cell activation and co-stimulatory signaling pathways is the basis for targeting co-inhibitory receptors.</w:t>
      </w:r>
    </w:p>
    <w:p>
      <w:pPr>
        <w:spacing w:after="0" w:line="58" w:lineRule="exact"/>
        <w:rPr>
          <w:sz w:val="20"/>
          <w:szCs w:val="20"/>
          <w:color w:val="auto"/>
        </w:rPr>
      </w:pPr>
    </w:p>
    <w:p>
      <w:pPr>
        <w:ind w:right="500" w:firstLine="480"/>
        <w:spacing w:after="0" w:line="277" w:lineRule="auto"/>
        <w:rPr>
          <w:sz w:val="20"/>
          <w:szCs w:val="20"/>
          <w:color w:val="auto"/>
        </w:rPr>
      </w:pPr>
      <w:r>
        <w:rPr>
          <w:rFonts w:ascii="Times New Roman" w:cs="Times New Roman" w:eastAsia="Times New Roman" w:hAnsi="Times New Roman"/>
          <w:sz w:val="18"/>
          <w:szCs w:val="18"/>
          <w:color w:val="auto"/>
        </w:rPr>
        <w:t>We believe these molecules have potential applicability across a broad range of autoimmune and inflammatory diseases including dermatology, rheumatology, gastroenterology, respiratory, and neurology therapeutic areas.</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Rosnilimab</w:t>
      </w:r>
    </w:p>
    <w:p>
      <w:pPr>
        <w:spacing w:after="0" w:line="117" w:lineRule="exact"/>
        <w:rPr>
          <w:sz w:val="20"/>
          <w:szCs w:val="20"/>
          <w:color w:val="auto"/>
        </w:rPr>
      </w:pPr>
    </w:p>
    <w:p>
      <w:pPr>
        <w:ind w:right="180" w:firstLine="480"/>
        <w:spacing w:after="0" w:line="257" w:lineRule="auto"/>
        <w:rPr>
          <w:sz w:val="20"/>
          <w:szCs w:val="20"/>
          <w:color w:val="auto"/>
        </w:rPr>
      </w:pPr>
      <w:r>
        <w:rPr>
          <w:rFonts w:ascii="Times New Roman" w:cs="Times New Roman" w:eastAsia="Times New Roman" w:hAnsi="Times New Roman"/>
          <w:sz w:val="18"/>
          <w:szCs w:val="18"/>
          <w:color w:val="auto"/>
        </w:rPr>
        <w:t>PD-1, or programmed cell death protein 1, is a co-inhibitory receptor that regulates T cell proliferation, and cytokine secretion. It is expressed preferentially on activated T cells, reducing the potential for off-target activity by rosnilimab. Genetic mutations in the PD-1 pathway are known to be associated with increased susceptibility to human inflammatory diseases which leads us to believe that rosnilimab is applicable to diseases where PD-1 co-inhibitory receptor function may be insufficient to maintain immune homeostasis.</w:t>
      </w:r>
    </w:p>
    <w:p>
      <w:pPr>
        <w:spacing w:after="0" w:line="74" w:lineRule="exact"/>
        <w:rPr>
          <w:sz w:val="20"/>
          <w:szCs w:val="20"/>
          <w:color w:val="auto"/>
        </w:rPr>
      </w:pPr>
    </w:p>
    <w:p>
      <w:pPr>
        <w:jc w:val="both"/>
        <w:ind w:right="100" w:firstLine="480"/>
        <w:spacing w:after="0" w:line="236" w:lineRule="auto"/>
        <w:rPr>
          <w:sz w:val="20"/>
          <w:szCs w:val="20"/>
          <w:color w:val="auto"/>
        </w:rPr>
      </w:pPr>
      <w:r>
        <w:rPr>
          <w:rFonts w:ascii="Times New Roman" w:cs="Times New Roman" w:eastAsia="Times New Roman" w:hAnsi="Times New Roman"/>
          <w:sz w:val="18"/>
          <w:szCs w:val="18"/>
          <w:color w:val="auto"/>
        </w:rPr>
        <w:t>Rosnilimab is an IgG1 antibody that directly targets PD-1+ T cells, resulting in their agonism or depletion, broadly impacting pathogenic drivers of autoimmune and inflammatory diseases. An IgG1 PD-1 agonist acts through three distinct mechanisms; depletion of PD-1</w:t>
      </w:r>
      <w:r>
        <w:rPr>
          <w:rFonts w:ascii="Times New Roman" w:cs="Times New Roman" w:eastAsia="Times New Roman" w:hAnsi="Times New Roman"/>
          <w:sz w:val="23"/>
          <w:szCs w:val="23"/>
          <w:color w:val="auto"/>
          <w:vertAlign w:val="superscript"/>
        </w:rPr>
        <w:t>high</w:t>
      </w:r>
      <w:r>
        <w:rPr>
          <w:rFonts w:ascii="Times New Roman" w:cs="Times New Roman" w:eastAsia="Times New Roman" w:hAnsi="Times New Roman"/>
          <w:sz w:val="18"/>
          <w:szCs w:val="18"/>
          <w:color w:val="auto"/>
        </w:rPr>
        <w:t xml:space="preserve"> effector T cells, depletion of PD-1</w:t>
      </w:r>
      <w:r>
        <w:rPr>
          <w:rFonts w:ascii="Times New Roman" w:cs="Times New Roman" w:eastAsia="Times New Roman" w:hAnsi="Times New Roman"/>
          <w:sz w:val="23"/>
          <w:szCs w:val="23"/>
          <w:color w:val="auto"/>
          <w:vertAlign w:val="superscript"/>
        </w:rPr>
        <w:t>high</w:t>
      </w:r>
      <w:r>
        <w:rPr>
          <w:rFonts w:ascii="Times New Roman" w:cs="Times New Roman" w:eastAsia="Times New Roman" w:hAnsi="Times New Roman"/>
          <w:sz w:val="18"/>
          <w:szCs w:val="18"/>
          <w:color w:val="auto"/>
        </w:rPr>
        <w:t xml:space="preserve"> Tfh and Tph cells, and agonism of PD-1</w:t>
      </w:r>
      <w:r>
        <w:rPr>
          <w:rFonts w:ascii="Times New Roman" w:cs="Times New Roman" w:eastAsia="Times New Roman" w:hAnsi="Times New Roman"/>
          <w:sz w:val="23"/>
          <w:szCs w:val="23"/>
          <w:color w:val="auto"/>
          <w:vertAlign w:val="superscript"/>
        </w:rPr>
        <w:t>int</w:t>
      </w:r>
      <w:r>
        <w:rPr>
          <w:rFonts w:ascii="Times New Roman" w:cs="Times New Roman" w:eastAsia="Times New Roman" w:hAnsi="Times New Roman"/>
          <w:sz w:val="18"/>
          <w:szCs w:val="18"/>
          <w:color w:val="auto"/>
        </w:rPr>
        <w:t xml:space="preserve"> T cells. This drives specific immunological outcomes in both inflamed tissue and the periphery, such as reduction in T cell proliferation, migration, and cytokine secretion, and reduction of plasma cell generation and autoantibody levels. Rosnilimab is designed to enable formation of a tight immune synapse by binding to PD-1 on a membrane-proximal epitope, and simultaneously anchoring to an Fc receptor on an opposing cell, supporting crosslinking and excluding activating phosphatases such as CD45. Rosnilimab also facilitates depletion by bringing effector cells into closer proximity to pathogenically activated PD-1</w:t>
      </w:r>
      <w:r>
        <w:rPr>
          <w:rFonts w:ascii="Times New Roman" w:cs="Times New Roman" w:eastAsia="Times New Roman" w:hAnsi="Times New Roman"/>
          <w:sz w:val="23"/>
          <w:szCs w:val="23"/>
          <w:color w:val="auto"/>
          <w:vertAlign w:val="superscript"/>
        </w:rPr>
        <w:t>high</w:t>
      </w:r>
      <w:r>
        <w:rPr>
          <w:rFonts w:ascii="Times New Roman" w:cs="Times New Roman" w:eastAsia="Times New Roman" w:hAnsi="Times New Roman"/>
          <w:sz w:val="18"/>
          <w:szCs w:val="18"/>
          <w:color w:val="auto"/>
        </w:rPr>
        <w:t xml:space="preserve"> T cells.</w:t>
      </w:r>
    </w:p>
    <w:p>
      <w:pPr>
        <w:spacing w:after="0" w:line="5" w:lineRule="exact"/>
        <w:rPr>
          <w:sz w:val="20"/>
          <w:szCs w:val="20"/>
          <w:color w:val="auto"/>
        </w:rPr>
      </w:pPr>
    </w:p>
    <w:p>
      <w:pPr>
        <w:ind w:right="80" w:firstLine="480"/>
        <w:spacing w:after="0" w:line="286" w:lineRule="auto"/>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studies, when PD-1+ T cells were cocultured in the presence of NK cells, rosnilimab demonstrated potent depletion of PD-1+ T cells. In separate in </w:t>
      </w:r>
      <w:r>
        <w:rPr>
          <w:rFonts w:ascii="Times New Roman" w:cs="Times New Roman" w:eastAsia="Times New Roman" w:hAnsi="Times New Roman"/>
          <w:sz w:val="17"/>
          <w:szCs w:val="17"/>
          <w:i w:val="1"/>
          <w:iCs w:val="1"/>
          <w:color w:val="auto"/>
        </w:rPr>
        <w:t>vitro</w:t>
      </w:r>
      <w:r>
        <w:rPr>
          <w:rFonts w:ascii="Times New Roman" w:cs="Times New Roman" w:eastAsia="Times New Roman" w:hAnsi="Times New Roman"/>
          <w:sz w:val="17"/>
          <w:szCs w:val="17"/>
          <w:color w:val="auto"/>
        </w:rPr>
        <w:t xml:space="preserve"> studies, in which T cells were stimulated in the presence of only dendritic cells (in the absence of any cells capable of mediating depletion), rosnilimab demonstrated potent agonism properties such as a reduction in PD-1+T cell proliferation and reduction in secretion of inflammatory cytokines.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69" w:lineRule="exact"/>
        <w:rPr>
          <w:sz w:val="20"/>
          <w:szCs w:val="20"/>
          <w:color w:val="auto"/>
        </w:rPr>
      </w:pPr>
    </w:p>
    <w:p>
      <w:pPr>
        <w:ind w:right="140" w:firstLine="480"/>
        <w:spacing w:after="0" w:line="265" w:lineRule="auto"/>
        <w:rPr>
          <w:sz w:val="20"/>
          <w:szCs w:val="20"/>
          <w:color w:val="auto"/>
        </w:rPr>
      </w:pPr>
      <w:r>
        <w:rPr>
          <w:rFonts w:ascii="Times New Roman" w:cs="Times New Roman" w:eastAsia="Times New Roman" w:hAnsi="Times New Roman"/>
          <w:sz w:val="17"/>
          <w:szCs w:val="17"/>
          <w:color w:val="auto"/>
        </w:rPr>
        <w:t>We announced positive top-line data from a healthy volunteer Phase 1 trial of rosnilimab in November 2021. A total of 144 subjects were enrolled in the randomized, double-blind, placebo-controlled healthy volunteer Phase 1 trial, where single ascending dose (“SAD”) cohorts received subcutaneous or intravenous (“IV”) single doses of rosnilimab up to 600mg or placebo, while multiple ascending dose (“MAD”) cohorts received four weekly subcutaneous doses of rosnilimab ranging up to 400mg or placebo. Rosnilimab was generally well-tolerated and no dose limiting toxicities were observed. Two serious adverse events (“SAEs”) were reported in single dose cohorts, including obstructive pancreatitis in a placebo-dosed subject and COVID-19 infection in a rosnilimab-dosed subject leading to discontinuation. The COVID-19 infection was deemed unrelated to treatment. No SAEs were reported in subjects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multiple doses of rosnilimab or placebo</w:t>
      </w:r>
      <w:r>
        <w:rPr>
          <w:rFonts w:ascii="Times New Roman" w:cs="Times New Roman" w:eastAsia="Times New Roman" w:hAnsi="Times New Roman"/>
          <w:sz w:val="21"/>
          <w:szCs w:val="21"/>
          <w:color w:val="008080"/>
        </w:rPr>
        <w:t>.</w:t>
      </w:r>
    </w:p>
    <w:p>
      <w:pPr>
        <w:spacing w:after="0" w:line="100" w:lineRule="exact"/>
        <w:rPr>
          <w:sz w:val="20"/>
          <w:szCs w:val="20"/>
          <w:color w:val="auto"/>
        </w:rPr>
      </w:pPr>
    </w:p>
    <w:p>
      <w:pPr>
        <w:ind w:right="100" w:firstLine="480"/>
        <w:spacing w:after="0" w:line="236" w:lineRule="auto"/>
        <w:rPr>
          <w:sz w:val="20"/>
          <w:szCs w:val="20"/>
          <w:color w:val="auto"/>
        </w:rPr>
      </w:pPr>
      <w:r>
        <w:rPr>
          <w:rFonts w:ascii="Times New Roman" w:cs="Times New Roman" w:eastAsia="Times New Roman" w:hAnsi="Times New Roman"/>
          <w:sz w:val="18"/>
          <w:szCs w:val="18"/>
          <w:color w:val="auto"/>
        </w:rPr>
        <w:t>Rosnilimab demonstrated a favorable pharmacokinetic (“PK”) profile with an estimated two-week half-life for subcutaneous and IV routes of administration. Full PD-1 receptor occupancy was observed rapidly and was maintained for at least 30 days. Potent and sustained reduction was observed in peripheral PD-1+ T cells for &gt;30 days, including &gt;90% reduction of PD-1</w:t>
      </w:r>
      <w:r>
        <w:rPr>
          <w:rFonts w:ascii="Times New Roman" w:cs="Times New Roman" w:eastAsia="Times New Roman" w:hAnsi="Times New Roman"/>
          <w:sz w:val="23"/>
          <w:szCs w:val="23"/>
          <w:color w:val="auto"/>
          <w:vertAlign w:val="superscript"/>
        </w:rPr>
        <w:t>high</w:t>
      </w:r>
      <w:r>
        <w:rPr>
          <w:rFonts w:ascii="Times New Roman" w:cs="Times New Roman" w:eastAsia="Times New Roman" w:hAnsi="Times New Roman"/>
          <w:sz w:val="18"/>
          <w:szCs w:val="18"/>
          <w:color w:val="auto"/>
        </w:rPr>
        <w:t xml:space="preserve"> T cells and a &gt;50% reduction of PD-1+ T cells bringing the overall T cell composition to a less activated state, without meaningfully reducing overall T cell numbers.</w:t>
      </w:r>
    </w:p>
    <w:p>
      <w:pPr>
        <w:spacing w:after="0" w:line="90" w:lineRule="exact"/>
        <w:rPr>
          <w:sz w:val="20"/>
          <w:szCs w:val="20"/>
          <w:color w:val="auto"/>
        </w:rPr>
      </w:pPr>
    </w:p>
    <w:p>
      <w:pPr>
        <w:ind w:right="80" w:firstLine="480"/>
        <w:spacing w:after="0" w:line="253" w:lineRule="auto"/>
        <w:rPr>
          <w:sz w:val="20"/>
          <w:szCs w:val="20"/>
          <w:color w:val="auto"/>
        </w:rPr>
      </w:pPr>
      <w:r>
        <w:rPr>
          <w:rFonts w:ascii="Times New Roman" w:cs="Times New Roman" w:eastAsia="Times New Roman" w:hAnsi="Times New Roman"/>
          <w:sz w:val="18"/>
          <w:szCs w:val="18"/>
          <w:color w:val="auto"/>
        </w:rPr>
        <w:t>We have completed enrollment of a randomized, placebo-controlled, global Phase 2b trial assessing three dose levels of subcutaneously administrated rosnilimab in moderate-to-severe RA for up to 28 weeks on well-established endpoints including ACR20/50/70 and DAS28-CRP. We anticipate reporting top-line data on the primary endpoint at Week 12 in the RA trial in February 2025. We are also conducting a randomized placebo-controlled 132-patient, global Phase 2 trial assessing two dose levels of subcutaneously administered rosnilimab in moderate-to-severe UC. Rosnilimab will be dosed for up to 48 weeks on well-established endpoints including clinical remission on the modified Mayo score (“mMS”), clinical response on the mMS and endoscopic remission. We anticipate reporting top-line data on the primary endpoint at Week 12 in the UC trial in the first quarter of 2026.</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ANB032</w:t>
      </w:r>
    </w:p>
    <w:p>
      <w:pPr>
        <w:spacing w:after="0" w:line="117" w:lineRule="exact"/>
        <w:rPr>
          <w:sz w:val="20"/>
          <w:szCs w:val="20"/>
          <w:color w:val="auto"/>
        </w:rPr>
      </w:pPr>
    </w:p>
    <w:p>
      <w:pPr>
        <w:ind w:right="320" w:firstLine="480"/>
        <w:spacing w:after="0" w:line="307" w:lineRule="auto"/>
        <w:rPr>
          <w:sz w:val="20"/>
          <w:szCs w:val="20"/>
          <w:color w:val="auto"/>
        </w:rPr>
      </w:pPr>
      <w:r>
        <w:rPr>
          <w:rFonts w:ascii="Times New Roman" w:cs="Times New Roman" w:eastAsia="Times New Roman" w:hAnsi="Times New Roman"/>
          <w:sz w:val="17"/>
          <w:szCs w:val="17"/>
          <w:color w:val="auto"/>
        </w:rPr>
        <w:t>BTLA, or B and T lymphocyte attenuator, is a co-inhibitory receptor that regulates T cells, B cells, and dendritic cell function. BTLA is expressed only on immune cells and preferentially on activated immune cells, potentially enabling a broad mechanism of action while avoiding off-target activity.</w:t>
      </w:r>
    </w:p>
    <w:p>
      <w:pPr>
        <w:spacing w:after="0" w:line="34"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ANB032 is an IgG4 non-depleting antibody that binds to BTLA, and is anticipated to down-modulate the activity of T cells, B cells and dendritic cells both in inflamed tissue and the periphery via: agonism resulting in inhibition of T cell expansion and migration, broad reduction of inflammatory Th1, Th2, Th17 and Th22 cytokines, and modulation of dendritic cells including inhibition of dendritic cell maturation, reduction in costimulatory molecule expression, and enhanced inducement of Tregs.</w:t>
      </w:r>
    </w:p>
    <w:p>
      <w:pPr>
        <w:spacing w:after="0" w:line="72" w:lineRule="exact"/>
        <w:rPr>
          <w:sz w:val="20"/>
          <w:szCs w:val="20"/>
          <w:color w:val="auto"/>
        </w:rPr>
      </w:pPr>
    </w:p>
    <w:p>
      <w:pPr>
        <w:ind w:right="100" w:firstLine="480"/>
        <w:spacing w:after="0" w:line="279"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ANB032 demonstrated potent agonism and, in a murine model of GvHD, demonstrated superior disease-modification compared to control antibodies.</w:t>
      </w:r>
    </w:p>
    <w:p>
      <w:pPr>
        <w:spacing w:after="0" w:line="54"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We announced positive top-line data from a healthy volunteer Phase 1 trial of ANB032, under a CTN, in April 2022. A total of 96 subjects were enrolled in the randomized, double-blind, placebo-controlled healthy volunteer Phase 1 trial, where SAD cohorts received subcutaneous or IV single doses of ANB032 or placebo, while MAD cohorts received four weekly subcutaneous doses of ANB032 or placebo. ANB032 was generally well-tolerated and no dose limiting toxicities were observed. No SAEs were reported. ANB032 demonstrated a favorable PK profile with an estimated two-week half-life for subcutaneous and IV routes of administration. Full BTLA receptor occupancy was observed rapidly and was maintained for at least 30 days.</w:t>
      </w:r>
    </w:p>
    <w:p>
      <w:pPr>
        <w:spacing w:after="0" w:line="79"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While Th2 targeted therapies provide benefit to patients with chronic moderate-to-severe atopic dermatitis (“AD”), there is compelling evidence that AD is broader than a Th2 driven disease, as Th1, Th17, Th22 and other cell types, including dendritic cells, contribute significantly to the pathogenesis. ANB032 inhibition of inflammatory Th1, Th2, Th17 and Th22 activity, and modulation of additional cell types such as B cells and dendritic cells, creates the potential for broader, deeper and more durable responses than more narrowly targeted interventions.</w:t>
      </w:r>
    </w:p>
    <w:p>
      <w:pPr>
        <w:spacing w:after="0" w:line="74"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We have completed enrollment of a randomized, placebo-controlled global Phase 2b trial assessing three dose levels of subcutaneously administered ANB032 in moderate-to-severe AD for 12 weeks on well-established endpoints including EASI75, EASI90 and IGA 0/1 measured at Week 14. Patients will be followed for an additional 24 weeks after the final dose at Week 12 to understand longer term safety as well as the potential for prolonged and sustained efficacy. We anticipate reporting top-line data on the primary endpoint at Week 14 from this trial in December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ANB033</w:t>
      </w:r>
    </w:p>
    <w:p>
      <w:pPr>
        <w:spacing w:after="0" w:line="117"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ANB033 targets CD122, the common beta subunit shared by the IL-15 and IL-2 receptors. IL-15 and IL-2 signaling mediate the proliferation and survival of NK cells and certain CD8 T cell subsets. ANB033 is an antibody designed with an affinity to CD122 that inhibits IL-15 and IL-2 signaling through the low affinity IL-2 receptor (comprised of CD122 and the common gamma subunit, CD132) while sparing IL-2 signaling through the high affinity IL-2 receptor (comprised of CD122, CD132 and the alpha receptor subunit for IL-2, CD25) expressed by regulatory T cells. This leads to the potential to achieve and maintain remission of inflammation through the reduction of disease-causing NK cells and certain CD8 T cell subsets, while sparing regulatory T cells. By preventing the consumption of IL-2 by pathogenic cells that express the low affinity IL-2 receptor, circulating levels of IL-2 may increase, potentially enhancing regulatory T cell numbers that express the high affinity IL-2 receptor in the setting of inflammation. We initiated a Phase 1 clinical trial in October 2024.</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ANB101</w:t>
      </w:r>
    </w:p>
    <w:p>
      <w:pPr>
        <w:spacing w:after="0" w:line="117" w:lineRule="exact"/>
        <w:rPr>
          <w:sz w:val="20"/>
          <w:szCs w:val="20"/>
          <w:color w:val="auto"/>
        </w:rPr>
      </w:pPr>
    </w:p>
    <w:p>
      <w:pPr>
        <w:ind w:right="100" w:firstLine="480"/>
        <w:spacing w:after="0" w:line="251" w:lineRule="auto"/>
        <w:rPr>
          <w:sz w:val="20"/>
          <w:szCs w:val="20"/>
          <w:color w:val="auto"/>
        </w:rPr>
      </w:pPr>
      <w:r>
        <w:rPr>
          <w:rFonts w:ascii="Times New Roman" w:cs="Times New Roman" w:eastAsia="Times New Roman" w:hAnsi="Times New Roman"/>
          <w:sz w:val="18"/>
          <w:szCs w:val="18"/>
          <w:color w:val="auto"/>
        </w:rPr>
        <w:t>Blood dendritic cell antigen 2 (“BDCA2”) is a molecule specifically expressed on plasmacytoid dendritic cells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 ANB101 is a BDCA2 modulator antibody that targets pDCs and potently inhibits interferon secretion and modulates antigen presentation for the treatment of autoimmune and inflammatory diseases. We submitted an IND application and plan to initiate enrollment for a Phase 1 clinical trial in the first quarter of 2025.</w:t>
      </w:r>
    </w:p>
    <w:p>
      <w:pPr>
        <w:spacing w:after="0" w:line="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Imsidolimab</w:t>
      </w:r>
    </w:p>
    <w:p>
      <w:pPr>
        <w:spacing w:after="0" w:line="117"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Imsidolimab is an IgG4 antibody that inhibits the function of the interleukin-36-receptor, or IL-36R, that is being developed for the treatment of GPP. We completed a Phase 1 clinical trial in healthy volunteers, which was presented at the European Academy of Allergy and Clinical Immunology in 2018, where imsidolimab was well-tolerated, no dose-limiting toxicities were observed, and no SAEs were reported. In July 2020, the FDA granted Orphan Drug Designation for imsidolimab for the treatment of patients with GPP.</w:t>
      </w:r>
    </w:p>
    <w:p>
      <w:pPr>
        <w:spacing w:after="0" w:line="74"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We completed two Phase 3 clinical trials for imsidolimab in GPP. The first randomized placebo-controlled trial, called GEMINI-1, in 45 patients, assessed two, single dose levels of intravenous (IV)-administered imsidolimab. As of October 2023, of the patients who received a single dose of 750mg IV imsidolimab, 53% achieved GPP Physician Global Assessment (“GPPPGA”) 0/1 (clear or almost clear) at Week 4, our primary endpoint, compared to 13% of patients on placebo (p=0.0131). Of the 15 patients who received a single dose of 300mg IV imsidolimab, 53% achieved GPPPGA 0/1 at Week 4.</w:t>
      </w:r>
    </w:p>
    <w:p>
      <w:pPr>
        <w:spacing w:after="0" w:line="74" w:lineRule="exact"/>
        <w:rPr>
          <w:sz w:val="20"/>
          <w:szCs w:val="20"/>
          <w:color w:val="auto"/>
        </w:rPr>
      </w:pPr>
    </w:p>
    <w:p>
      <w:pPr>
        <w:ind w:right="460" w:firstLine="480"/>
        <w:spacing w:after="0" w:line="277" w:lineRule="auto"/>
        <w:rPr>
          <w:sz w:val="20"/>
          <w:szCs w:val="20"/>
          <w:color w:val="auto"/>
        </w:rPr>
      </w:pPr>
      <w:r>
        <w:rPr>
          <w:rFonts w:ascii="Times New Roman" w:cs="Times New Roman" w:eastAsia="Times New Roman" w:hAnsi="Times New Roman"/>
          <w:sz w:val="18"/>
          <w:szCs w:val="18"/>
          <w:color w:val="auto"/>
        </w:rPr>
        <w:t>The GPPPGA assessment, representing a stringent and comprehensive characterization of disease severity, required satisfying an overall clinical response score of 0/1 collectively across each GPP disease attribute, including pustulation, erythema and scaling.</w:t>
      </w:r>
    </w:p>
    <w:p>
      <w:pPr>
        <w:spacing w:after="0" w:line="56"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Patients completing the GEMINI-1 trial were eligible to be subsequently enrolled in GEMINI-2, our second Phase 3 trial for imsidolimab in GPP, where they received monthly doses of 200mg subcutaneous (“SC”) imsidolimab or placebo. The objective of GEMINI-2 was to assess the safety and efficacy of imsidolimab for maintenance of response, and the prevention of GPP flares with monthly SC dosing.</w:t>
      </w:r>
    </w:p>
    <w:p>
      <w:pPr>
        <w:spacing w:after="0" w:line="69"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Sixteen GPPPGA 0/1 responder patients from GEMINI-1 were subsequently re-randomized to monthly maintenance dosing of either 200mg SC imsidolimab or placebo in the GEMINI-2 Phase 3 trial. Patients were followed for at least 24 weeks and up to a maximum of 92 weeks. Of the eight responding patients from GEMINI-1 who were re-randomized to monthly 200mg SC imsidolimab maintenance therapy, 100% maintained a GPPPGA score of 0/1 and none of them experienced a flare. Of the remaining eight responding patients from GEMINI-1 who were re-randomized to placebo, 25% maintained a GPPPGA score of 0/1 and 63% experienced a flare.</w:t>
      </w:r>
    </w:p>
    <w:p>
      <w:pPr>
        <w:spacing w:after="0" w:line="79" w:lineRule="exact"/>
        <w:rPr>
          <w:sz w:val="20"/>
          <w:szCs w:val="20"/>
          <w:color w:val="auto"/>
        </w:rPr>
      </w:pPr>
    </w:p>
    <w:p>
      <w:pPr>
        <w:jc w:val="both"/>
        <w:ind w:right="180" w:firstLine="480"/>
        <w:spacing w:after="0" w:line="262" w:lineRule="auto"/>
        <w:rPr>
          <w:sz w:val="20"/>
          <w:szCs w:val="20"/>
          <w:color w:val="auto"/>
        </w:rPr>
      </w:pPr>
      <w:r>
        <w:rPr>
          <w:rFonts w:ascii="Times New Roman" w:cs="Times New Roman" w:eastAsia="Times New Roman" w:hAnsi="Times New Roman"/>
          <w:sz w:val="18"/>
          <w:szCs w:val="18"/>
          <w:color w:val="auto"/>
        </w:rPr>
        <w:t>Data from both trials demonstrate a consistent, favorable safety and tolerability profile with no treatment-related serious adverse events (“SAEs”) or SAEs leading to discontinuation reported in imsidolimab-treated patients. Additionally, the data demonstrated low incidence and no elevation of infections versus placebo; no cases reported of Drug Reaction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6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Eosinophilia and Systemic Symptoms (“DRESS”) or Guillain-Barre syndrome (“GBS”); no infusion reactions and overall incidence of anti-drug antibodies (“ADA”) was low and, when detected, determined to be non-neutralizing.</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intend to out-license imsidolimab in 2024.</w:t>
      </w:r>
    </w:p>
    <w:p>
      <w:pPr>
        <w:spacing w:after="0" w:line="1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Etokimab</w:t>
      </w:r>
    </w:p>
    <w:p>
      <w:pPr>
        <w:spacing w:after="0" w:line="117"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Etokimab inhibits IL-33 function and acts upstream of key cell types involved in atopy and the subsequent release of Th2 cytokines. IL-33 is a pro-inflammatory cytokine that signals through the ST2 receptor, which multiple studies suggest serves as a central mediator of various immune responses leading to Th2-type inflammatory disorders, including asthma, COPD, atopic and other epithelial-driven diseases.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Th2 effector cells and Innate Lymphoid Cell Type 2 (ILC2), two types of white blood cells that initiate and orchestrate atopic responses. We have no ongoing clinical trials of etokimab and etokimab is available to out-license.</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certain key information about our wholly owned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83820</wp:posOffset>
            </wp:positionV>
            <wp:extent cx="5795010" cy="3363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95010" cy="336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Programs</w:t>
      </w:r>
    </w:p>
    <w:p>
      <w:pPr>
        <w:spacing w:after="0" w:line="117" w:lineRule="exact"/>
        <w:rPr>
          <w:sz w:val="20"/>
          <w:szCs w:val="20"/>
          <w:color w:val="auto"/>
        </w:rPr>
      </w:pPr>
    </w:p>
    <w:p>
      <w:pPr>
        <w:ind w:right="940" w:firstLine="480"/>
        <w:spacing w:after="0" w:line="277" w:lineRule="auto"/>
        <w:rPr>
          <w:sz w:val="20"/>
          <w:szCs w:val="20"/>
          <w:color w:val="auto"/>
        </w:rPr>
      </w:pPr>
      <w:r>
        <w:rPr>
          <w:rFonts w:ascii="Times New Roman" w:cs="Times New Roman" w:eastAsia="Times New Roman" w:hAnsi="Times New Roman"/>
          <w:sz w:val="18"/>
          <w:szCs w:val="18"/>
          <w:color w:val="auto"/>
        </w:rPr>
        <w:t>Multiple company-discovered antibody programs have been advanced to preclinical and clinical milestones under our collaborations. Our collaborations include an immuno-oncology-focused collaboration with GSK.</w:t>
      </w:r>
    </w:p>
    <w:p>
      <w:pPr>
        <w:spacing w:after="0" w:line="54"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8"/>
          <w:szCs w:val="18"/>
          <w:color w:val="auto"/>
        </w:rPr>
        <w:t xml:space="preserve">Under the GSK Agreement, a BLA for our most advanced partnered program, which is an anti-PD-1 antagonist antibody called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for use in women with mismatch repair deficient (“dMMR”)/microsatellite instability-high (“MSI-H”) recurrent or advanced endometrial cancer who have progressed on or following prior</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9" w:name="page30"/>
    <w:bookmarkEnd w:id="29"/>
    <w:p>
      <w:pPr>
        <w:spacing w:after="0" w:line="6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treatment with a platinum containing regimen. A second FDA approval was received in August 2021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in pan-deficient mismatch repair tumors (PdMMRT). In July 2023, the FDA approved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in combination with chemotherapy for the treatment of adult patients with dMMR MSI-H primary advanced or recurrent endometrial cancer. In December 2023, the EMA approved, in the EU,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plus chemotherapy for dMMR/MSI-H primary advanced or recurrent endometrial cancer.</w:t>
      </w:r>
    </w:p>
    <w:p>
      <w:pPr>
        <w:spacing w:after="0" w:line="71" w:lineRule="exact"/>
        <w:rPr>
          <w:sz w:val="20"/>
          <w:szCs w:val="20"/>
          <w:color w:val="auto"/>
        </w:rPr>
      </w:pPr>
    </w:p>
    <w:p>
      <w:pPr>
        <w:ind w:right="240" w:firstLine="48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Jemperli </w:t>
      </w:r>
      <w:r>
        <w:rPr>
          <w:rFonts w:ascii="Times New Roman" w:cs="Times New Roman" w:eastAsia="Times New Roman" w:hAnsi="Times New Roman"/>
          <w:sz w:val="18"/>
          <w:szCs w:val="18"/>
          <w:color w:val="auto"/>
        </w:rPr>
        <w:t>is in clinical trials for various solid tumor indications, including a Phase 3 trial in first-line ovarian cancer with top-line results expected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fourth quarter of 2024.</w:t>
      </w:r>
    </w:p>
    <w:p>
      <w:pPr>
        <w:spacing w:after="0" w:line="54"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In addition, under the collaboration, GSK is developing dostarlimab in combination with another development program from the GSK Agreement, including cobolimab, an anti-TIM-3 antibody.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 with top-line results expected in the first half of 2025.</w:t>
      </w:r>
    </w:p>
    <w:p>
      <w:pPr>
        <w:spacing w:after="0" w:line="74" w:lineRule="exact"/>
        <w:rPr>
          <w:sz w:val="20"/>
          <w:szCs w:val="20"/>
          <w:color w:val="auto"/>
        </w:rPr>
      </w:pPr>
    </w:p>
    <w:p>
      <w:pPr>
        <w:ind w:right="180" w:firstLine="480"/>
        <w:spacing w:after="0" w:line="277" w:lineRule="auto"/>
        <w:rPr>
          <w:sz w:val="20"/>
          <w:szCs w:val="20"/>
          <w:color w:val="auto"/>
        </w:rPr>
      </w:pPr>
      <w:r>
        <w:rPr>
          <w:rFonts w:ascii="Times New Roman" w:cs="Times New Roman" w:eastAsia="Times New Roman" w:hAnsi="Times New Roman"/>
          <w:sz w:val="18"/>
          <w:szCs w:val="18"/>
          <w:color w:val="auto"/>
        </w:rPr>
        <w:t>For more information about these collaborations, see Note 4 — Collaborative Research and Development Agreements in the accompanying notes to the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17" w:lineRule="exact"/>
        <w:rPr>
          <w:sz w:val="20"/>
          <w:szCs w:val="20"/>
          <w:color w:val="auto"/>
        </w:rPr>
      </w:pPr>
    </w:p>
    <w:p>
      <w:pPr>
        <w:ind w:right="360" w:firstLine="480"/>
        <w:spacing w:after="0" w:line="262" w:lineRule="auto"/>
        <w:rPr>
          <w:sz w:val="20"/>
          <w:szCs w:val="20"/>
          <w:color w:val="auto"/>
        </w:rPr>
      </w:pPr>
      <w:r>
        <w:rPr>
          <w:rFonts w:ascii="Times New Roman" w:cs="Times New Roman" w:eastAsia="Times New Roman" w:hAnsi="Times New Roman"/>
          <w:sz w:val="18"/>
          <w:szCs w:val="18"/>
          <w:color w:val="auto"/>
        </w:rPr>
        <w:t>Our revenue has been derived from amortization of upfront license payments, research and development funding, milestone and royalty payments under collaboration and license agreements with our collaborators. From inception through September 30, 2024, we have recognized $303.4 million in revenue from our collaborators. We have not generated any revenue from product sales.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17" w:lineRule="exact"/>
        <w:rPr>
          <w:sz w:val="20"/>
          <w:szCs w:val="20"/>
          <w:color w:val="auto"/>
        </w:rPr>
      </w:pPr>
    </w:p>
    <w:p>
      <w:pPr>
        <w:ind w:right="580" w:firstLine="480"/>
        <w:spacing w:after="0" w:line="277"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56" w:lineRule="exact"/>
        <w:rPr>
          <w:sz w:val="20"/>
          <w:szCs w:val="20"/>
          <w:color w:val="auto"/>
        </w:rPr>
      </w:pPr>
    </w:p>
    <w:p>
      <w:pPr>
        <w:ind w:left="880" w:right="140" w:hanging="393"/>
        <w:spacing w:after="0" w:line="277" w:lineRule="auto"/>
        <w:tabs>
          <w:tab w:leader="none" w:pos="8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55"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stock-based compensation;</w:t>
      </w:r>
    </w:p>
    <w:p>
      <w:pPr>
        <w:spacing w:after="0" w:line="113" w:lineRule="exact"/>
        <w:rPr>
          <w:rFonts w:ascii="Times New Roman" w:cs="Times New Roman" w:eastAsia="Times New Roman" w:hAnsi="Times New Roman"/>
          <w:sz w:val="18"/>
          <w:szCs w:val="18"/>
          <w:color w:val="auto"/>
        </w:rPr>
      </w:pPr>
    </w:p>
    <w:p>
      <w:pPr>
        <w:ind w:left="880" w:right="700" w:hanging="393"/>
        <w:spacing w:after="0" w:line="277" w:lineRule="auto"/>
        <w:tabs>
          <w:tab w:leader="none" w:pos="8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55"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and sub-license fees.</w:t>
      </w:r>
    </w:p>
    <w:p>
      <w:pPr>
        <w:spacing w:after="0" w:line="113" w:lineRule="exact"/>
        <w:rPr>
          <w:sz w:val="20"/>
          <w:szCs w:val="20"/>
          <w:color w:val="auto"/>
        </w:rPr>
      </w:pPr>
    </w:p>
    <w:p>
      <w:pPr>
        <w:ind w:right="800" w:firstLine="480"/>
        <w:spacing w:after="0" w:line="277" w:lineRule="auto"/>
        <w:rPr>
          <w:sz w:val="20"/>
          <w:szCs w:val="20"/>
          <w:color w:val="auto"/>
        </w:rPr>
      </w:pPr>
      <w:r>
        <w:rPr>
          <w:rFonts w:ascii="Times New Roman" w:cs="Times New Roman" w:eastAsia="Times New Roman" w:hAnsi="Times New Roman"/>
          <w:sz w:val="18"/>
          <w:szCs w:val="18"/>
          <w:color w:val="auto"/>
        </w:rPr>
        <w:t>We may also incur in-process research and development expenses as we acquire assets from other parties. Acquired in-process research and development costs that have no alternative future use are immediately expensed.</w:t>
      </w:r>
    </w:p>
    <w:p>
      <w:pPr>
        <w:spacing w:after="0" w:line="56"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18"/>
          <w:szCs w:val="18"/>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56"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and pharmacology studies, manufacturing, and clinical trials.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expect our research and development expenses to be higher for the foreseeable future as we continue to advance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17" w:lineRule="exact"/>
        <w:rPr>
          <w:sz w:val="20"/>
          <w:szCs w:val="20"/>
          <w:color w:val="auto"/>
        </w:rPr>
      </w:pPr>
    </w:p>
    <w:p>
      <w:pPr>
        <w:ind w:right="100" w:firstLine="480"/>
        <w:spacing w:after="0" w:line="26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117" w:lineRule="exact"/>
        <w:rPr>
          <w:sz w:val="20"/>
          <w:szCs w:val="20"/>
          <w:color w:val="auto"/>
        </w:rPr>
      </w:pPr>
    </w:p>
    <w:p>
      <w:pPr>
        <w:ind w:right="140" w:firstLine="560"/>
        <w:spacing w:after="0" w:line="254" w:lineRule="auto"/>
        <w:rPr>
          <w:sz w:val="20"/>
          <w:szCs w:val="20"/>
          <w:color w:val="auto"/>
        </w:rPr>
      </w:pPr>
      <w:r>
        <w:rPr>
          <w:rFonts w:ascii="Times New Roman" w:cs="Times New Roman" w:eastAsia="Times New Roman" w:hAnsi="Times New Roman"/>
          <w:sz w:val="18"/>
          <w:szCs w:val="18"/>
          <w:color w:val="auto"/>
        </w:rPr>
        <w:t xml:space="preserve">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and the Zejula Royalty Monetization Agreement (the “Royalty Monetization” Agreements). Our estimate of the interest rate under the arrangements is based on forecasted royalty and milestone payments expected to be made over the life of the agreements.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short-term and long-term investments and is recognized when earned.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17"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Securities and Exchange Commission (the “SEC”) on March 11, 2024.</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the Three and Nine Months Ended September 30, 2024 and 2023</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17"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 xml:space="preserve">Collaboration revenue consists of both milestone payments under the collaborations, and royalty payments. Our first sales milestone for $15.0 million was recognized during the three and nine months ended September 30, 2024, when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annual sales exceeded $250 million, and is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non-cash revenue related to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No sales milestones were recognized during the three and nine months ended September 30, 2023. We expect that any collaboration revenue we generate will continue to fluctuate from period to period as a result of the timing and amount of milestones from our existing collaborations.</w:t>
      </w:r>
    </w:p>
    <w:p>
      <w:pPr>
        <w:spacing w:after="0" w:line="79"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 xml:space="preserve">Royalty revenue is a function of our partners’ product sales and the applicable royalty rate. During the three months ended September 30, 2024 and 2023, we recognized $15.0 million and $3.3 million, respectively, related to the net sales of GSK’s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Zejula, which we estimate based on either GSK’s prior sales experience or actuals. During the nine months ended September 30, 2024 and 2023, we recognized $33.2 million and $8.2 million, respectively, of royalty revenue related to the net sales of GSK’s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Zejula. All revenue recognized for the three and nine months ended September 30, 2024 and 2023 is non-cash revenue pursuant to the Royalty Monetization Agreements. For more information see Note 5 — Sale of Future Royalties in the accompanying notes to the consolidated financial statements.</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7" w:lineRule="exact"/>
        <w:rPr>
          <w:sz w:val="20"/>
          <w:szCs w:val="20"/>
          <w:color w:val="auto"/>
        </w:rPr>
      </w:pPr>
    </w:p>
    <w:p>
      <w:pPr>
        <w:ind w:right="160" w:firstLine="480"/>
        <w:spacing w:after="0" w:line="262" w:lineRule="auto"/>
        <w:rPr>
          <w:sz w:val="20"/>
          <w:szCs w:val="20"/>
          <w:color w:val="auto"/>
        </w:rPr>
      </w:pPr>
      <w:r>
        <w:rPr>
          <w:rFonts w:ascii="Times New Roman" w:cs="Times New Roman" w:eastAsia="Times New Roman" w:hAnsi="Times New Roman"/>
          <w:sz w:val="18"/>
          <w:szCs w:val="18"/>
          <w:color w:val="auto"/>
        </w:rPr>
        <w:t>Research and development expenses were $42.2 million during the three months ended September 30, 2024 compared to $30.9 million during the three months ended September 30, 2023 for an increase of $11.3 million, primarily due to a $8.8 million increase in clinical expenses, $4.9 million increase in salaries and related expenses, including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69"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expense, and $0.1 million increase in other research and development expenses, offset by a decrease of $2.5 million in outside services for manufacturing expenses.</w:t>
      </w:r>
    </w:p>
    <w:p>
      <w:pPr>
        <w:spacing w:after="0" w:line="56"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Research and development expenses were $121.3 million during the nine months ended September 30, 2024 compared to $98.8 million during the nine months ended September 30, 2023 for an increase of $22.5 million, primarily due to a $26.4 million increase in clinical expenses, $11.3 million increase in salaries and related expenses, including stock-based compensation expense, and $1.0 million increase in other research and development expenses, offset by a decrease of $16.2 million in outside services for manufacturing expenses.</w:t>
      </w:r>
    </w:p>
    <w:p>
      <w:pPr>
        <w:spacing w:after="0" w:line="74"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stock-based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3"/>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280" w:type="dxa"/>
            <w:vAlign w:val="bottom"/>
          </w:tcPr>
          <w:p>
            <w:pPr>
              <w:spacing w:after="0"/>
              <w:rPr>
                <w:sz w:val="16"/>
                <w:szCs w:val="16"/>
                <w:color w:val="auto"/>
              </w:rPr>
            </w:pPr>
          </w:p>
        </w:tc>
        <w:tc>
          <w:tcPr>
            <w:tcW w:w="9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w:t>
            </w:r>
          </w:p>
        </w:tc>
      </w:tr>
      <w:tr>
        <w:trPr>
          <w:trHeight w:val="21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Costs</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27"/>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Rosnilimab</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8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37,161</w:t>
            </w:r>
          </w:p>
        </w:tc>
        <w:tc>
          <w:tcPr>
            <w:tcW w:w="10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20,705</w:t>
            </w:r>
          </w:p>
        </w:tc>
      </w:tr>
      <w:tr>
        <w:trPr>
          <w:trHeight w:val="227"/>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ANB032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8,798</w:t>
            </w:r>
          </w:p>
        </w:tc>
      </w:tr>
      <w:tr>
        <w:trPr>
          <w:trHeight w:val="227"/>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ANB033</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27"/>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ANB101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r>
      <w:tr>
        <w:trPr>
          <w:trHeight w:val="227"/>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Imsidolimab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w:t>
            </w:r>
          </w:p>
        </w:tc>
      </w:tr>
      <w:tr>
        <w:trPr>
          <w:trHeight w:val="227"/>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Preclinical and other unallocated costs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External Costs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11,188</w:t>
            </w:r>
          </w:p>
        </w:tc>
      </w:tr>
      <w:tr>
        <w:trPr>
          <w:trHeight w:val="22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Costs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w:t>
            </w: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42,212</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30,878</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121,251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98,758</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22,493</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7" w:lineRule="exact"/>
        <w:rPr>
          <w:sz w:val="20"/>
          <w:szCs w:val="20"/>
          <w:color w:val="auto"/>
        </w:rPr>
      </w:pPr>
    </w:p>
    <w:p>
      <w:pPr>
        <w:ind w:right="160" w:firstLine="480"/>
        <w:spacing w:after="0" w:line="262" w:lineRule="auto"/>
        <w:rPr>
          <w:sz w:val="20"/>
          <w:szCs w:val="20"/>
          <w:color w:val="auto"/>
        </w:rPr>
      </w:pPr>
      <w:r>
        <w:rPr>
          <w:rFonts w:ascii="Times New Roman" w:cs="Times New Roman" w:eastAsia="Times New Roman" w:hAnsi="Times New Roman"/>
          <w:sz w:val="18"/>
          <w:szCs w:val="18"/>
          <w:color w:val="auto"/>
        </w:rPr>
        <w:t>General and administrative expenses were $10.6 million during the three months ended September 30, 2024 compared to $10.2 million during the three months ended September 30, 2023 for an increase of $0.4 million, primarily due to a $0.5 million increase in market research cost, and a $0.1 million increase in personnel costs, including stock-based compensation expense, offset by a decrease of $0.2 million in legal and insurance expenses.</w:t>
      </w:r>
    </w:p>
    <w:p>
      <w:pPr>
        <w:spacing w:after="0" w:line="69"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were $32.2 million during the nine months ended September 30, 2024 compared to $31.7 million during the nine months ended September 30, 2023 for an increase of $0.5 million, primarily due to a $0.2 million increase in market research cost, $0.2 million increase in personnel costs, including stock-based compensation expense, and $0.3 million increase in legal and other general and administrative expenses, offset by a decrease of $0.2 million in insurance expense.</w:t>
      </w:r>
    </w:p>
    <w:p>
      <w:pPr>
        <w:spacing w:after="0" w:line="74" w:lineRule="exact"/>
        <w:rPr>
          <w:sz w:val="20"/>
          <w:szCs w:val="20"/>
          <w:color w:val="auto"/>
        </w:rPr>
      </w:pPr>
    </w:p>
    <w:p>
      <w:pPr>
        <w:ind w:right="320" w:firstLine="560"/>
        <w:spacing w:after="0" w:line="257"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as we incur costs associated with being a publicly traded company, including stock compensation expense,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117" w:lineRule="exact"/>
        <w:rPr>
          <w:sz w:val="20"/>
          <w:szCs w:val="20"/>
          <w:color w:val="auto"/>
        </w:rPr>
      </w:pPr>
    </w:p>
    <w:p>
      <w:pPr>
        <w:ind w:right="40" w:firstLine="480"/>
        <w:spacing w:after="0" w:line="262" w:lineRule="auto"/>
        <w:rPr>
          <w:sz w:val="20"/>
          <w:szCs w:val="20"/>
          <w:color w:val="auto"/>
        </w:rPr>
      </w:pPr>
      <w:r>
        <w:rPr>
          <w:rFonts w:ascii="Times New Roman" w:cs="Times New Roman" w:eastAsia="Times New Roman" w:hAnsi="Times New Roman"/>
          <w:sz w:val="18"/>
          <w:szCs w:val="18"/>
          <w:color w:val="auto"/>
        </w:rPr>
        <w:t xml:space="preserve">Non-cash interest expense was $15.4 million and $4.4 million during the three months ended September 30, 2024 and 2023, respectively. The increase of $11.0 million in non-cash interest expense is primarily due to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Amendment which increased the threshold amounts of aggregate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royalties and milestones to be received by Sagard.</w:t>
      </w:r>
    </w:p>
    <w:p>
      <w:pPr>
        <w:spacing w:after="0" w:line="69" w:lineRule="exact"/>
        <w:rPr>
          <w:sz w:val="20"/>
          <w:szCs w:val="20"/>
          <w:color w:val="auto"/>
        </w:rPr>
      </w:pPr>
    </w:p>
    <w:p>
      <w:pPr>
        <w:ind w:right="460" w:firstLine="480"/>
        <w:spacing w:after="0" w:line="262" w:lineRule="auto"/>
        <w:rPr>
          <w:sz w:val="20"/>
          <w:szCs w:val="20"/>
          <w:color w:val="auto"/>
        </w:rPr>
      </w:pPr>
      <w:r>
        <w:rPr>
          <w:rFonts w:ascii="Times New Roman" w:cs="Times New Roman" w:eastAsia="Times New Roman" w:hAnsi="Times New Roman"/>
          <w:sz w:val="18"/>
          <w:szCs w:val="18"/>
          <w:color w:val="auto"/>
        </w:rPr>
        <w:t xml:space="preserve">Non-cash interest expense was $32.7 million and $13.1 million during the nine months ended September 30, 2024 and 2023, respectively. The increase of $19.6 million in non-cash interest expense is primarily due to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Amendment which increased the threshold amounts of aggregate </w:t>
      </w:r>
      <w:r>
        <w:rPr>
          <w:rFonts w:ascii="Times New Roman" w:cs="Times New Roman" w:eastAsia="Times New Roman" w:hAnsi="Times New Roman"/>
          <w:sz w:val="18"/>
          <w:szCs w:val="18"/>
          <w:i w:val="1"/>
          <w:iCs w:val="1"/>
          <w:color w:val="auto"/>
        </w:rPr>
        <w:t xml:space="preserve">Jemperli </w:t>
      </w:r>
      <w:r>
        <w:rPr>
          <w:rFonts w:ascii="Times New Roman" w:cs="Times New Roman" w:eastAsia="Times New Roman" w:hAnsi="Times New Roman"/>
          <w:sz w:val="18"/>
          <w:szCs w:val="18"/>
          <w:color w:val="auto"/>
        </w:rPr>
        <w:t>royalties and milestones to be received by Sagard.</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7" w:lineRule="exact"/>
        <w:rPr>
          <w:sz w:val="20"/>
          <w:szCs w:val="20"/>
          <w:color w:val="auto"/>
        </w:rPr>
      </w:pPr>
    </w:p>
    <w:p>
      <w:pPr>
        <w:ind w:right="120" w:firstLine="480"/>
        <w:spacing w:after="0" w:line="262" w:lineRule="auto"/>
        <w:rPr>
          <w:sz w:val="20"/>
          <w:szCs w:val="20"/>
          <w:color w:val="auto"/>
        </w:rPr>
      </w:pPr>
      <w:r>
        <w:rPr>
          <w:rFonts w:ascii="Times New Roman" w:cs="Times New Roman" w:eastAsia="Times New Roman" w:hAnsi="Times New Roman"/>
          <w:sz w:val="18"/>
          <w:szCs w:val="18"/>
          <w:color w:val="auto"/>
        </w:rPr>
        <w:t>Interest income was $5.3 million and $4.9 million during the three months ended September 30, 2024 and 2023, respectively, which primarily related to our short-term and long-term investments. The increase in interest income is primarily due to the timing of sales, maturities and purchases of our investments.</w:t>
      </w:r>
    </w:p>
    <w:p>
      <w:pPr>
        <w:spacing w:after="0" w:line="69" w:lineRule="exact"/>
        <w:rPr>
          <w:sz w:val="20"/>
          <w:szCs w:val="20"/>
          <w:color w:val="auto"/>
        </w:rPr>
      </w:pPr>
    </w:p>
    <w:p>
      <w:pPr>
        <w:ind w:right="220" w:firstLine="480"/>
        <w:spacing w:after="0" w:line="262" w:lineRule="auto"/>
        <w:rPr>
          <w:sz w:val="20"/>
          <w:szCs w:val="20"/>
          <w:color w:val="auto"/>
        </w:rPr>
      </w:pPr>
      <w:r>
        <w:rPr>
          <w:rFonts w:ascii="Times New Roman" w:cs="Times New Roman" w:eastAsia="Times New Roman" w:hAnsi="Times New Roman"/>
          <w:sz w:val="18"/>
          <w:szCs w:val="18"/>
          <w:color w:val="auto"/>
        </w:rPr>
        <w:t>Interest income was $14.5 million and $14.0 million during the nine months ended September 30, 2024 and 2023, respectively, which primarily related to our short-term and long-term investments. The increase in interest income is primarily due to the timing of sales, maturities and purchases of our investments.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7" w:lineRule="exact"/>
        <w:rPr>
          <w:sz w:val="20"/>
          <w:szCs w:val="20"/>
          <w:color w:val="auto"/>
        </w:rPr>
      </w:pPr>
    </w:p>
    <w:p>
      <w:pPr>
        <w:ind w:right="600" w:firstLine="480"/>
        <w:spacing w:after="0" w:line="277" w:lineRule="auto"/>
        <w:rPr>
          <w:sz w:val="20"/>
          <w:szCs w:val="20"/>
          <w:color w:val="auto"/>
        </w:rPr>
      </w:pPr>
      <w:r>
        <w:rPr>
          <w:rFonts w:ascii="Times New Roman" w:cs="Times New Roman" w:eastAsia="Times New Roman" w:hAnsi="Times New Roman"/>
          <w:sz w:val="18"/>
          <w:szCs w:val="18"/>
          <w:color w:val="auto"/>
        </w:rPr>
        <w:t>Other expense, net was less than $0.1 million for both the three and nine months ended September 30, 2024, which primarily related to foreign exchange transactions with our foreign CROs and CMOs.</w:t>
      </w:r>
    </w:p>
    <w:p>
      <w:pPr>
        <w:spacing w:after="0" w:line="56" w:lineRule="exact"/>
        <w:rPr>
          <w:sz w:val="20"/>
          <w:szCs w:val="20"/>
          <w:color w:val="auto"/>
        </w:rPr>
      </w:pPr>
    </w:p>
    <w:p>
      <w:pPr>
        <w:ind w:right="640" w:firstLine="480"/>
        <w:spacing w:after="0" w:line="277" w:lineRule="auto"/>
        <w:rPr>
          <w:sz w:val="20"/>
          <w:szCs w:val="20"/>
          <w:color w:val="auto"/>
        </w:rPr>
      </w:pPr>
      <w:r>
        <w:rPr>
          <w:rFonts w:ascii="Times New Roman" w:cs="Times New Roman" w:eastAsia="Times New Roman" w:hAnsi="Times New Roman"/>
          <w:sz w:val="18"/>
          <w:szCs w:val="18"/>
          <w:color w:val="auto"/>
        </w:rPr>
        <w:t>Other income, net was less than $0.1 million for both the three and nine months ended September 30, 2023, which primarily related to foreign exchange transactions with our foreign CROs and CMOs.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right="100" w:firstLine="480"/>
        <w:spacing w:after="0" w:line="262" w:lineRule="auto"/>
        <w:rPr>
          <w:sz w:val="20"/>
          <w:szCs w:val="20"/>
          <w:color w:val="auto"/>
        </w:rPr>
      </w:pPr>
      <w:r>
        <w:rPr>
          <w:rFonts w:ascii="Times New Roman" w:cs="Times New Roman" w:eastAsia="Times New Roman" w:hAnsi="Times New Roman"/>
          <w:sz w:val="18"/>
          <w:szCs w:val="18"/>
          <w:color w:val="auto"/>
        </w:rPr>
        <w:t>From our inception through September 30, 2024, we have received an aggregate of $1.3 billion to fund our operations, which included $738.6 million from the sale of equity securities, $335.0 million from the sale of future royalties, and $234.2 million from our collaboration agreements. As of September 30, 2024, we had $458.0 million in cash, cash equivalents and investments.</w:t>
      </w:r>
    </w:p>
    <w:p>
      <w:pPr>
        <w:spacing w:after="0" w:line="69"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and the GSK Settlement Agreement.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spacing w:after="0" w:line="79" w:lineRule="exact"/>
        <w:rPr>
          <w:sz w:val="20"/>
          <w:szCs w:val="20"/>
          <w:color w:val="auto"/>
        </w:rPr>
      </w:pPr>
    </w:p>
    <w:p>
      <w:pPr>
        <w:ind w:right="20" w:firstLine="560"/>
        <w:spacing w:after="0" w:line="273" w:lineRule="auto"/>
        <w:rPr>
          <w:sz w:val="20"/>
          <w:szCs w:val="20"/>
          <w:color w:val="auto"/>
        </w:rPr>
      </w:pPr>
      <w:r>
        <w:rPr>
          <w:rFonts w:ascii="Times New Roman" w:cs="Times New Roman" w:eastAsia="Times New Roman" w:hAnsi="Times New Roman"/>
          <w:sz w:val="17"/>
          <w:szCs w:val="17"/>
          <w:color w:val="auto"/>
        </w:rPr>
        <w:t>In November 2022, we entered into a sales agreement with Cowen and Company, LLC (“Cowen”), through which we may offer and sell shares of our common stock, having an aggregate offering of up to $150.0 million through Cowen as our sales agent. As of September 30, 2024, we had sold no shares under this agreement. In November 2024, we entered into a sales agreement with TD Securities (USA) LLC (“TD Cowen”), through which we may offer and sell shares of our common stock, having an aggregate offering of up to $100.0 million through TD Cowen as our sales agent. Our prior sales agreement with Cowen will terminate upon effectiveness of the registration statement on the Form S-3 we will file in connection with our sales agreement with TD Cowen.</w:t>
      </w:r>
    </w:p>
    <w:p>
      <w:pPr>
        <w:spacing w:after="0" w:line="62" w:lineRule="exact"/>
        <w:rPr>
          <w:sz w:val="20"/>
          <w:szCs w:val="20"/>
          <w:color w:val="auto"/>
        </w:rPr>
      </w:pPr>
    </w:p>
    <w:p>
      <w:pPr>
        <w:ind w:right="80" w:firstLine="560"/>
        <w:spacing w:after="0" w:line="257" w:lineRule="auto"/>
        <w:rPr>
          <w:sz w:val="20"/>
          <w:szCs w:val="20"/>
          <w:color w:val="auto"/>
        </w:rPr>
      </w:pPr>
      <w:r>
        <w:rPr>
          <w:rFonts w:ascii="Times New Roman" w:cs="Times New Roman" w:eastAsia="Times New Roman" w:hAnsi="Times New Roman"/>
          <w:sz w:val="18"/>
          <w:szCs w:val="18"/>
          <w:color w:val="auto"/>
        </w:rPr>
        <w:t>In August 2024, we entered into an underwriting agreement with TD Cowen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17" w:lineRule="exact"/>
        <w:rPr>
          <w:sz w:val="20"/>
          <w:szCs w:val="20"/>
          <w:color w:val="auto"/>
        </w:rPr>
      </w:pPr>
    </w:p>
    <w:p>
      <w:pPr>
        <w:ind w:right="100" w:firstLine="480"/>
        <w:spacing w:after="0" w:line="262" w:lineRule="auto"/>
        <w:rPr>
          <w:sz w:val="20"/>
          <w:szCs w:val="20"/>
          <w:color w:val="auto"/>
        </w:rPr>
      </w:pPr>
      <w:r>
        <w:rPr>
          <w:rFonts w:ascii="Times New Roman" w:cs="Times New Roman" w:eastAsia="Times New Roman" w:hAnsi="Times New Roman"/>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69"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186"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auto"/>
        </w:rPr>
        <w:t>Cash, cash equivalents and investments totaled $458.0 million as of September 30, 2024, compared to $417.9 million as of December 31, 2023. We believe that our existing cash, cash equivalents and investments will fund our current operating plan for at least the next 12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2024 and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r>
      <w:tr>
        <w:trPr>
          <w:trHeight w:val="193"/>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193"/>
        </w:trPr>
        <w:tc>
          <w:tcPr>
            <w:tcW w:w="79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2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(68,665)</w:t>
            </w:r>
          </w:p>
        </w:tc>
        <w:tc>
          <w:tcPr>
            <w:tcW w:w="100" w:type="dxa"/>
            <w:vAlign w:val="bottom"/>
          </w:tcPr>
          <w:p>
            <w:pPr>
              <w:spacing w:after="0"/>
              <w:rPr>
                <w:sz w:val="19"/>
                <w:szCs w:val="19"/>
                <w:color w:val="auto"/>
              </w:rPr>
            </w:pPr>
          </w:p>
        </w:tc>
        <w:tc>
          <w:tcPr>
            <w:tcW w:w="60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235"/>
              <w:spacing w:after="0"/>
              <w:rPr>
                <w:sz w:val="20"/>
                <w:szCs w:val="20"/>
                <w:color w:val="auto"/>
              </w:rPr>
            </w:pPr>
            <w:r>
              <w:rPr>
                <w:rFonts w:ascii="Times New Roman" w:cs="Times New Roman" w:eastAsia="Times New Roman" w:hAnsi="Times New Roman"/>
                <w:sz w:val="18"/>
                <w:szCs w:val="18"/>
                <w:color w:val="auto"/>
              </w:rPr>
              <w:t>(86,451)</w:t>
            </w:r>
          </w:p>
        </w:tc>
      </w:tr>
      <w:tr>
        <w:trPr>
          <w:trHeight w:val="227"/>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124,794</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left="275"/>
              <w:spacing w:after="0"/>
              <w:rPr>
                <w:sz w:val="20"/>
                <w:szCs w:val="20"/>
                <w:color w:val="auto"/>
              </w:rPr>
            </w:pPr>
            <w:r>
              <w:rPr>
                <w:rFonts w:ascii="Times New Roman" w:cs="Times New Roman" w:eastAsia="Times New Roman" w:hAnsi="Times New Roman"/>
                <w:sz w:val="18"/>
                <w:szCs w:val="18"/>
                <w:color w:val="auto"/>
              </w:rPr>
              <w:t>95,576</w:t>
            </w:r>
          </w:p>
        </w:tc>
      </w:tr>
      <w:tr>
        <w:trPr>
          <w:trHeight w:val="22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99,487</w:t>
            </w:r>
          </w:p>
        </w:tc>
        <w:tc>
          <w:tcPr>
            <w:tcW w:w="1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8"/>
                <w:szCs w:val="18"/>
                <w:color w:val="auto"/>
              </w:rPr>
              <w:t>(54,138)</w:t>
            </w:r>
          </w:p>
        </w:tc>
      </w:tr>
      <w:tr>
        <w:trPr>
          <w:trHeight w:val="245"/>
        </w:trPr>
        <w:tc>
          <w:tcPr>
            <w:tcW w:w="7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80" w:type="dxa"/>
            <w:vAlign w:val="bottom"/>
            <w:tcBorders>
              <w:bottom w:val="single" w:sz="8" w:color="auto"/>
            </w:tcBorders>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155,616</w:t>
            </w:r>
          </w:p>
        </w:tc>
        <w:tc>
          <w:tcPr>
            <w:tcW w:w="1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center"/>
              <w:ind w:left="235"/>
              <w:spacing w:after="0"/>
              <w:rPr>
                <w:sz w:val="20"/>
                <w:szCs w:val="20"/>
                <w:color w:val="auto"/>
              </w:rPr>
            </w:pPr>
            <w:r>
              <w:rPr>
                <w:rFonts w:ascii="Times New Roman" w:cs="Times New Roman" w:eastAsia="Times New Roman" w:hAnsi="Times New Roman"/>
                <w:sz w:val="18"/>
                <w:szCs w:val="18"/>
                <w:color w:val="auto"/>
              </w:rPr>
              <w:t>(45,013)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5" w:lineRule="exact"/>
        <w:rPr>
          <w:sz w:val="20"/>
          <w:szCs w:val="20"/>
          <w:color w:val="auto"/>
        </w:rPr>
      </w:pPr>
    </w:p>
    <w:p>
      <w:pPr>
        <w:ind w:right="260" w:firstLine="480"/>
        <w:spacing w:after="0" w:line="262"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2024 of $68.7 million was primarily due to our net loss of $123.4 million, adjusted for addbacks for non-cash expenses of $52.3 million, which includes stock-based compensation, amortization of operating ROU assets, non-cash interest expense, income from marketable securities and net increases in working capital of $2.4 million.</w:t>
      </w:r>
    </w:p>
    <w:p>
      <w:pPr>
        <w:spacing w:after="0" w:line="69" w:lineRule="exact"/>
        <w:rPr>
          <w:sz w:val="20"/>
          <w:szCs w:val="20"/>
          <w:color w:val="auto"/>
        </w:rPr>
      </w:pPr>
    </w:p>
    <w:p>
      <w:pPr>
        <w:ind w:right="260" w:firstLine="480"/>
        <w:spacing w:after="0" w:line="262"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2023 of $86.5 million was primarily due to our net loss of $121.4 million, adjusted for addbacks for non-cash expenses of $32.6 million, which includes stock-based compensation, amortization of operating ROU assets, non-cash interest expense, income from marketable securities and net increases in working capital of $2.3 million.</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5" w:lineRule="exact"/>
        <w:rPr>
          <w:sz w:val="20"/>
          <w:szCs w:val="20"/>
          <w:color w:val="auto"/>
        </w:rPr>
      </w:pPr>
    </w:p>
    <w:p>
      <w:pPr>
        <w:ind w:right="880" w:firstLine="480"/>
        <w:spacing w:after="0" w:line="277"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September 30, 2024 and 2023 of $124.8 million and $95.6 million, respectively, primarily relates to the timing of sales, maturities and purchases of our investments.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5" w:lineRule="exact"/>
        <w:rPr>
          <w:sz w:val="20"/>
          <w:szCs w:val="20"/>
          <w:color w:val="auto"/>
        </w:rPr>
      </w:pPr>
    </w:p>
    <w:p>
      <w:pPr>
        <w:ind w:right="260" w:firstLine="480"/>
        <w:spacing w:after="0" w:line="257" w:lineRule="auto"/>
        <w:rPr>
          <w:sz w:val="20"/>
          <w:szCs w:val="20"/>
          <w:color w:val="auto"/>
        </w:rPr>
      </w:pPr>
      <w:r>
        <w:rPr>
          <w:rFonts w:ascii="Times New Roman" w:cs="Times New Roman" w:eastAsia="Times New Roman" w:hAnsi="Times New Roman"/>
          <w:sz w:val="18"/>
          <w:szCs w:val="18"/>
          <w:color w:val="auto"/>
        </w:rPr>
        <w:t>The net cash provided by financing activities during the nine months ended September 30, 2024 of $99.5 million was primarily related to $94.4 million of proceeds received from public offerings, net of underwriters’ fees, $50.0 million received for the sale of future royalties, $5.9 million of cash received for the issuance of common stock, offset by $42.8 million for repayments of the liability for the sale of future royalties, $7.5 million for net share settlement of equity awards, and $0.5 million payments for offering and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69" w:lineRule="exact"/>
        <w:rPr>
          <w:sz w:val="20"/>
          <w:szCs w:val="20"/>
          <w:color w:val="auto"/>
        </w:rPr>
      </w:pPr>
    </w:p>
    <w:p>
      <w:pPr>
        <w:jc w:val="both"/>
        <w:ind w:right="80" w:firstLine="480"/>
        <w:spacing w:after="0" w:line="262" w:lineRule="auto"/>
        <w:rPr>
          <w:sz w:val="20"/>
          <w:szCs w:val="20"/>
          <w:color w:val="auto"/>
        </w:rPr>
      </w:pPr>
      <w:r>
        <w:rPr>
          <w:rFonts w:ascii="Times New Roman" w:cs="Times New Roman" w:eastAsia="Times New Roman" w:hAnsi="Times New Roman"/>
          <w:sz w:val="18"/>
          <w:szCs w:val="18"/>
          <w:color w:val="auto"/>
        </w:rPr>
        <w:t>The net cash used in financing activities during the nine months ended September 30, 2023 of $54.1 million was primarily related to $50.0 million paid for repurchases and retirements of common stock, $6.3 million for repayments of the liability for the sale of future royalties, offset by $2.2 million of cash received for the issuance of common stock.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7"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79" w:lineRule="exact"/>
        <w:rPr>
          <w:sz w:val="20"/>
          <w:szCs w:val="20"/>
          <w:color w:val="auto"/>
        </w:rPr>
      </w:pPr>
    </w:p>
    <w:p>
      <w:pPr>
        <w:ind w:right="20" w:firstLine="480"/>
        <w:spacing w:after="0" w:line="277" w:lineRule="auto"/>
        <w:rPr>
          <w:sz w:val="20"/>
          <w:szCs w:val="20"/>
          <w:color w:val="auto"/>
        </w:rPr>
      </w:pPr>
      <w:r>
        <w:rPr>
          <w:rFonts w:ascii="Times New Roman" w:cs="Times New Roman" w:eastAsia="Times New Roman" w:hAnsi="Times New Roman"/>
          <w:sz w:val="18"/>
          <w:szCs w:val="18"/>
          <w:color w:val="auto"/>
        </w:rPr>
        <w:t>For further information related to our operating lease and future minimum annual obligations, see Note 9 — Commitments and Contingencies in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ind w:right="40" w:firstLine="480"/>
        <w:spacing w:after="0" w:line="262" w:lineRule="auto"/>
        <w:rPr>
          <w:sz w:val="20"/>
          <w:szCs w:val="20"/>
          <w:color w:val="auto"/>
        </w:rPr>
      </w:pPr>
      <w:r>
        <w:rPr>
          <w:rFonts w:ascii="Times New Roman" w:cs="Times New Roman" w:eastAsia="Times New Roman" w:hAnsi="Times New Roman"/>
          <w:sz w:val="18"/>
          <w:szCs w:val="18"/>
          <w:color w:val="auto"/>
        </w:rPr>
        <w:t>As of September 30, 2024,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March 11,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7" w:lineRule="exact"/>
        <w:rPr>
          <w:sz w:val="20"/>
          <w:szCs w:val="20"/>
          <w:color w:val="auto"/>
        </w:rPr>
      </w:pPr>
    </w:p>
    <w:p>
      <w:pPr>
        <w:ind w:right="100" w:firstLine="480"/>
        <w:spacing w:after="0" w:line="252"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September 30, 2024,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80" w:lineRule="exact"/>
        <w:rPr>
          <w:sz w:val="20"/>
          <w:szCs w:val="20"/>
          <w:color w:val="auto"/>
        </w:rPr>
      </w:pPr>
    </w:p>
    <w:p>
      <w:pPr>
        <w:ind w:right="480" w:firstLine="480"/>
        <w:spacing w:after="0" w:line="307" w:lineRule="auto"/>
        <w:rPr>
          <w:sz w:val="20"/>
          <w:szCs w:val="20"/>
          <w:color w:val="auto"/>
        </w:rPr>
      </w:pPr>
      <w:r>
        <w:rPr>
          <w:rFonts w:ascii="Times New Roman" w:cs="Times New Roman" w:eastAsia="Times New Roman" w:hAnsi="Times New Roman"/>
          <w:sz w:val="17"/>
          <w:szCs w:val="17"/>
          <w:color w:val="auto"/>
        </w:rPr>
        <w:t>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7"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7" w:lineRule="exact"/>
        <w:rPr>
          <w:sz w:val="20"/>
          <w:szCs w:val="20"/>
          <w:color w:val="auto"/>
        </w:rPr>
      </w:pPr>
    </w:p>
    <w:p>
      <w:pPr>
        <w:jc w:val="both"/>
        <w:ind w:right="200" w:firstLine="480"/>
        <w:spacing w:after="0" w:line="284" w:lineRule="auto"/>
        <w:rPr>
          <w:sz w:val="20"/>
          <w:szCs w:val="20"/>
          <w:color w:val="auto"/>
        </w:rPr>
      </w:pPr>
      <w:r>
        <w:rPr>
          <w:rFonts w:ascii="Times New Roman" w:cs="Times New Roman" w:eastAsia="Times New Roman" w:hAnsi="Times New Roman"/>
          <w:sz w:val="17"/>
          <w:szCs w:val="17"/>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2"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17" w:lineRule="exact"/>
        <w:rPr>
          <w:sz w:val="20"/>
          <w:szCs w:val="20"/>
          <w:color w:val="auto"/>
        </w:rPr>
      </w:pPr>
    </w:p>
    <w:p>
      <w:pPr>
        <w:ind w:right="340" w:firstLine="560"/>
        <w:spacing w:after="0" w:line="277"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56" w:lineRule="exact"/>
        <w:rPr>
          <w:sz w:val="20"/>
          <w:szCs w:val="20"/>
          <w:color w:val="auto"/>
        </w:rPr>
      </w:pPr>
    </w:p>
    <w:p>
      <w:pPr>
        <w:ind w:left="880" w:right="160" w:hanging="393"/>
        <w:spacing w:after="0" w:line="257" w:lineRule="auto"/>
        <w:tabs>
          <w:tab w:leader="none" w:pos="8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4" w:lineRule="exact"/>
        <w:rPr>
          <w:rFonts w:ascii="Times New Roman" w:cs="Times New Roman" w:eastAsia="Times New Roman" w:hAnsi="Times New Roman"/>
          <w:sz w:val="18"/>
          <w:szCs w:val="18"/>
          <w:color w:val="auto"/>
        </w:rPr>
      </w:pPr>
    </w:p>
    <w:p>
      <w:pPr>
        <w:ind w:left="880" w:right="80" w:hanging="393"/>
        <w:spacing w:after="0" w:line="262" w:lineRule="auto"/>
        <w:tabs>
          <w:tab w:leader="none" w:pos="8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69" w:lineRule="exact"/>
        <w:rPr>
          <w:rFonts w:ascii="Times New Roman" w:cs="Times New Roman" w:eastAsia="Times New Roman" w:hAnsi="Times New Roman"/>
          <w:sz w:val="18"/>
          <w:szCs w:val="18"/>
          <w:color w:val="auto"/>
        </w:rPr>
      </w:pPr>
    </w:p>
    <w:p>
      <w:pPr>
        <w:ind w:left="880" w:right="280" w:hanging="393"/>
        <w:spacing w:after="0" w:line="277" w:lineRule="auto"/>
        <w:tabs>
          <w:tab w:leader="none" w:pos="8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55"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 candidates receive regulatory approval, they will be subject to significant post-marketing regulatory requirements.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product candidates and develop marketable products.</w:t>
      </w:r>
    </w:p>
    <w:p>
      <w:pPr>
        <w:spacing w:after="0" w:line="113" w:lineRule="exact"/>
        <w:rPr>
          <w:rFonts w:ascii="Times New Roman" w:cs="Times New Roman" w:eastAsia="Times New Roman" w:hAnsi="Times New Roman"/>
          <w:sz w:val="18"/>
          <w:szCs w:val="18"/>
          <w:color w:val="auto"/>
        </w:rPr>
      </w:pPr>
    </w:p>
    <w:p>
      <w:pPr>
        <w:ind w:left="880" w:right="160" w:hanging="393"/>
        <w:spacing w:after="0" w:line="277" w:lineRule="auto"/>
        <w:tabs>
          <w:tab w:leader="none" w:pos="8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in Phase 2 clinical development of rosnilimab and ANB032, and have no history of commercializing biotechnology products, which may make it difficult to evaluate the prospects for our future viability.</w:t>
      </w:r>
    </w:p>
    <w:p>
      <w:pPr>
        <w:spacing w:after="0" w:line="55" w:lineRule="exact"/>
        <w:rPr>
          <w:rFonts w:ascii="Times New Roman" w:cs="Times New Roman" w:eastAsia="Times New Roman" w:hAnsi="Times New Roman"/>
          <w:sz w:val="18"/>
          <w:szCs w:val="18"/>
          <w:color w:val="auto"/>
        </w:rPr>
      </w:pPr>
    </w:p>
    <w:p>
      <w:pPr>
        <w:ind w:left="880" w:right="320" w:hanging="393"/>
        <w:spacing w:after="0" w:line="277" w:lineRule="auto"/>
        <w:tabs>
          <w:tab w:leader="none" w:pos="8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55" w:lineRule="exact"/>
        <w:rPr>
          <w:rFonts w:ascii="Times New Roman" w:cs="Times New Roman" w:eastAsia="Times New Roman" w:hAnsi="Times New Roman"/>
          <w:sz w:val="18"/>
          <w:szCs w:val="18"/>
          <w:color w:val="auto"/>
        </w:rPr>
      </w:pPr>
    </w:p>
    <w:p>
      <w:pPr>
        <w:ind w:left="880" w:right="220" w:hanging="393"/>
        <w:spacing w:after="0" w:line="277" w:lineRule="auto"/>
        <w:tabs>
          <w:tab w:leader="none" w:pos="8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achieve adequate market acceptance among physicians, patients, health care payors and others in the medical community necessary for commercial success.</w:t>
      </w:r>
    </w:p>
    <w:p>
      <w:pPr>
        <w:spacing w:after="0" w:line="55" w:lineRule="exact"/>
        <w:rPr>
          <w:rFonts w:ascii="Times New Roman" w:cs="Times New Roman" w:eastAsia="Times New Roman" w:hAnsi="Times New Roman"/>
          <w:sz w:val="18"/>
          <w:szCs w:val="18"/>
          <w:color w:val="auto"/>
        </w:rPr>
      </w:pPr>
    </w:p>
    <w:p>
      <w:pPr>
        <w:ind w:left="880" w:right="140" w:hanging="393"/>
        <w:spacing w:after="0" w:line="262" w:lineRule="auto"/>
        <w:tabs>
          <w:tab w:leader="none" w:pos="8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398" w:right="379" w:bottom="1440" w:gutter="0" w:footer="0" w:header="0"/>
        </w:sectPr>
      </w:pPr>
    </w:p>
    <w:bookmarkStart w:id="37" w:name="page38"/>
    <w:bookmarkEnd w:id="37"/>
    <w:p>
      <w:pPr>
        <w:spacing w:after="0" w:line="69" w:lineRule="exact"/>
        <w:rPr>
          <w:sz w:val="20"/>
          <w:szCs w:val="20"/>
          <w:color w:val="auto"/>
        </w:rPr>
      </w:pPr>
    </w:p>
    <w:p>
      <w:pPr>
        <w:ind w:left="880" w:right="260" w:hanging="393"/>
        <w:spacing w:after="0" w:line="262" w:lineRule="auto"/>
        <w:tabs>
          <w:tab w:leader="none" w:pos="8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69" w:lineRule="exact"/>
        <w:rPr>
          <w:rFonts w:ascii="Times New Roman" w:cs="Times New Roman" w:eastAsia="Times New Roman" w:hAnsi="Times New Roman"/>
          <w:sz w:val="18"/>
          <w:szCs w:val="18"/>
          <w:color w:val="auto"/>
        </w:rPr>
      </w:pPr>
    </w:p>
    <w:p>
      <w:pPr>
        <w:ind w:left="880" w:right="140" w:hanging="393"/>
        <w:spacing w:after="0" w:line="262" w:lineRule="auto"/>
        <w:tabs>
          <w:tab w:leader="none" w:pos="8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spacing w:after="0" w:line="69"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revenue and a history of operational losses and may not achieve or sustain profitability.</w:t>
      </w:r>
    </w:p>
    <w:p>
      <w:pPr>
        <w:spacing w:after="0" w:line="113" w:lineRule="exact"/>
        <w:rPr>
          <w:rFonts w:ascii="Times New Roman" w:cs="Times New Roman" w:eastAsia="Times New Roman" w:hAnsi="Times New Roman"/>
          <w:sz w:val="18"/>
          <w:szCs w:val="18"/>
          <w:color w:val="auto"/>
        </w:rPr>
      </w:pPr>
    </w:p>
    <w:p>
      <w:pPr>
        <w:ind w:left="880" w:right="820" w:hanging="393"/>
        <w:spacing w:after="0" w:line="277" w:lineRule="auto"/>
        <w:tabs>
          <w:tab w:leader="none" w:pos="8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products approved for commercial sale, and to date we have not generated any revenue or profit from sales of our product candidates.</w:t>
      </w:r>
    </w:p>
    <w:p>
      <w:pPr>
        <w:spacing w:after="0" w:line="55" w:lineRule="exact"/>
        <w:rPr>
          <w:rFonts w:ascii="Times New Roman" w:cs="Times New Roman" w:eastAsia="Times New Roman" w:hAnsi="Times New Roman"/>
          <w:sz w:val="18"/>
          <w:szCs w:val="18"/>
          <w:color w:val="auto"/>
        </w:rPr>
      </w:pPr>
    </w:p>
    <w:p>
      <w:pPr>
        <w:ind w:left="880" w:right="140" w:hanging="393"/>
        <w:spacing w:after="0" w:line="277" w:lineRule="auto"/>
        <w:tabs>
          <w:tab w:leader="none" w:pos="8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5" w:lineRule="exact"/>
        <w:rPr>
          <w:rFonts w:ascii="Times New Roman" w:cs="Times New Roman" w:eastAsia="Times New Roman" w:hAnsi="Times New Roman"/>
          <w:sz w:val="18"/>
          <w:szCs w:val="18"/>
          <w:color w:val="auto"/>
        </w:rPr>
      </w:pPr>
    </w:p>
    <w:p>
      <w:pPr>
        <w:ind w:left="880" w:right="420" w:hanging="393"/>
        <w:spacing w:after="0" w:line="277" w:lineRule="auto"/>
        <w:tabs>
          <w:tab w:leader="none" w:pos="8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55" w:lineRule="exact"/>
        <w:rPr>
          <w:rFonts w:ascii="Times New Roman" w:cs="Times New Roman" w:eastAsia="Times New Roman" w:hAnsi="Times New Roman"/>
          <w:sz w:val="18"/>
          <w:szCs w:val="18"/>
          <w:color w:val="auto"/>
        </w:rPr>
      </w:pPr>
    </w:p>
    <w:p>
      <w:pPr>
        <w:ind w:left="880" w:hanging="393"/>
        <w:spacing w:after="0" w:line="277" w:lineRule="auto"/>
        <w:tabs>
          <w:tab w:leader="none" w:pos="8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spacing w:after="0" w:line="55" w:lineRule="exact"/>
        <w:rPr>
          <w:rFonts w:ascii="Times New Roman" w:cs="Times New Roman" w:eastAsia="Times New Roman" w:hAnsi="Times New Roman"/>
          <w:sz w:val="18"/>
          <w:szCs w:val="18"/>
          <w:color w:val="auto"/>
        </w:rPr>
      </w:pPr>
    </w:p>
    <w:p>
      <w:pPr>
        <w:ind w:left="880" w:right="120" w:hanging="393"/>
        <w:spacing w:after="0" w:line="277" w:lineRule="auto"/>
        <w:tabs>
          <w:tab w:leader="none" w:pos="8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in the U.S. and throughout the world, we may not be able to compete effectively in our market.</w:t>
      </w:r>
    </w:p>
    <w:p>
      <w:pPr>
        <w:spacing w:after="0" w:line="55"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attract and retain highly skilled employees in order to succeed.</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stock has been and may continue to be volatile, and you could lose all or part of your investment.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and Development of Our Product Candidates</w:t>
      </w:r>
    </w:p>
    <w:p>
      <w:pPr>
        <w:spacing w:after="0" w:line="113"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5" w:lineRule="exact"/>
        <w:rPr>
          <w:sz w:val="20"/>
          <w:szCs w:val="20"/>
          <w:color w:val="auto"/>
        </w:rPr>
      </w:pPr>
    </w:p>
    <w:p>
      <w:pPr>
        <w:ind w:right="60" w:firstLine="560"/>
        <w:spacing w:after="0" w:line="262" w:lineRule="auto"/>
        <w:rPr>
          <w:sz w:val="20"/>
          <w:szCs w:val="20"/>
          <w:color w:val="auto"/>
        </w:rPr>
      </w:pPr>
      <w:r>
        <w:rPr>
          <w:rFonts w:ascii="Times New Roman" w:cs="Times New Roman" w:eastAsia="Times New Roman" w:hAnsi="Times New Roman"/>
          <w:sz w:val="18"/>
          <w:szCs w:val="18"/>
          <w:color w:val="auto"/>
        </w:rPr>
        <w:t>We are developing therapeutic antibodies, including our wholly owned product candidates, as well as other programs that are being developed by our collaborators. However, all of our wholly owned and most of partnered product candidates are in various stages of development, and, for a wide variety of reasons discussed below, may fail in development or suffer delays that adversely affect their commercial viability.</w:t>
      </w:r>
    </w:p>
    <w:p>
      <w:pPr>
        <w:spacing w:after="0" w:line="69" w:lineRule="exact"/>
        <w:rPr>
          <w:sz w:val="20"/>
          <w:szCs w:val="20"/>
          <w:color w:val="auto"/>
        </w:rPr>
      </w:pPr>
    </w:p>
    <w:p>
      <w:pPr>
        <w:ind w:right="60" w:firstLine="560"/>
        <w:spacing w:after="0" w:line="262" w:lineRule="auto"/>
        <w:rPr>
          <w:sz w:val="20"/>
          <w:szCs w:val="20"/>
          <w:color w:val="auto"/>
        </w:rPr>
      </w:pPr>
      <w:r>
        <w:rPr>
          <w:rFonts w:ascii="Times New Roman" w:cs="Times New Roman" w:eastAsia="Times New Roman" w:hAnsi="Times New Roman"/>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69" w:lineRule="exact"/>
        <w:rPr>
          <w:sz w:val="20"/>
          <w:szCs w:val="20"/>
          <w:color w:val="auto"/>
        </w:rPr>
      </w:pPr>
    </w:p>
    <w:p>
      <w:pPr>
        <w:ind w:right="60" w:firstLine="560"/>
        <w:spacing w:after="0" w:line="253" w:lineRule="auto"/>
        <w:rPr>
          <w:sz w:val="20"/>
          <w:szCs w:val="20"/>
          <w:color w:val="auto"/>
        </w:rPr>
      </w:pPr>
      <w:r>
        <w:rPr>
          <w:rFonts w:ascii="Times New Roman" w:cs="Times New Roman" w:eastAsia="Times New Roman" w:hAnsi="Times New Roman"/>
          <w:sz w:val="18"/>
          <w:szCs w:val="18"/>
          <w:color w:val="auto"/>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we believed imsidolimab’s mechanism of action, the inhibition of IL-36R, provided the potential for imsidolimab to be effective for treatment of a range of dermatological inflammatory diseases. However, top-line data from clinical trials of imsidolimab in indications other than GPP did not demonstrate efficacy.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69" w:lineRule="exact"/>
        <w:rPr>
          <w:sz w:val="20"/>
          <w:szCs w:val="20"/>
          <w:color w:val="auto"/>
        </w:rPr>
      </w:pPr>
    </w:p>
    <w:p>
      <w:pPr>
        <w:ind w:right="240" w:firstLine="560"/>
        <w:spacing w:after="0" w:line="262" w:lineRule="auto"/>
        <w:rPr>
          <w:sz w:val="20"/>
          <w:szCs w:val="20"/>
          <w:color w:val="auto"/>
        </w:rPr>
      </w:pPr>
      <w:r>
        <w:rPr>
          <w:rFonts w:ascii="Times New Roman" w:cs="Times New Roman" w:eastAsia="Times New Roman" w:hAnsi="Times New Roman"/>
          <w:sz w:val="18"/>
          <w:szCs w:val="18"/>
          <w:color w:val="auto"/>
        </w:rPr>
        <w:t>If our other ongoing or future clinical trials of any of our product candidates, including, rosnilimab and ANB032, ANB033 or ANB101, are unsuccessful, whether for one of the reasons mentioned above or otherwise, our product candidates may be delayed in development or fail entirely, which would have a material adverse impact on our business.</w:t>
      </w:r>
    </w:p>
    <w:p>
      <w:pPr>
        <w:spacing w:after="0" w:line="69" w:lineRule="exact"/>
        <w:rPr>
          <w:sz w:val="20"/>
          <w:szCs w:val="20"/>
          <w:color w:val="auto"/>
        </w:rPr>
      </w:pPr>
    </w:p>
    <w:p>
      <w:pPr>
        <w:ind w:right="640" w:firstLine="560"/>
        <w:spacing w:after="0" w:line="277" w:lineRule="auto"/>
        <w:rPr>
          <w:sz w:val="20"/>
          <w:szCs w:val="20"/>
          <w:color w:val="auto"/>
        </w:rPr>
      </w:pPr>
      <w:r>
        <w:rPr>
          <w:rFonts w:ascii="Times New Roman" w:cs="Times New Roman" w:eastAsia="Times New Roman" w:hAnsi="Times New Roman"/>
          <w:sz w:val="18"/>
          <w:szCs w:val="18"/>
          <w:color w:val="auto"/>
        </w:rPr>
        <w:t>The success of our current product candidates, and any other product candidates we may develop in the future, will depend on many factors, including the following:</w:t>
      </w:r>
    </w:p>
    <w:p>
      <w:pPr>
        <w:spacing w:after="0" w:line="56" w:lineRule="exact"/>
        <w:rPr>
          <w:sz w:val="20"/>
          <w:szCs w:val="20"/>
          <w:color w:val="auto"/>
        </w:rPr>
      </w:pPr>
    </w:p>
    <w:p>
      <w:pPr>
        <w:ind w:left="880" w:hanging="39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our planned clinical trials;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from applicable regulatory authorities;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and/or making arrangements with third-party manufacturers;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 for our product candidates and their components;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product candidates’ intended indications;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third parties;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 candidates through clinical trials and following regulatory approval.</w:t>
      </w:r>
    </w:p>
    <w:p>
      <w:pPr>
        <w:spacing w:after="0" w:line="113" w:lineRule="exact"/>
        <w:rPr>
          <w:sz w:val="20"/>
          <w:szCs w:val="20"/>
          <w:color w:val="auto"/>
        </w:rPr>
      </w:pPr>
    </w:p>
    <w:p>
      <w:pPr>
        <w:ind w:right="180" w:firstLine="560"/>
        <w:spacing w:after="0" w:line="277"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56" w:lineRule="exact"/>
        <w:rPr>
          <w:sz w:val="20"/>
          <w:szCs w:val="20"/>
          <w:color w:val="auto"/>
        </w:rPr>
      </w:pPr>
    </w:p>
    <w:p>
      <w:pPr>
        <w:ind w:right="40" w:firstLine="560"/>
        <w:spacing w:after="0" w:line="252" w:lineRule="auto"/>
        <w:rPr>
          <w:sz w:val="20"/>
          <w:szCs w:val="20"/>
          <w:color w:val="auto"/>
        </w:rPr>
      </w:pPr>
      <w:r>
        <w:rPr>
          <w:rFonts w:ascii="Times New Roman" w:cs="Times New Roman" w:eastAsia="Times New Roman" w:hAnsi="Times New Roman"/>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spacing w:after="0" w:line="18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b w:val="1"/>
          <w:bCs w:val="1"/>
          <w:color w:val="auto"/>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68" w:lineRule="exact"/>
        <w:rPr>
          <w:sz w:val="20"/>
          <w:szCs w:val="20"/>
          <w:color w:val="auto"/>
        </w:rPr>
      </w:pPr>
    </w:p>
    <w:p>
      <w:pPr>
        <w:ind w:firstLine="560"/>
        <w:spacing w:after="0" w:line="254" w:lineRule="auto"/>
        <w:rPr>
          <w:sz w:val="20"/>
          <w:szCs w:val="20"/>
          <w:color w:val="auto"/>
        </w:rPr>
      </w:pPr>
      <w:r>
        <w:rPr>
          <w:rFonts w:ascii="Times New Roman" w:cs="Times New Roman" w:eastAsia="Times New Roman" w:hAnsi="Times New Roman"/>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79" w:lineRule="exact"/>
        <w:rPr>
          <w:sz w:val="20"/>
          <w:szCs w:val="20"/>
          <w:color w:val="auto"/>
        </w:rPr>
      </w:pPr>
    </w:p>
    <w:p>
      <w:pPr>
        <w:ind w:right="80" w:firstLine="560"/>
        <w:spacing w:after="0" w:line="254" w:lineRule="auto"/>
        <w:rPr>
          <w:sz w:val="20"/>
          <w:szCs w:val="20"/>
          <w:color w:val="auto"/>
        </w:rPr>
      </w:pPr>
      <w:r>
        <w:rPr>
          <w:rFonts w:ascii="Times New Roman" w:cs="Times New Roman" w:eastAsia="Times New Roman" w:hAnsi="Times New Roman"/>
          <w:sz w:val="18"/>
          <w:szCs w:val="18"/>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Phase 2 clinical trials with rosnilimab and ANB032 are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9" w:name="page40"/>
    <w:bookmarkEnd w:id="39"/>
    <w:p>
      <w:pPr>
        <w:spacing w:after="0" w:line="69"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7"/>
          <w:szCs w:val="17"/>
          <w:color w:val="auto"/>
        </w:rPr>
        <w:t>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58" w:lineRule="exact"/>
        <w:rPr>
          <w:sz w:val="20"/>
          <w:szCs w:val="20"/>
          <w:color w:val="auto"/>
        </w:rPr>
      </w:pPr>
    </w:p>
    <w:p>
      <w:pPr>
        <w:ind w:firstLine="560"/>
        <w:spacing w:after="0" w:line="250" w:lineRule="auto"/>
        <w:rPr>
          <w:sz w:val="20"/>
          <w:szCs w:val="20"/>
          <w:color w:val="auto"/>
        </w:rPr>
      </w:pPr>
      <w:r>
        <w:rPr>
          <w:rFonts w:ascii="Times New Roman" w:cs="Times New Roman" w:eastAsia="Times New Roman" w:hAnsi="Times New Roman"/>
          <w:sz w:val="18"/>
          <w:szCs w:val="18"/>
          <w:color w:val="auto"/>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spacing w:after="0" w:line="85" w:lineRule="exact"/>
        <w:rPr>
          <w:sz w:val="20"/>
          <w:szCs w:val="20"/>
          <w:color w:val="auto"/>
        </w:rPr>
      </w:pPr>
    </w:p>
    <w:p>
      <w:pPr>
        <w:ind w:right="20" w:firstLine="560"/>
        <w:spacing w:after="0" w:line="251"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83" w:lineRule="exact"/>
        <w:rPr>
          <w:sz w:val="20"/>
          <w:szCs w:val="20"/>
          <w:color w:val="auto"/>
        </w:rPr>
      </w:pPr>
    </w:p>
    <w:p>
      <w:pPr>
        <w:ind w:right="160" w:firstLine="560"/>
        <w:spacing w:after="0" w:line="257" w:lineRule="auto"/>
        <w:rPr>
          <w:sz w:val="20"/>
          <w:szCs w:val="20"/>
          <w:color w:val="auto"/>
        </w:rPr>
      </w:pPr>
      <w:r>
        <w:rPr>
          <w:rFonts w:ascii="Times New Roman" w:cs="Times New Roman" w:eastAsia="Times New Roman" w:hAnsi="Times New Roman"/>
          <w:sz w:val="18"/>
          <w:szCs w:val="18"/>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spacing w:after="0" w:line="177"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53" w:lineRule="exact"/>
        <w:rPr>
          <w:sz w:val="20"/>
          <w:szCs w:val="20"/>
          <w:color w:val="auto"/>
        </w:rPr>
      </w:pPr>
    </w:p>
    <w:p>
      <w:pPr>
        <w:ind w:right="60" w:firstLine="560"/>
        <w:spacing w:after="0" w:line="250" w:lineRule="auto"/>
        <w:rPr>
          <w:sz w:val="20"/>
          <w:szCs w:val="20"/>
          <w:color w:val="auto"/>
        </w:rPr>
      </w:pPr>
      <w:r>
        <w:rPr>
          <w:rFonts w:ascii="Times New Roman" w:cs="Times New Roman" w:eastAsia="Times New Roman" w:hAnsi="Times New Roman"/>
          <w:sz w:val="18"/>
          <w:szCs w:val="18"/>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69" w:lineRule="exact"/>
        <w:rPr>
          <w:sz w:val="20"/>
          <w:szCs w:val="20"/>
          <w:color w:val="auto"/>
        </w:rPr>
      </w:pPr>
    </w:p>
    <w:p>
      <w:pPr>
        <w:ind w:firstLine="560"/>
        <w:spacing w:after="0" w:line="250" w:lineRule="auto"/>
        <w:rPr>
          <w:sz w:val="20"/>
          <w:szCs w:val="20"/>
          <w:color w:val="auto"/>
        </w:rPr>
      </w:pPr>
      <w:r>
        <w:rPr>
          <w:rFonts w:ascii="Times New Roman" w:cs="Times New Roman" w:eastAsia="Times New Roman" w:hAnsi="Times New Roman"/>
          <w:sz w:val="18"/>
          <w:szCs w:val="18"/>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although we believe our Phase 3 trials for imsidolimab for GPP, GEMINI-1 and GEMINI-2 have demonstrated evidence of efficacy and safety in GPP patients to be sufficient to obtain BLA approval, the FDA may determine that we will need additional clinical trials in order to obtain approval of a BLA.</w:t>
      </w:r>
    </w:p>
    <w:p>
      <w:pPr>
        <w:spacing w:after="0" w:line="85" w:lineRule="exact"/>
        <w:rPr>
          <w:sz w:val="20"/>
          <w:szCs w:val="20"/>
          <w:color w:val="auto"/>
        </w:rPr>
      </w:pPr>
    </w:p>
    <w:p>
      <w:pPr>
        <w:ind w:right="160" w:firstLine="560"/>
        <w:spacing w:after="0" w:line="262" w:lineRule="auto"/>
        <w:rPr>
          <w:sz w:val="20"/>
          <w:szCs w:val="20"/>
          <w:color w:val="auto"/>
        </w:rPr>
      </w:pPr>
      <w:r>
        <w:rPr>
          <w:rFonts w:ascii="Times New Roman" w:cs="Times New Roman" w:eastAsia="Times New Roman" w:hAnsi="Times New Roman"/>
          <w:sz w:val="18"/>
          <w:szCs w:val="18"/>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69" w:lineRule="exact"/>
        <w:rPr>
          <w:sz w:val="20"/>
          <w:szCs w:val="20"/>
          <w:color w:val="auto"/>
        </w:rPr>
      </w:pPr>
    </w:p>
    <w:p>
      <w:pPr>
        <w:ind w:left="880" w:right="520" w:hanging="393"/>
        <w:spacing w:after="0" w:line="277" w:lineRule="auto"/>
        <w:tabs>
          <w:tab w:leader="none" w:pos="8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for safety reasons or following an inspection of clinical trial operations or site by the FDA or other regulatory authorities;</w:t>
      </w:r>
    </w:p>
    <w:p>
      <w:pPr>
        <w:spacing w:after="0" w:line="55"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challenges;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quality of product candidates or other materials necessary to conduct clinical trials;</w:t>
      </w:r>
    </w:p>
    <w:p>
      <w:pPr>
        <w:spacing w:after="0" w:line="113" w:lineRule="exact"/>
        <w:rPr>
          <w:rFonts w:ascii="Times New Roman" w:cs="Times New Roman" w:eastAsia="Times New Roman" w:hAnsi="Times New Roman"/>
          <w:sz w:val="18"/>
          <w:szCs w:val="18"/>
          <w:color w:val="auto"/>
        </w:rPr>
      </w:pPr>
    </w:p>
    <w:p>
      <w:pPr>
        <w:ind w:left="880" w:right="340" w:hanging="393"/>
        <w:spacing w:after="0" w:line="277" w:lineRule="auto"/>
        <w:tabs>
          <w:tab w:leader="none" w:pos="8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55"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or clinical sites becoming unavailable due to political, economic, or public health events;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electing to terminate their participation in one of our clinical trials;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medical investigators to follow clinical trial protocols;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clinical trial administrative actions;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patient enrollment;</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standards of care;</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concerns;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or prevalence of use of a comparative drug or required prior therapy; or</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outcomes or financial constraints.</w:t>
      </w:r>
    </w:p>
    <w:p>
      <w:pPr>
        <w:spacing w:after="0" w:line="113" w:lineRule="exact"/>
        <w:rPr>
          <w:sz w:val="20"/>
          <w:szCs w:val="20"/>
          <w:color w:val="auto"/>
        </w:rPr>
      </w:pPr>
    </w:p>
    <w:p>
      <w:pPr>
        <w:ind w:firstLine="560"/>
        <w:spacing w:after="0" w:line="252" w:lineRule="auto"/>
        <w:rPr>
          <w:sz w:val="20"/>
          <w:szCs w:val="20"/>
          <w:color w:val="auto"/>
        </w:rPr>
      </w:pPr>
      <w:r>
        <w:rPr>
          <w:rFonts w:ascii="Times New Roman" w:cs="Times New Roman" w:eastAsia="Times New Roman" w:hAnsi="Times New Roman"/>
          <w:sz w:val="18"/>
          <w:szCs w:val="18"/>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we or our collaborators experience any of the issues described above, or other similar or related issues, we or our collaborators may:</w:t>
      </w:r>
    </w:p>
    <w:p>
      <w:pPr>
        <w:spacing w:after="0" w:line="113" w:lineRule="exact"/>
        <w:rPr>
          <w:sz w:val="20"/>
          <w:szCs w:val="20"/>
          <w:color w:val="auto"/>
        </w:rPr>
      </w:pPr>
    </w:p>
    <w:p>
      <w:pPr>
        <w:ind w:left="880" w:hanging="39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69" w:lineRule="exact"/>
        <w:rPr>
          <w:sz w:val="20"/>
          <w:szCs w:val="20"/>
          <w:color w:val="auto"/>
        </w:rPr>
      </w:pPr>
    </w:p>
    <w:p>
      <w:pPr>
        <w:ind w:left="880" w:hanging="39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13" w:lineRule="exact"/>
        <w:rPr>
          <w:sz w:val="20"/>
          <w:szCs w:val="20"/>
          <w:color w:val="auto"/>
        </w:rPr>
      </w:pPr>
    </w:p>
    <w:p>
      <w:pPr>
        <w:ind w:right="40" w:firstLine="560"/>
        <w:spacing w:after="0" w:line="253" w:lineRule="auto"/>
        <w:rPr>
          <w:sz w:val="20"/>
          <w:szCs w:val="20"/>
          <w:color w:val="auto"/>
        </w:rPr>
      </w:pPr>
      <w:r>
        <w:rPr>
          <w:rFonts w:ascii="Times New Roman" w:cs="Times New Roman" w:eastAsia="Times New Roman" w:hAnsi="Times New Roman"/>
          <w:sz w:val="18"/>
          <w:szCs w:val="18"/>
          <w:color w:val="auto"/>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 if our product candidates receive regulatory approval, they will be subject to significant post-marketing regulatory requirements.</w:t>
      </w:r>
    </w:p>
    <w:p>
      <w:pPr>
        <w:spacing w:after="0" w:line="117" w:lineRule="exact"/>
        <w:rPr>
          <w:sz w:val="20"/>
          <w:szCs w:val="20"/>
          <w:color w:val="auto"/>
        </w:rPr>
      </w:pPr>
    </w:p>
    <w:p>
      <w:pPr>
        <w:ind w:firstLine="560"/>
        <w:spacing w:after="0" w:line="249" w:lineRule="auto"/>
        <w:rPr>
          <w:sz w:val="20"/>
          <w:szCs w:val="20"/>
          <w:color w:val="auto"/>
        </w:rPr>
      </w:pPr>
      <w:r>
        <w:rPr>
          <w:rFonts w:ascii="Times New Roman" w:cs="Times New Roman" w:eastAsia="Times New Roman" w:hAnsi="Times New Roman"/>
          <w:sz w:val="18"/>
          <w:szCs w:val="18"/>
          <w:color w:val="auto"/>
        </w:rPr>
        <w:t>Any regulatory approvals that we or our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spacing w:after="0" w:line="88" w:lineRule="exact"/>
        <w:rPr>
          <w:sz w:val="20"/>
          <w:szCs w:val="20"/>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 and</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BLAs or supplements to approved BLAs.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line="176" w:lineRule="exact"/>
        <w:rPr>
          <w:sz w:val="20"/>
          <w:szCs w:val="20"/>
          <w:color w:val="auto"/>
        </w:rPr>
      </w:pPr>
    </w:p>
    <w:p>
      <w:pPr>
        <w:ind w:right="600" w:firstLine="560"/>
        <w:spacing w:after="0" w:line="277"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alone or with our collaborators, to commercialize our product candidates and generate revenue.</w:t>
      </w:r>
    </w:p>
    <w:p>
      <w:pPr>
        <w:spacing w:after="0" w:line="56" w:lineRule="exact"/>
        <w:rPr>
          <w:sz w:val="20"/>
          <w:szCs w:val="20"/>
          <w:color w:val="auto"/>
        </w:rPr>
      </w:pPr>
    </w:p>
    <w:p>
      <w:pPr>
        <w:ind w:right="160" w:firstLine="560"/>
        <w:spacing w:after="0" w:line="254"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79" w:lineRule="exact"/>
        <w:rPr>
          <w:sz w:val="20"/>
          <w:szCs w:val="20"/>
          <w:color w:val="auto"/>
        </w:rPr>
      </w:pPr>
    </w:p>
    <w:p>
      <w:pPr>
        <w:ind w:firstLine="560"/>
        <w:spacing w:after="0" w:line="249"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successful in our efforts to expand our pipeline of product candidates and develop marketable products.</w:t>
      </w:r>
    </w:p>
    <w:p>
      <w:pPr>
        <w:spacing w:after="0" w:line="117" w:lineRule="exact"/>
        <w:rPr>
          <w:sz w:val="20"/>
          <w:szCs w:val="20"/>
          <w:color w:val="auto"/>
        </w:rPr>
      </w:pPr>
    </w:p>
    <w:p>
      <w:pPr>
        <w:ind w:right="20" w:firstLine="560"/>
        <w:spacing w:after="0" w:line="251"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spacing w:after="0" w:line="80" w:lineRule="exact"/>
        <w:rPr>
          <w:sz w:val="20"/>
          <w:szCs w:val="20"/>
          <w:color w:val="auto"/>
        </w:rPr>
      </w:pPr>
    </w:p>
    <w:p>
      <w:pPr>
        <w:ind w:right="60" w:firstLine="560"/>
        <w:spacing w:after="0" w:line="251" w:lineRule="auto"/>
        <w:rPr>
          <w:sz w:val="20"/>
          <w:szCs w:val="20"/>
          <w:color w:val="auto"/>
        </w:rPr>
      </w:pPr>
      <w:r>
        <w:rPr>
          <w:rFonts w:ascii="Times New Roman" w:cs="Times New Roman" w:eastAsia="Times New Roman" w:hAnsi="Times New Roman"/>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8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b w:val="1"/>
          <w:bCs w:val="1"/>
          <w:color w:val="auto"/>
        </w:rPr>
        <w:t>We are currently in Phase 2 clinical development of rosnilimab and ANB032, and have no history of commercializing biotechnology products, which may make it difficult to evaluate the prospects for our future viability.</w:t>
      </w:r>
    </w:p>
    <w:p>
      <w:pPr>
        <w:spacing w:after="0" w:line="53" w:lineRule="exact"/>
        <w:rPr>
          <w:sz w:val="20"/>
          <w:szCs w:val="20"/>
          <w:color w:val="auto"/>
        </w:rPr>
      </w:pPr>
    </w:p>
    <w:p>
      <w:pPr>
        <w:ind w:right="500" w:firstLine="560"/>
        <w:spacing w:after="0" w:line="277" w:lineRule="auto"/>
        <w:rPr>
          <w:sz w:val="20"/>
          <w:szCs w:val="20"/>
          <w:color w:val="auto"/>
        </w:rPr>
      </w:pPr>
      <w:r>
        <w:rPr>
          <w:rFonts w:ascii="Times New Roman" w:cs="Times New Roman" w:eastAsia="Times New Roman" w:hAnsi="Times New Roman"/>
          <w:sz w:val="18"/>
          <w:szCs w:val="18"/>
          <w:color w:val="auto"/>
        </w:rPr>
        <w:t>Our operations to date have been largely limited to financing and staffing our company, developing our technology, and developing our wholly owned product candidates and other product candidates in partnerships with our collaborators.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6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 owned product candidates will require significant additional financial and management resources, and reliance on third-party clinical investigators, CROs, consultants or collaborators. Relying on third-party clinical investigators, third-party manufacturing, CROs or collaborators may result in delays that are outside of our control.</w:t>
      </w:r>
    </w:p>
    <w:p>
      <w:pPr>
        <w:spacing w:after="0" w:line="63" w:lineRule="exact"/>
        <w:rPr>
          <w:sz w:val="20"/>
          <w:szCs w:val="20"/>
          <w:color w:val="auto"/>
        </w:rPr>
      </w:pPr>
    </w:p>
    <w:p>
      <w:pPr>
        <w:ind w:right="480" w:firstLine="560"/>
        <w:spacing w:after="0" w:line="262" w:lineRule="auto"/>
        <w:rPr>
          <w:sz w:val="20"/>
          <w:szCs w:val="20"/>
          <w:color w:val="auto"/>
        </w:rPr>
      </w:pPr>
      <w:r>
        <w:rPr>
          <w:rFonts w:ascii="Times New Roman" w:cs="Times New Roman" w:eastAsia="Times New Roman" w:hAnsi="Times New Roman"/>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69" w:lineRule="exact"/>
        <w:rPr>
          <w:sz w:val="20"/>
          <w:szCs w:val="20"/>
          <w:color w:val="auto"/>
        </w:rPr>
      </w:pPr>
    </w:p>
    <w:p>
      <w:pPr>
        <w:ind w:left="880" w:right="80" w:hanging="393"/>
        <w:spacing w:after="0" w:line="277" w:lineRule="auto"/>
        <w:tabs>
          <w:tab w:leader="none" w:pos="8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42"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suspension or termination of a clinical trial once commenced;</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foreign regulatory authorities regarding the number, scope or design of our clinical trials;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clinical trial materials or other supplies necessary for the conduct of our clinical trials;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during clinical trials;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3" w:lineRule="exact"/>
        <w:rPr>
          <w:rFonts w:ascii="Times New Roman" w:cs="Times New Roman" w:eastAsia="Times New Roman" w:hAnsi="Times New Roman"/>
          <w:sz w:val="18"/>
          <w:szCs w:val="18"/>
          <w:color w:val="auto"/>
        </w:rPr>
      </w:pPr>
    </w:p>
    <w:p>
      <w:pPr>
        <w:ind w:left="880" w:right="60" w:hanging="393"/>
        <w:spacing w:after="0" w:line="277" w:lineRule="auto"/>
        <w:tabs>
          <w:tab w:leader="none" w:pos="8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55" w:lineRule="exact"/>
        <w:rPr>
          <w:rFonts w:ascii="Times New Roman" w:cs="Times New Roman" w:eastAsia="Times New Roman" w:hAnsi="Times New Roman"/>
          <w:sz w:val="18"/>
          <w:szCs w:val="18"/>
          <w:color w:val="auto"/>
        </w:rPr>
      </w:pPr>
    </w:p>
    <w:p>
      <w:pPr>
        <w:ind w:left="880" w:right="460" w:hanging="393"/>
        <w:spacing w:after="0" w:line="277" w:lineRule="auto"/>
        <w:tabs>
          <w:tab w:leader="none" w:pos="8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or otherwise unacceptable, drug-related side effects experienced by participants in our planned clinical trials or by individuals using drugs similar to our product candidates;</w:t>
      </w:r>
    </w:p>
    <w:p>
      <w:pPr>
        <w:spacing w:after="0" w:line="55" w:lineRule="exact"/>
        <w:rPr>
          <w:rFonts w:ascii="Times New Roman" w:cs="Times New Roman" w:eastAsia="Times New Roman" w:hAnsi="Times New Roman"/>
          <w:sz w:val="18"/>
          <w:szCs w:val="18"/>
          <w:color w:val="auto"/>
        </w:rPr>
      </w:pPr>
    </w:p>
    <w:p>
      <w:pPr>
        <w:ind w:left="880" w:right="40" w:hanging="393"/>
        <w:spacing w:after="0" w:line="277" w:lineRule="auto"/>
        <w:tabs>
          <w:tab w:leader="none" w:pos="8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5"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foreign regulatory authorities.</w:t>
      </w:r>
    </w:p>
    <w:p>
      <w:pPr>
        <w:spacing w:after="0" w:line="113" w:lineRule="exact"/>
        <w:rPr>
          <w:sz w:val="20"/>
          <w:szCs w:val="20"/>
          <w:color w:val="auto"/>
        </w:rPr>
      </w:pPr>
    </w:p>
    <w:p>
      <w:pPr>
        <w:ind w:right="80" w:firstLine="560"/>
        <w:spacing w:after="0" w:line="277" w:lineRule="auto"/>
        <w:rPr>
          <w:sz w:val="20"/>
          <w:szCs w:val="20"/>
          <w:color w:val="auto"/>
        </w:rPr>
      </w:pPr>
      <w:r>
        <w:rPr>
          <w:rFonts w:ascii="Times New Roman" w:cs="Times New Roman" w:eastAsia="Times New Roman" w:hAnsi="Times New Roman"/>
          <w:sz w:val="18"/>
          <w:szCs w:val="18"/>
          <w:color w:val="auto"/>
        </w:rPr>
        <w:t>Consequently, any predictions you make about our future success or viability based on our operating history may not be as accurate as they could be if we had an established track record in conducting clinical trials or commercializing products.</w:t>
      </w:r>
    </w:p>
    <w:p>
      <w:pPr>
        <w:spacing w:after="0" w:line="56" w:lineRule="exact"/>
        <w:rPr>
          <w:sz w:val="20"/>
          <w:szCs w:val="20"/>
          <w:color w:val="auto"/>
        </w:rPr>
      </w:pPr>
    </w:p>
    <w:p>
      <w:pPr>
        <w:ind w:right="460" w:firstLine="560"/>
        <w:spacing w:after="0" w:line="262" w:lineRule="auto"/>
        <w:rPr>
          <w:sz w:val="20"/>
          <w:szCs w:val="20"/>
          <w:color w:val="auto"/>
        </w:rPr>
      </w:pPr>
      <w:r>
        <w:rPr>
          <w:rFonts w:ascii="Times New Roman" w:cs="Times New Roman" w:eastAsia="Times New Roman" w:hAnsi="Times New Roman"/>
          <w:sz w:val="18"/>
          <w:szCs w:val="18"/>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72"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3" w:lineRule="exact"/>
        <w:rPr>
          <w:sz w:val="20"/>
          <w:szCs w:val="20"/>
          <w:color w:val="auto"/>
        </w:rPr>
      </w:pPr>
    </w:p>
    <w:p>
      <w:pPr>
        <w:ind w:right="60" w:firstLine="560"/>
        <w:spacing w:after="0" w:line="254" w:lineRule="auto"/>
        <w:rPr>
          <w:sz w:val="20"/>
          <w:szCs w:val="20"/>
          <w:color w:val="auto"/>
        </w:rPr>
      </w:pPr>
      <w:r>
        <w:rPr>
          <w:rFonts w:ascii="Times New Roman" w:cs="Times New Roman" w:eastAsia="Times New Roman" w:hAnsi="Times New Roman"/>
          <w:sz w:val="18"/>
          <w:szCs w:val="18"/>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6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80" w:lineRule="exact"/>
        <w:rPr>
          <w:sz w:val="20"/>
          <w:szCs w:val="20"/>
          <w:color w:val="auto"/>
        </w:rPr>
      </w:pPr>
    </w:p>
    <w:p>
      <w:pPr>
        <w:ind w:right="60" w:firstLine="560"/>
        <w:spacing w:after="0" w:line="251" w:lineRule="auto"/>
        <w:rPr>
          <w:sz w:val="20"/>
          <w:szCs w:val="20"/>
          <w:color w:val="auto"/>
        </w:rPr>
      </w:pPr>
      <w:r>
        <w:rPr>
          <w:rFonts w:ascii="Times New Roman" w:cs="Times New Roman" w:eastAsia="Times New Roman" w:hAnsi="Times New Roman"/>
          <w:sz w:val="18"/>
          <w:szCs w:val="18"/>
          <w:color w:val="auto"/>
        </w:rPr>
        <w:t>For our PD-1 agonist antibody program, our competitors include other PD-1 agonist antibodies JNJ-67484703 (Janssen) in Phase 2 development for the treatment of atopic dermatitis, GS-0151 (Gilead) in Phase 1b development for the treatment of rheumatoid arthritis, and a PD-1 agonist antibody (Boehringer Ingelheim)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 Commercial-stage competitors in moderate-to-severe ulcerative colitis include monoclonal antibodies targeting anti-TNF (Humira; Abbvie and Remicade; Johnson &amp; Johnson), anti-α4β7 (Entyvio; Takeda), anti-IL-23 (Stelara; Johnson &amp; Johnson and Omvoh; Eli Lilly) and S1P inhibitors (Zeposia; Bristol Myers Squibb and Velsipity; Pfizer) and janus kinase inhibitors (Rinvoq; AbbVie, and Xeljanz; Pfizer) as well as monoclonal antibodies targeting anti-TL1A (PRA023; Merck, RVT-3101; Roche and TEV’574; Teva/Sanofi) in Phase 2 and 3 development.</w:t>
      </w:r>
    </w:p>
    <w:p>
      <w:pPr>
        <w:spacing w:after="0" w:line="80" w:lineRule="exact"/>
        <w:rPr>
          <w:sz w:val="20"/>
          <w:szCs w:val="20"/>
          <w:color w:val="auto"/>
        </w:rPr>
      </w:pPr>
    </w:p>
    <w:p>
      <w:pPr>
        <w:ind w:right="140" w:firstLine="560"/>
        <w:spacing w:after="0" w:line="253" w:lineRule="auto"/>
        <w:rPr>
          <w:sz w:val="20"/>
          <w:szCs w:val="20"/>
          <w:color w:val="auto"/>
        </w:rPr>
      </w:pPr>
      <w:r>
        <w:rPr>
          <w:rFonts w:ascii="Times New Roman" w:cs="Times New Roman" w:eastAsia="Times New Roman" w:hAnsi="Times New Roman"/>
          <w:sz w:val="18"/>
          <w:szCs w:val="18"/>
          <w:color w:val="auto"/>
        </w:rPr>
        <w:t>For our BTLA agonist antibody program, our competitors include another BTLA agonist antibody, GS-0272 (Gilead) in Phase 1b development for the treatment of rheumatoid arthritis. Commercial-stage competitors in moderate-to-severe atopic dermatitis include topical and oral corticosteroids, calcineurin inhibitors (Protopic; LEO Pharma and Elidel; Bausch Health), monoclonal antibodies targeting IL-4/13 (Dupixent; Regeneron/Sanofi), IL-13 (Adbry; LEO Pharma and Ebglyss; Eli Lilly), IL-31 (nemolizumab; Galderma) and janus kinase inhibitors (Rinvoq; AbbVie and abrocitinib; Pfizer). Clinical-stage competitors include monoclonal antibodies targeting OX-40/OX40L (rocatinlimab; Amgen and amlitelimab; Sanofi) in Phase 3 development and CD200R (ucenprubart; Eli Lilly).</w:t>
      </w:r>
    </w:p>
    <w:p>
      <w:pPr>
        <w:spacing w:after="0" w:line="78" w:lineRule="exact"/>
        <w:rPr>
          <w:sz w:val="20"/>
          <w:szCs w:val="20"/>
          <w:color w:val="auto"/>
        </w:rPr>
      </w:pPr>
    </w:p>
    <w:p>
      <w:pPr>
        <w:ind w:right="80" w:firstLine="560"/>
        <w:spacing w:after="0" w:line="254" w:lineRule="auto"/>
        <w:rPr>
          <w:sz w:val="20"/>
          <w:szCs w:val="20"/>
          <w:color w:val="auto"/>
        </w:rPr>
      </w:pPr>
      <w:r>
        <w:rPr>
          <w:rFonts w:ascii="Times New Roman" w:cs="Times New Roman" w:eastAsia="Times New Roman" w:hAnsi="Times New Roman"/>
          <w:sz w:val="18"/>
          <w:szCs w:val="18"/>
          <w:color w:val="auto"/>
        </w:rPr>
        <w:t>For our anti-CD122 antagonist antibody program, our clinical competitors include other anti-CD122 antagonist antibodies, auremolimab (Incyte), in Phase 1 development for the treatment of vitiligo and FB-102 (Forte Bioscience) in Phase 1 development for the treatment of celiac disease, and three anti-IL-15 monoclonal antibodies, AMG 714 (Amgen), currently in Phase 2 development for the treatment of vitiligo and celiac disease, CALY-002 (Novartis), currently in Phase 1b development for the treatment of celiac disease and eosinophilic esophagitis, and TEV-‘408 (Teva), currently in Phase 1b development for the treatment of celiac disease.</w:t>
      </w:r>
    </w:p>
    <w:p>
      <w:pPr>
        <w:spacing w:after="0" w:line="79" w:lineRule="exact"/>
        <w:rPr>
          <w:sz w:val="20"/>
          <w:szCs w:val="20"/>
          <w:color w:val="auto"/>
        </w:rPr>
      </w:pPr>
    </w:p>
    <w:p>
      <w:pPr>
        <w:ind w:firstLine="560"/>
        <w:spacing w:after="0" w:line="262" w:lineRule="auto"/>
        <w:rPr>
          <w:sz w:val="20"/>
          <w:szCs w:val="20"/>
          <w:color w:val="auto"/>
        </w:rPr>
      </w:pPr>
      <w:r>
        <w:rPr>
          <w:rFonts w:ascii="Times New Roman" w:cs="Times New Roman" w:eastAsia="Times New Roman" w:hAnsi="Times New Roman"/>
          <w:sz w:val="18"/>
          <w:szCs w:val="18"/>
          <w:color w:val="auto"/>
        </w:rPr>
        <w:t>For our anti-BDCA2 program, our competitors include another anti-BDCA2 antibody, litifilimab (Biogen) in Phase 3 development for SLE and CLE, and an anti-ILT7 antibody, daxdilimab (Amgen) in Phase 2 development for dermatomyositis or anti-synthetase inflammatory myositis, and discoid lupus erythematosus.</w:t>
      </w:r>
    </w:p>
    <w:p>
      <w:pPr>
        <w:spacing w:after="0" w:line="69" w:lineRule="exact"/>
        <w:rPr>
          <w:sz w:val="20"/>
          <w:szCs w:val="20"/>
          <w:color w:val="auto"/>
        </w:rPr>
      </w:pPr>
    </w:p>
    <w:p>
      <w:pPr>
        <w:ind w:right="140" w:firstLine="560"/>
        <w:spacing w:after="0" w:line="277" w:lineRule="auto"/>
        <w:rPr>
          <w:sz w:val="20"/>
          <w:szCs w:val="20"/>
          <w:color w:val="auto"/>
        </w:rPr>
      </w:pPr>
      <w:r>
        <w:rPr>
          <w:rFonts w:ascii="Times New Roman" w:cs="Times New Roman" w:eastAsia="Times New Roman" w:hAnsi="Times New Roman"/>
          <w:sz w:val="18"/>
          <w:szCs w:val="18"/>
          <w:color w:val="auto"/>
        </w:rPr>
        <w:t>For imsidolimab in the treatment of GPP, our competitors include another anti-IL-36 receptor antibody called SPEVIGO or spesolimab (Boehringer Ingelheim), approved for GPP.</w:t>
      </w:r>
    </w:p>
    <w:p>
      <w:pPr>
        <w:spacing w:after="0" w:line="56" w:lineRule="exact"/>
        <w:rPr>
          <w:sz w:val="20"/>
          <w:szCs w:val="20"/>
          <w:color w:val="auto"/>
        </w:rPr>
      </w:pPr>
    </w:p>
    <w:p>
      <w:pPr>
        <w:ind w:right="40" w:firstLine="560"/>
        <w:spacing w:after="0" w:line="253"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biosimilar products. Even if our product candidates achieve marketing approval, they may be priced at a significant premium over competitive biosimilar products if any have been approved by then.</w:t>
      </w:r>
    </w:p>
    <w:p>
      <w:pPr>
        <w:spacing w:after="0" w:line="78" w:lineRule="exact"/>
        <w:rPr>
          <w:sz w:val="20"/>
          <w:szCs w:val="20"/>
          <w:color w:val="auto"/>
        </w:rPr>
      </w:pPr>
    </w:p>
    <w:p>
      <w:pPr>
        <w:ind w:firstLine="560"/>
        <w:spacing w:after="0" w:line="277" w:lineRule="auto"/>
        <w:rPr>
          <w:sz w:val="20"/>
          <w:szCs w:val="20"/>
          <w:color w:val="auto"/>
        </w:rPr>
      </w:pPr>
      <w:r>
        <w:rPr>
          <w:rFonts w:ascii="Times New Roman" w:cs="Times New Roman" w:eastAsia="Times New Roman" w:hAnsi="Times New Roman"/>
          <w:sz w:val="17"/>
          <w:szCs w:val="17"/>
          <w:color w:val="auto"/>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69"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color w:val="auto"/>
        </w:rPr>
        <w:t>compete effectively. Technological advances or products developed by our competitors may render our technologies or product candidates obsolete, less competitive or not economical.</w:t>
      </w:r>
    </w:p>
    <w:p>
      <w:pPr>
        <w:spacing w:after="0" w:line="159"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3" w:lineRule="exact"/>
        <w:rPr>
          <w:sz w:val="20"/>
          <w:szCs w:val="20"/>
          <w:color w:val="auto"/>
        </w:rPr>
      </w:pPr>
    </w:p>
    <w:p>
      <w:pPr>
        <w:ind w:firstLine="560"/>
        <w:spacing w:after="0" w:line="262"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69" w:lineRule="exact"/>
        <w:rPr>
          <w:sz w:val="20"/>
          <w:szCs w:val="20"/>
          <w:color w:val="auto"/>
        </w:rPr>
      </w:pPr>
    </w:p>
    <w:p>
      <w:pPr>
        <w:ind w:left="880" w:hanging="39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planned clinical trials;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3" w:lineRule="exact"/>
        <w:rPr>
          <w:rFonts w:ascii="Times New Roman" w:cs="Times New Roman" w:eastAsia="Times New Roman" w:hAnsi="Times New Roman"/>
          <w:sz w:val="18"/>
          <w:szCs w:val="18"/>
          <w:color w:val="auto"/>
        </w:rPr>
      </w:pPr>
    </w:p>
    <w:p>
      <w:pPr>
        <w:ind w:left="880" w:right="20" w:hanging="393"/>
        <w:spacing w:after="0" w:line="277" w:lineRule="auto"/>
        <w:tabs>
          <w:tab w:leader="none" w:pos="8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products, if approved, such as boxed warnings or contraindications in labeling or a REMS, if any, which may not be required of alternative treatments and competitor products;</w:t>
      </w:r>
    </w:p>
    <w:p>
      <w:pPr>
        <w:spacing w:after="0" w:line="55"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 including any similar generic treatments;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 parties and government authorities;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13" w:lineRule="exact"/>
        <w:rPr>
          <w:rFonts w:ascii="Times New Roman" w:cs="Times New Roman" w:eastAsia="Times New Roman" w:hAnsi="Times New Roman"/>
          <w:sz w:val="18"/>
          <w:szCs w:val="18"/>
          <w:color w:val="auto"/>
        </w:rPr>
      </w:pPr>
    </w:p>
    <w:p>
      <w:pPr>
        <w:ind w:left="880" w:hanging="39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w:t>
      </w:r>
    </w:p>
    <w:p>
      <w:pPr>
        <w:spacing w:after="0" w:line="180" w:lineRule="exact"/>
        <w:rPr>
          <w:sz w:val="20"/>
          <w:szCs w:val="20"/>
          <w:color w:val="auto"/>
        </w:rPr>
      </w:pPr>
    </w:p>
    <w:p>
      <w:pPr>
        <w:ind w:right="180" w:firstLine="560"/>
        <w:spacing w:after="0" w:line="277"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15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68" w:lineRule="exact"/>
        <w:rPr>
          <w:sz w:val="20"/>
          <w:szCs w:val="20"/>
          <w:color w:val="auto"/>
        </w:rPr>
      </w:pPr>
    </w:p>
    <w:p>
      <w:pPr>
        <w:ind w:right="20" w:firstLine="560"/>
        <w:spacing w:after="0" w:line="249" w:lineRule="auto"/>
        <w:rPr>
          <w:sz w:val="20"/>
          <w:szCs w:val="20"/>
          <w:color w:val="auto"/>
        </w:rPr>
      </w:pPr>
      <w:r>
        <w:rPr>
          <w:rFonts w:ascii="Times New Roman" w:cs="Times New Roman" w:eastAsia="Times New Roman" w:hAnsi="Times New Roman"/>
          <w:sz w:val="18"/>
          <w:szCs w:val="18"/>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team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7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68" w:lineRule="exact"/>
        <w:rPr>
          <w:sz w:val="20"/>
          <w:szCs w:val="20"/>
          <w:color w:val="auto"/>
        </w:rPr>
      </w:pPr>
    </w:p>
    <w:p>
      <w:pPr>
        <w:ind w:firstLine="560"/>
        <w:spacing w:after="0" w:line="250" w:lineRule="auto"/>
        <w:rPr>
          <w:sz w:val="20"/>
          <w:szCs w:val="20"/>
          <w:color w:val="auto"/>
        </w:rPr>
      </w:pPr>
      <w:r>
        <w:rPr>
          <w:rFonts w:ascii="Times New Roman" w:cs="Times New Roman" w:eastAsia="Times New Roman" w:hAnsi="Times New Roman"/>
          <w:sz w:val="18"/>
          <w:szCs w:val="18"/>
          <w:color w:val="auto"/>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rely, and expect to continue to rely, on third parties, including manufacturers based in China, for the manufacture of our product candidates and future product candidates. We and our contract manufacturers must comply with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spacing w:after="0" w:line="83" w:lineRule="exact"/>
        <w:rPr>
          <w:sz w:val="20"/>
          <w:szCs w:val="20"/>
          <w:color w:val="auto"/>
        </w:rPr>
      </w:pPr>
    </w:p>
    <w:p>
      <w:pPr>
        <w:ind w:right="160" w:firstLine="560"/>
        <w:spacing w:after="0" w:line="257" w:lineRule="auto"/>
        <w:rPr>
          <w:sz w:val="20"/>
          <w:szCs w:val="20"/>
          <w:color w:val="auto"/>
        </w:rPr>
      </w:pPr>
      <w:r>
        <w:rPr>
          <w:rFonts w:ascii="Times New Roman" w:cs="Times New Roman" w:eastAsia="Times New Roman" w:hAnsi="Times New Roman"/>
          <w:sz w:val="18"/>
          <w:szCs w:val="18"/>
          <w:color w:val="auto"/>
        </w:rPr>
        <w:t>Furthermore, all of our therapeutic antibodies are manufactured by starting with cells which are stored in a cell bank. We have one master cell bank for each antibody manufactured in accordance with cGMP and create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spacing w:after="0" w:line="74" w:lineRule="exact"/>
        <w:rPr>
          <w:sz w:val="20"/>
          <w:szCs w:val="20"/>
          <w:color w:val="auto"/>
        </w:rPr>
      </w:pPr>
    </w:p>
    <w:p>
      <w:pPr>
        <w:ind w:right="160" w:firstLine="560"/>
        <w:spacing w:after="0" w:line="251" w:lineRule="auto"/>
        <w:rPr>
          <w:sz w:val="20"/>
          <w:szCs w:val="20"/>
          <w:color w:val="auto"/>
        </w:rPr>
      </w:pPr>
      <w:r>
        <w:rPr>
          <w:rFonts w:ascii="Times New Roman" w:cs="Times New Roman" w:eastAsia="Times New Roman" w:hAnsi="Times New Roman"/>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spacing w:after="0" w:line="83" w:lineRule="exact"/>
        <w:rPr>
          <w:sz w:val="20"/>
          <w:szCs w:val="20"/>
          <w:color w:val="auto"/>
        </w:rPr>
      </w:pPr>
    </w:p>
    <w:p>
      <w:pPr>
        <w:ind w:firstLine="560"/>
        <w:spacing w:after="0" w:line="249"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political, economic or public health events could cause such interruptions in the future. Further,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U.S. and China or other countries, what products and services may be subject to such actions or what actions may be taken by the other countries in retaliation.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6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may result in shipment delays, inventory shortages, lot failures, product withdrawals or recalls, or other interruptions in the supply of our product candidates or products.</w:t>
      </w:r>
    </w:p>
    <w:p>
      <w:pPr>
        <w:spacing w:after="0" w:line="15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b w:val="1"/>
          <w:bCs w:val="1"/>
          <w:color w:val="auto"/>
        </w:rPr>
        <w:t>The macroeconomic and geopolitical environment may have a material impact on the U.S. and global economies and could materially impact our business, financial condition and results of operations.</w:t>
      </w:r>
    </w:p>
    <w:p>
      <w:pPr>
        <w:spacing w:after="0" w:line="53" w:lineRule="exact"/>
        <w:rPr>
          <w:sz w:val="20"/>
          <w:szCs w:val="20"/>
          <w:color w:val="auto"/>
        </w:rPr>
      </w:pPr>
    </w:p>
    <w:p>
      <w:pPr>
        <w:ind w:right="20" w:firstLine="560"/>
        <w:spacing w:after="0" w:line="273" w:lineRule="auto"/>
        <w:rPr>
          <w:sz w:val="20"/>
          <w:szCs w:val="20"/>
          <w:color w:val="auto"/>
        </w:rPr>
      </w:pPr>
      <w:r>
        <w:rPr>
          <w:rFonts w:ascii="Times New Roman" w:cs="Times New Roman" w:eastAsia="Times New Roman" w:hAnsi="Times New Roman"/>
          <w:sz w:val="17"/>
          <w:szCs w:val="17"/>
          <w:color w:val="auto"/>
        </w:rPr>
        <w:t>The macroeconomic and geopolitical environment, including inflation, increased volatility in interest rates and the debt and equity markets, instability in the global banking system, global health crises and pandemics and geopolitical conflict have had, and may continue to have, an adverse impact on global economic conditions, which could have an adverse effect on our business and financial condition, including impairing our ability to raise additional capital on favorable terms.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53" w:lineRule="exact"/>
        <w:rPr>
          <w:sz w:val="20"/>
          <w:szCs w:val="20"/>
          <w:color w:val="auto"/>
        </w:rPr>
      </w:pPr>
    </w:p>
    <w:p>
      <w:pPr>
        <w:ind w:right="40" w:firstLine="560"/>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79"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in every year except fiscal year 2014. For the nine months ended September 30, 2024, we had $48.2 million in collaboration revenue and a net loss of $123.4 million. For the nine months ended September 30, 2023, we had $8.2 million in collaboration revenue and a net loss of $121.4 million. As of September 30, 2024, we had an accumulated deficit of $737.5 million.</w:t>
      </w:r>
    </w:p>
    <w:p>
      <w:pPr>
        <w:spacing w:after="0" w:line="69" w:lineRule="exact"/>
        <w:rPr>
          <w:sz w:val="20"/>
          <w:szCs w:val="20"/>
          <w:color w:val="auto"/>
        </w:rPr>
      </w:pPr>
    </w:p>
    <w:p>
      <w:pPr>
        <w:ind w:firstLine="560"/>
        <w:spacing w:after="0" w:line="268" w:lineRule="auto"/>
        <w:rPr>
          <w:sz w:val="20"/>
          <w:szCs w:val="20"/>
          <w:color w:val="auto"/>
        </w:rPr>
      </w:pPr>
      <w:r>
        <w:rPr>
          <w:rFonts w:ascii="Times New Roman" w:cs="Times New Roman" w:eastAsia="Times New Roman" w:hAnsi="Times New Roman"/>
          <w:sz w:val="17"/>
          <w:szCs w:val="17"/>
          <w:color w:val="auto"/>
        </w:rPr>
        <w:t xml:space="preserve">We have financed our operations primarily through our initial public offering of common stock in January 2017, our follow-on public offerings of common stock in October 2017, September 2018, and August 2024, our </w:t>
      </w:r>
      <w:r>
        <w:rPr>
          <w:rFonts w:ascii="Times New Roman" w:cs="Times New Roman" w:eastAsia="Times New Roman" w:hAnsi="Times New Roman"/>
          <w:sz w:val="17"/>
          <w:szCs w:val="17"/>
          <w:i w:val="1"/>
          <w:iCs w:val="1"/>
          <w:color w:val="auto"/>
        </w:rPr>
        <w:t>Jemperli</w:t>
      </w:r>
      <w:r>
        <w:rPr>
          <w:rFonts w:ascii="Times New Roman" w:cs="Times New Roman" w:eastAsia="Times New Roman" w:hAnsi="Times New Roman"/>
          <w:sz w:val="17"/>
          <w:szCs w:val="17"/>
          <w:color w:val="auto"/>
        </w:rPr>
        <w:t xml:space="preserve"> Royalty Monetization Agreement and </w:t>
      </w:r>
      <w:r>
        <w:rPr>
          <w:rFonts w:ascii="Times New Roman" w:cs="Times New Roman" w:eastAsia="Times New Roman" w:hAnsi="Times New Roman"/>
          <w:sz w:val="17"/>
          <w:szCs w:val="17"/>
          <w:i w:val="1"/>
          <w:iCs w:val="1"/>
          <w:color w:val="auto"/>
        </w:rPr>
        <w:t>Jemperli</w:t>
      </w:r>
      <w:r>
        <w:rPr>
          <w:rFonts w:ascii="Times New Roman" w:cs="Times New Roman" w:eastAsia="Times New Roman" w:hAnsi="Times New Roman"/>
          <w:sz w:val="17"/>
          <w:szCs w:val="17"/>
          <w:color w:val="auto"/>
        </w:rPr>
        <w:t xml:space="preserve"> Amendment, and our Zejula Royalty Monetization Agreement. We have devoted substantially all of our efforts to research and development. Rosnilimab and ANB032 are in Phase 2 clinical development and we expect that it will be several years, if ever, before any of our active product candidates are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68" w:lineRule="exact"/>
        <w:rPr>
          <w:sz w:val="20"/>
          <w:szCs w:val="20"/>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of our product candidates;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existing and enter into new collaboration agreements;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preclinical studies and initiate clinical trials for our product candidates;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approvals for the product candidates we develop or developed under our collaboration arrangements;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executive, clinical, quality control and scientific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69" w:lineRule="exact"/>
        <w:rPr>
          <w:sz w:val="20"/>
          <w:szCs w:val="20"/>
          <w:color w:val="auto"/>
        </w:rPr>
      </w:pPr>
    </w:p>
    <w:p>
      <w:pPr>
        <w:ind w:left="640" w:right="600" w:hanging="313"/>
        <w:spacing w:after="0" w:line="277"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w:t>
      </w:r>
    </w:p>
    <w:p>
      <w:pPr>
        <w:spacing w:after="0" w:line="55" w:lineRule="exact"/>
        <w:rPr>
          <w:rFonts w:ascii="Times New Roman" w:cs="Times New Roman" w:eastAsia="Times New Roman" w:hAnsi="Times New Roman"/>
          <w:sz w:val="18"/>
          <w:szCs w:val="18"/>
          <w:color w:val="auto"/>
        </w:rPr>
      </w:pPr>
    </w:p>
    <w:p>
      <w:pPr>
        <w:ind w:left="640" w:right="240" w:hanging="313"/>
        <w:spacing w:after="0" w:line="277"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our product candidates;</w:t>
      </w:r>
    </w:p>
    <w:p>
      <w:pPr>
        <w:spacing w:after="0" w:line="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and</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our or our collaborators’ products, if any.</w:t>
      </w:r>
    </w:p>
    <w:p>
      <w:pPr>
        <w:spacing w:after="0" w:line="113" w:lineRule="exact"/>
        <w:rPr>
          <w:sz w:val="20"/>
          <w:szCs w:val="20"/>
          <w:color w:val="auto"/>
        </w:rPr>
      </w:pPr>
    </w:p>
    <w:p>
      <w:pPr>
        <w:ind w:right="20" w:firstLine="560"/>
        <w:spacing w:after="0" w:line="254" w:lineRule="auto"/>
        <w:rPr>
          <w:sz w:val="20"/>
          <w:szCs w:val="20"/>
          <w:color w:val="auto"/>
        </w:rPr>
      </w:pPr>
      <w:r>
        <w:rPr>
          <w:rFonts w:ascii="Times New Roman" w:cs="Times New Roman" w:eastAsia="Times New Roman" w:hAnsi="Times New Roman"/>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spacing w:after="0" w:line="79" w:lineRule="exact"/>
        <w:rPr>
          <w:sz w:val="20"/>
          <w:szCs w:val="20"/>
          <w:color w:val="auto"/>
        </w:rPr>
      </w:pPr>
    </w:p>
    <w:p>
      <w:pPr>
        <w:ind w:right="20" w:firstLine="560"/>
        <w:spacing w:after="0" w:line="251" w:lineRule="auto"/>
        <w:rPr>
          <w:sz w:val="20"/>
          <w:szCs w:val="20"/>
          <w:color w:val="auto"/>
        </w:rPr>
      </w:pPr>
      <w:r>
        <w:rPr>
          <w:rFonts w:ascii="Times New Roman" w:cs="Times New Roman" w:eastAsia="Times New Roman" w:hAnsi="Times New Roman"/>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18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3" w:lineRule="exact"/>
        <w:rPr>
          <w:sz w:val="20"/>
          <w:szCs w:val="20"/>
          <w:color w:val="auto"/>
        </w:rPr>
      </w:pPr>
    </w:p>
    <w:p>
      <w:pPr>
        <w:ind w:firstLine="560"/>
        <w:spacing w:after="0" w:line="251" w:lineRule="auto"/>
        <w:rPr>
          <w:sz w:val="20"/>
          <w:szCs w:val="20"/>
          <w:color w:val="auto"/>
        </w:rPr>
      </w:pPr>
      <w:r>
        <w:rPr>
          <w:rFonts w:ascii="Times New Roman" w:cs="Times New Roman" w:eastAsia="Times New Roman" w:hAnsi="Times New Roman"/>
          <w:sz w:val="18"/>
          <w:szCs w:val="18"/>
          <w:color w:val="auto"/>
        </w:rPr>
        <w:t>As a research and development company, our operations have consumed substantial amounts of cash since our inception.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spacing w:after="0" w:line="80" w:lineRule="exact"/>
        <w:rPr>
          <w:sz w:val="20"/>
          <w:szCs w:val="20"/>
          <w:color w:val="auto"/>
        </w:rPr>
      </w:pPr>
    </w:p>
    <w:p>
      <w:pPr>
        <w:jc w:val="both"/>
        <w:ind w:right="120" w:firstLine="560"/>
        <w:spacing w:after="0" w:line="284" w:lineRule="auto"/>
        <w:rPr>
          <w:sz w:val="20"/>
          <w:szCs w:val="20"/>
          <w:color w:val="auto"/>
        </w:rPr>
      </w:pPr>
      <w:r>
        <w:rPr>
          <w:rFonts w:ascii="Times New Roman" w:cs="Times New Roman" w:eastAsia="Times New Roman" w:hAnsi="Times New Roman"/>
          <w:sz w:val="17"/>
          <w:szCs w:val="17"/>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3" w:lineRule="exact"/>
        <w:rPr>
          <w:sz w:val="20"/>
          <w:szCs w:val="20"/>
          <w:color w:val="auto"/>
        </w:rPr>
      </w:pPr>
    </w:p>
    <w:p>
      <w:pPr>
        <w:ind w:left="640" w:hanging="31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our product candidates or cease operations altogether;</w:t>
      </w:r>
    </w:p>
    <w:p>
      <w:pPr>
        <w:spacing w:after="0" w:line="113" w:lineRule="exact"/>
        <w:rPr>
          <w:rFonts w:ascii="Times New Roman" w:cs="Times New Roman" w:eastAsia="Times New Roman" w:hAnsi="Times New Roman"/>
          <w:sz w:val="18"/>
          <w:szCs w:val="18"/>
          <w:color w:val="auto"/>
        </w:rPr>
      </w:pPr>
    </w:p>
    <w:p>
      <w:pPr>
        <w:ind w:left="640" w:right="260" w:hanging="313"/>
        <w:spacing w:after="0" w:line="277"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research and development programs at an earlier stage than we would otherwise desire or on terms less favorable than might otherwise be available;</w:t>
      </w:r>
    </w:p>
    <w:p>
      <w:pPr>
        <w:spacing w:after="0" w:line="55" w:lineRule="exact"/>
        <w:rPr>
          <w:rFonts w:ascii="Times New Roman" w:cs="Times New Roman" w:eastAsia="Times New Roman" w:hAnsi="Times New Roman"/>
          <w:sz w:val="18"/>
          <w:szCs w:val="18"/>
          <w:color w:val="auto"/>
        </w:rPr>
      </w:pPr>
    </w:p>
    <w:p>
      <w:pPr>
        <w:ind w:left="640" w:right="460" w:hanging="313"/>
        <w:spacing w:after="0" w:line="277"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future product candidates that we otherwise would seek to develop or commercialize ourselves;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69" w:lineRule="exact"/>
        <w:rPr>
          <w:sz w:val="20"/>
          <w:szCs w:val="20"/>
          <w:color w:val="auto"/>
        </w:rPr>
      </w:pPr>
    </w:p>
    <w:p>
      <w:pPr>
        <w:ind w:left="640" w:hanging="313"/>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staff to conserve resources.</w:t>
      </w:r>
    </w:p>
    <w:p>
      <w:pPr>
        <w:spacing w:after="0" w:line="113" w:lineRule="exact"/>
        <w:rPr>
          <w:sz w:val="20"/>
          <w:szCs w:val="20"/>
          <w:color w:val="auto"/>
        </w:rPr>
      </w:pPr>
    </w:p>
    <w:p>
      <w:pPr>
        <w:ind w:firstLine="560"/>
        <w:spacing w:after="0" w:line="268" w:lineRule="auto"/>
        <w:rPr>
          <w:sz w:val="20"/>
          <w:szCs w:val="20"/>
          <w:color w:val="auto"/>
        </w:rPr>
      </w:pPr>
      <w:r>
        <w:rPr>
          <w:rFonts w:ascii="Times New Roman" w:cs="Times New Roman" w:eastAsia="Times New Roman" w:hAnsi="Times New Roman"/>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rising interest rates, actual or perceived instability in the U.S. and global banking systems,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68" w:lineRule="exact"/>
        <w:rPr>
          <w:sz w:val="20"/>
          <w:szCs w:val="20"/>
          <w:color w:val="auto"/>
        </w:rPr>
      </w:pPr>
    </w:p>
    <w:p>
      <w:pPr>
        <w:ind w:left="640" w:right="60" w:hanging="313"/>
        <w:spacing w:after="0" w:line="277"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size of clinical trials needed to show safety, efficacy and an acceptable risk/benefit profile for any of our product candidates;</w:t>
      </w:r>
    </w:p>
    <w:p>
      <w:pPr>
        <w:spacing w:after="0" w:line="113" w:lineRule="exact"/>
        <w:rPr>
          <w:rFonts w:ascii="Times New Roman" w:cs="Times New Roman" w:eastAsia="Times New Roman" w:hAnsi="Times New Roman"/>
          <w:sz w:val="18"/>
          <w:szCs w:val="18"/>
          <w:color w:val="auto"/>
        </w:rPr>
      </w:pPr>
    </w:p>
    <w:p>
      <w:pPr>
        <w:ind w:left="640" w:right="40" w:hanging="313"/>
        <w:spacing w:after="0" w:line="277"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5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commercial success or failure of products sold by our collaborators, such as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by GSK, and the timing thereof;</w:t>
      </w:r>
    </w:p>
    <w:p>
      <w:pPr>
        <w:spacing w:after="0" w:line="11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enter into new collaboration agreements;</w:t>
      </w:r>
    </w:p>
    <w:p>
      <w:pPr>
        <w:spacing w:after="0" w:line="113" w:lineRule="exact"/>
        <w:rPr>
          <w:rFonts w:ascii="Times New Roman" w:cs="Times New Roman" w:eastAsia="Times New Roman" w:hAnsi="Times New Roman"/>
          <w:sz w:val="18"/>
          <w:szCs w:val="18"/>
          <w:color w:val="auto"/>
        </w:rPr>
      </w:pPr>
    </w:p>
    <w:p>
      <w:pPr>
        <w:ind w:left="640" w:right="80" w:hanging="313"/>
        <w:spacing w:after="0" w:line="262"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6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recruiting and retaining key employees;</w:t>
      </w:r>
    </w:p>
    <w:p>
      <w:pPr>
        <w:spacing w:after="0" w:line="16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any delays or cancellations of forecasted manufacturing batches;</w:t>
      </w:r>
    </w:p>
    <w:p>
      <w:pPr>
        <w:spacing w:after="0" w:line="15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manufacturing sites for commercial-scale manufacturing; and</w:t>
      </w:r>
    </w:p>
    <w:p>
      <w:pPr>
        <w:spacing w:after="0" w:line="113" w:lineRule="exact"/>
        <w:rPr>
          <w:rFonts w:ascii="Times New Roman" w:cs="Times New Roman" w:eastAsia="Times New Roman" w:hAnsi="Times New Roman"/>
          <w:sz w:val="18"/>
          <w:szCs w:val="18"/>
          <w:color w:val="auto"/>
        </w:rPr>
      </w:pPr>
    </w:p>
    <w:p>
      <w:pPr>
        <w:ind w:left="640" w:right="180" w:hanging="313"/>
        <w:spacing w:after="0" w:line="277"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56" w:lineRule="exact"/>
        <w:rPr>
          <w:sz w:val="20"/>
          <w:szCs w:val="20"/>
          <w:color w:val="auto"/>
        </w:rPr>
      </w:pPr>
    </w:p>
    <w:p>
      <w:pPr>
        <w:ind w:firstLine="560"/>
        <w:spacing w:after="0" w:line="277"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15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3" w:lineRule="exact"/>
        <w:rPr>
          <w:sz w:val="20"/>
          <w:szCs w:val="20"/>
          <w:color w:val="auto"/>
        </w:rPr>
      </w:pPr>
    </w:p>
    <w:p>
      <w:pPr>
        <w:ind w:right="140" w:firstLine="440"/>
        <w:spacing w:after="0" w:line="273" w:lineRule="auto"/>
        <w:rPr>
          <w:sz w:val="20"/>
          <w:szCs w:val="20"/>
          <w:color w:val="auto"/>
        </w:rPr>
      </w:pPr>
      <w:r>
        <w:rPr>
          <w:rFonts w:ascii="Times New Roman" w:cs="Times New Roman" w:eastAsia="Times New Roman" w:hAnsi="Times New Roman"/>
          <w:sz w:val="17"/>
          <w:szCs w:val="17"/>
          <w:color w:val="auto"/>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6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3"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b w:val="1"/>
          <w:bCs w:val="1"/>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53" w:lineRule="exact"/>
        <w:rPr>
          <w:sz w:val="20"/>
          <w:szCs w:val="20"/>
          <w:color w:val="auto"/>
        </w:rPr>
      </w:pPr>
    </w:p>
    <w:p>
      <w:pPr>
        <w:ind w:firstLine="560"/>
        <w:spacing w:after="0" w:line="254" w:lineRule="auto"/>
        <w:rPr>
          <w:sz w:val="20"/>
          <w:szCs w:val="20"/>
          <w:color w:val="auto"/>
        </w:rPr>
      </w:pPr>
      <w:r>
        <w:rPr>
          <w:rFonts w:ascii="Times New Roman" w:cs="Times New Roman" w:eastAsia="Times New Roman" w:hAnsi="Times New Roman"/>
          <w:sz w:val="18"/>
          <w:szCs w:val="18"/>
          <w:color w:val="auto"/>
        </w:rPr>
        <w:t>We have entered into collaboration with GSK to develop several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For example, in October 2023, we agreed with GSK to terminate the anti-LAG-3 antagonist antibody development program under our existing collaboration. As a result, we will not receive any additional milestones or any royalties from GSK for that development program.</w:t>
      </w:r>
    </w:p>
    <w:p>
      <w:pPr>
        <w:spacing w:after="0" w:line="79" w:lineRule="exact"/>
        <w:rPr>
          <w:sz w:val="20"/>
          <w:szCs w:val="20"/>
          <w:color w:val="auto"/>
        </w:rPr>
      </w:pPr>
    </w:p>
    <w:p>
      <w:pPr>
        <w:ind w:right="80" w:firstLine="560"/>
        <w:spacing w:after="0" w:line="250" w:lineRule="auto"/>
        <w:rPr>
          <w:sz w:val="20"/>
          <w:szCs w:val="20"/>
          <w:color w:val="auto"/>
        </w:rPr>
      </w:pPr>
      <w:r>
        <w:rPr>
          <w:rFonts w:ascii="Times New Roman" w:cs="Times New Roman" w:eastAsia="Times New Roman" w:hAnsi="Times New Roman"/>
          <w:sz w:val="18"/>
          <w:szCs w:val="18"/>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October 2020, we settled a matter with GSK related to an alleged breach of our collaboration agreement in connection with GSK’s use of certain antibodies originally developed by us for the development of a drug not covered by the agreement. There can be no assurance that we will not encounter such issues under our collaborations with GSK or other parties in the future.</w:t>
      </w:r>
    </w:p>
    <w:p>
      <w:pPr>
        <w:spacing w:after="0" w:line="7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b w:val="1"/>
          <w:bCs w:val="1"/>
          <w:color w:val="auto"/>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spacing w:after="0" w:line="53" w:lineRule="exact"/>
        <w:rPr>
          <w:sz w:val="20"/>
          <w:szCs w:val="20"/>
          <w:color w:val="auto"/>
        </w:rPr>
      </w:pPr>
    </w:p>
    <w:p>
      <w:pPr>
        <w:ind w:right="40" w:firstLine="560"/>
        <w:spacing w:after="0" w:line="250" w:lineRule="auto"/>
        <w:rPr>
          <w:sz w:val="20"/>
          <w:szCs w:val="20"/>
          <w:color w:val="auto"/>
        </w:rPr>
      </w:pPr>
      <w:r>
        <w:rPr>
          <w:rFonts w:ascii="Times New Roman" w:cs="Times New Roman" w:eastAsia="Times New Roman" w:hAnsi="Times New Roman"/>
          <w:sz w:val="18"/>
          <w:szCs w:val="18"/>
          <w:color w:val="auto"/>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including our plans to out-license our legacy product candidates, imsidolimab and etokimab.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Moreover, if we fail to establish and maintain additional collaborations related to our product candidates:</w:t>
      </w:r>
    </w:p>
    <w:p>
      <w:pPr>
        <w:spacing w:after="0" w:line="113" w:lineRule="exact"/>
        <w:rPr>
          <w:sz w:val="20"/>
          <w:szCs w:val="20"/>
          <w:color w:val="auto"/>
        </w:rPr>
      </w:pPr>
    </w:p>
    <w:p>
      <w:pPr>
        <w:ind w:left="640" w:hanging="313"/>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current or future product candidates may be terminated or delayed;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69" w:lineRule="exact"/>
        <w:rPr>
          <w:sz w:val="20"/>
          <w:szCs w:val="20"/>
          <w:color w:val="auto"/>
        </w:rPr>
      </w:pPr>
    </w:p>
    <w:p>
      <w:pPr>
        <w:ind w:left="640" w:right="40" w:hanging="313"/>
        <w:spacing w:after="0" w:line="277"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certain of our current or future product candidates would increase significantly and we may need to seek additional financing;</w:t>
      </w:r>
    </w:p>
    <w:p>
      <w:pPr>
        <w:spacing w:after="0" w:line="55" w:lineRule="exact"/>
        <w:rPr>
          <w:rFonts w:ascii="Times New Roman" w:cs="Times New Roman" w:eastAsia="Times New Roman" w:hAnsi="Times New Roman"/>
          <w:sz w:val="18"/>
          <w:szCs w:val="18"/>
          <w:color w:val="auto"/>
        </w:rPr>
      </w:pPr>
    </w:p>
    <w:p>
      <w:pPr>
        <w:ind w:left="640" w:right="460" w:hanging="313"/>
        <w:spacing w:after="0" w:line="277"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sales and marketing expertise, for which we have not budgeted; and</w:t>
      </w:r>
    </w:p>
    <w:p>
      <w:pPr>
        <w:spacing w:after="0" w:line="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and commercialization of any such product candidates.</w:t>
      </w:r>
    </w:p>
    <w:p>
      <w:pPr>
        <w:spacing w:after="0" w:line="216"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68" w:lineRule="exact"/>
        <w:rPr>
          <w:sz w:val="20"/>
          <w:szCs w:val="20"/>
          <w:color w:val="auto"/>
        </w:rPr>
      </w:pPr>
    </w:p>
    <w:p>
      <w:pPr>
        <w:ind w:right="120" w:firstLine="560"/>
        <w:spacing w:after="0" w:line="251" w:lineRule="auto"/>
        <w:rPr>
          <w:sz w:val="20"/>
          <w:szCs w:val="20"/>
          <w:color w:val="auto"/>
        </w:rPr>
      </w:pPr>
      <w:r>
        <w:rPr>
          <w:rFonts w:ascii="Times New Roman" w:cs="Times New Roman" w:eastAsia="Times New Roman" w:hAnsi="Times New Roman"/>
          <w:sz w:val="18"/>
          <w:szCs w:val="18"/>
          <w:color w:val="auto"/>
        </w:rPr>
        <w:t>We rely on third-party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80" w:lineRule="exact"/>
        <w:rPr>
          <w:sz w:val="20"/>
          <w:szCs w:val="20"/>
          <w:color w:val="auto"/>
        </w:rPr>
      </w:pPr>
    </w:p>
    <w:p>
      <w:pPr>
        <w:ind w:right="180" w:firstLine="560"/>
        <w:spacing w:after="0" w:line="253"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completely on third parties to manufacture our nonclinical, clinical and future commercial drug supplies of any approved products.</w:t>
      </w:r>
    </w:p>
    <w:p>
      <w:pPr>
        <w:spacing w:after="0" w:line="117" w:lineRule="exact"/>
        <w:rPr>
          <w:sz w:val="20"/>
          <w:szCs w:val="20"/>
          <w:color w:val="auto"/>
        </w:rPr>
      </w:pPr>
    </w:p>
    <w:p>
      <w:pPr>
        <w:ind w:right="20" w:firstLine="560"/>
        <w:spacing w:after="0" w:line="250" w:lineRule="auto"/>
        <w:rPr>
          <w:sz w:val="20"/>
          <w:szCs w:val="20"/>
          <w:color w:val="auto"/>
        </w:rPr>
      </w:pPr>
      <w:r>
        <w:rPr>
          <w:rFonts w:ascii="Times New Roman" w:cs="Times New Roman" w:eastAsia="Times New Roman" w:hAnsi="Times New Roman"/>
          <w:sz w:val="18"/>
          <w:szCs w:val="18"/>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or otherwise, could considerably harm our business and ability to generate revenue and delay completion of our clinical trials, product testing and potential regulatory approval of our product candidates.</w:t>
      </w:r>
    </w:p>
    <w:p>
      <w:pPr>
        <w:spacing w:after="0" w:line="85" w:lineRule="exact"/>
        <w:rPr>
          <w:sz w:val="20"/>
          <w:szCs w:val="20"/>
          <w:color w:val="auto"/>
        </w:rPr>
      </w:pPr>
    </w:p>
    <w:p>
      <w:pPr>
        <w:ind w:firstLine="560"/>
        <w:spacing w:after="0" w:line="262" w:lineRule="auto"/>
        <w:rPr>
          <w:sz w:val="20"/>
          <w:szCs w:val="20"/>
          <w:color w:val="auto"/>
        </w:rPr>
      </w:pPr>
      <w:r>
        <w:rPr>
          <w:rFonts w:ascii="Times New Roman" w:cs="Times New Roman" w:eastAsia="Times New Roman" w:hAnsi="Times New Roman"/>
          <w:sz w:val="18"/>
          <w:szCs w:val="18"/>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69" w:lineRule="exact"/>
        <w:rPr>
          <w:sz w:val="20"/>
          <w:szCs w:val="20"/>
          <w:color w:val="auto"/>
        </w:rPr>
      </w:pPr>
    </w:p>
    <w:p>
      <w:pPr>
        <w:ind w:right="240" w:firstLine="560"/>
        <w:spacing w:after="0" w:line="257" w:lineRule="auto"/>
        <w:rPr>
          <w:sz w:val="20"/>
          <w:szCs w:val="20"/>
          <w:color w:val="auto"/>
        </w:rPr>
      </w:pPr>
      <w:r>
        <w:rPr>
          <w:rFonts w:ascii="Times New Roman" w:cs="Times New Roman" w:eastAsia="Times New Roman" w:hAnsi="Times New Roman"/>
          <w:sz w:val="18"/>
          <w:szCs w:val="18"/>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69"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5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53" w:lineRule="exact"/>
        <w:rPr>
          <w:sz w:val="20"/>
          <w:szCs w:val="20"/>
          <w:color w:val="auto"/>
        </w:rPr>
      </w:pPr>
    </w:p>
    <w:p>
      <w:pPr>
        <w:ind w:right="60" w:firstLine="560"/>
        <w:spacing w:after="0" w:line="251" w:lineRule="auto"/>
        <w:rPr>
          <w:sz w:val="20"/>
          <w:szCs w:val="20"/>
          <w:color w:val="auto"/>
        </w:rPr>
      </w:pPr>
      <w:r>
        <w:rPr>
          <w:rFonts w:ascii="Times New Roman" w:cs="Times New Roman" w:eastAsia="Times New Roman" w:hAnsi="Times New Roman"/>
          <w:sz w:val="18"/>
          <w:szCs w:val="18"/>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 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220"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b w:val="1"/>
          <w:bCs w:val="1"/>
          <w:color w:val="auto"/>
        </w:rPr>
        <w:t>The failure to obtain regulatory approval in international jurisdictions would prevent us or our collaborators from marketing our product candidates outside the United States.</w:t>
      </w:r>
    </w:p>
    <w:p>
      <w:pPr>
        <w:spacing w:after="0" w:line="53" w:lineRule="exact"/>
        <w:rPr>
          <w:sz w:val="20"/>
          <w:szCs w:val="20"/>
          <w:color w:val="auto"/>
        </w:rPr>
      </w:pPr>
    </w:p>
    <w:p>
      <w:pPr>
        <w:ind w:right="80" w:firstLine="560"/>
        <w:spacing w:after="0" w:line="252" w:lineRule="auto"/>
        <w:rPr>
          <w:sz w:val="20"/>
          <w:szCs w:val="20"/>
          <w:color w:val="auto"/>
        </w:rPr>
      </w:pPr>
      <w:r>
        <w:rPr>
          <w:rFonts w:ascii="Times New Roman" w:cs="Times New Roman" w:eastAsia="Times New Roman" w:hAnsi="Times New Roman"/>
          <w:sz w:val="18"/>
          <w:szCs w:val="18"/>
          <w:color w:val="auto"/>
        </w:rPr>
        <w:t>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80" w:lineRule="exact"/>
        <w:rPr>
          <w:sz w:val="20"/>
          <w:szCs w:val="20"/>
          <w:color w:val="auto"/>
        </w:rPr>
      </w:pPr>
    </w:p>
    <w:p>
      <w:pPr>
        <w:ind w:right="60" w:firstLine="560"/>
        <w:spacing w:after="0" w:line="254" w:lineRule="auto"/>
        <w:rPr>
          <w:sz w:val="20"/>
          <w:szCs w:val="20"/>
          <w:color w:val="auto"/>
        </w:rPr>
      </w:pPr>
      <w:r>
        <w:rPr>
          <w:rFonts w:ascii="Times New Roman" w:cs="Times New Roman" w:eastAsia="Times New Roman" w:hAnsi="Times New Roman"/>
          <w:sz w:val="18"/>
          <w:szCs w:val="18"/>
          <w:color w:val="auto"/>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drugs we develop may become subject to unfavorable third-party reimbursement practices and pricing regulations.</w:t>
      </w:r>
    </w:p>
    <w:p>
      <w:pPr>
        <w:spacing w:after="0" w:line="117" w:lineRule="exact"/>
        <w:rPr>
          <w:sz w:val="20"/>
          <w:szCs w:val="20"/>
          <w:color w:val="auto"/>
        </w:rPr>
      </w:pPr>
    </w:p>
    <w:p>
      <w:pPr>
        <w:ind w:firstLine="560"/>
        <w:spacing w:after="0" w:line="251"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or our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our collaborators may not successfully commercialize any product candidate for which marketing approval is obtained.</w:t>
      </w:r>
    </w:p>
    <w:p>
      <w:pPr>
        <w:spacing w:after="0" w:line="80" w:lineRule="exact"/>
        <w:rPr>
          <w:sz w:val="20"/>
          <w:szCs w:val="20"/>
          <w:color w:val="auto"/>
        </w:rPr>
      </w:pPr>
    </w:p>
    <w:p>
      <w:pPr>
        <w:ind w:right="80" w:firstLine="560"/>
        <w:spacing w:after="0" w:line="277"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3" w:name="page54"/>
    <w:bookmarkEnd w:id="53"/>
    <w:p>
      <w:pPr>
        <w:spacing w:after="0" w:line="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spacing w:after="0" w:line="78" w:lineRule="exact"/>
        <w:rPr>
          <w:sz w:val="20"/>
          <w:szCs w:val="20"/>
          <w:color w:val="auto"/>
        </w:rPr>
      </w:pPr>
    </w:p>
    <w:p>
      <w:pPr>
        <w:ind w:right="40" w:firstLine="560"/>
        <w:spacing w:after="0" w:line="251"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spacing w:after="0" w:line="83" w:lineRule="exact"/>
        <w:rPr>
          <w:sz w:val="20"/>
          <w:szCs w:val="20"/>
          <w:color w:val="auto"/>
        </w:rPr>
      </w:pPr>
    </w:p>
    <w:p>
      <w:pPr>
        <w:ind w:right="20" w:firstLine="560"/>
        <w:spacing w:after="0" w:line="250"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85" w:lineRule="exact"/>
        <w:rPr>
          <w:sz w:val="20"/>
          <w:szCs w:val="20"/>
          <w:color w:val="auto"/>
        </w:rPr>
      </w:pPr>
    </w:p>
    <w:p>
      <w:pPr>
        <w:ind w:right="120" w:firstLine="560"/>
        <w:spacing w:after="0" w:line="253"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78" w:lineRule="exact"/>
        <w:rPr>
          <w:sz w:val="20"/>
          <w:szCs w:val="20"/>
          <w:color w:val="auto"/>
        </w:rPr>
      </w:pPr>
    </w:p>
    <w:p>
      <w:pPr>
        <w:ind w:firstLine="560"/>
        <w:spacing w:after="0" w:line="257" w:lineRule="auto"/>
        <w:rPr>
          <w:sz w:val="20"/>
          <w:szCs w:val="20"/>
          <w:color w:val="auto"/>
        </w:rPr>
      </w:pPr>
      <w:r>
        <w:rPr>
          <w:rFonts w:ascii="Times New Roman" w:cs="Times New Roman" w:eastAsia="Times New Roman" w:hAnsi="Times New Roman"/>
          <w:sz w:val="18"/>
          <w:szCs w:val="18"/>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74" w:lineRule="exact"/>
        <w:rPr>
          <w:sz w:val="20"/>
          <w:szCs w:val="20"/>
          <w:color w:val="auto"/>
        </w:rPr>
      </w:pPr>
    </w:p>
    <w:p>
      <w:pPr>
        <w:ind w:right="40" w:firstLine="560"/>
        <w:spacing w:after="0" w:line="254" w:lineRule="auto"/>
        <w:rPr>
          <w:sz w:val="20"/>
          <w:szCs w:val="20"/>
          <w:color w:val="auto"/>
        </w:rPr>
      </w:pPr>
      <w:r>
        <w:rPr>
          <w:rFonts w:ascii="Times New Roman" w:cs="Times New Roman" w:eastAsia="Times New Roman" w:hAnsi="Times New Roman"/>
          <w:sz w:val="18"/>
          <w:szCs w:val="18"/>
          <w:color w:val="auto"/>
        </w:rPr>
        <w:t>If we or our collaborators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82"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b w:val="1"/>
          <w:bCs w:val="1"/>
          <w:color w:val="auto"/>
        </w:rPr>
        <w:t>Healthcare legislative reform measures may increase the difficulty and cost for us or our collaborators to obtain marketing approval of and commercialize our product candidates and affect the pricing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69" w:lineRule="exact"/>
        <w:rPr>
          <w:sz w:val="20"/>
          <w:szCs w:val="20"/>
          <w:color w:val="auto"/>
        </w:rPr>
      </w:pPr>
    </w:p>
    <w:p>
      <w:pPr>
        <w:ind w:right="40" w:firstLine="560"/>
        <w:spacing w:after="0" w:line="252"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spacing w:after="0" w:line="80" w:lineRule="exact"/>
        <w:rPr>
          <w:sz w:val="20"/>
          <w:szCs w:val="20"/>
          <w:color w:val="auto"/>
        </w:rPr>
      </w:pPr>
    </w:p>
    <w:p>
      <w:pPr>
        <w:ind w:right="80" w:firstLine="560"/>
        <w:spacing w:after="0" w:line="257" w:lineRule="auto"/>
        <w:rPr>
          <w:sz w:val="20"/>
          <w:szCs w:val="20"/>
          <w:color w:val="auto"/>
        </w:rPr>
      </w:pPr>
      <w:r>
        <w:rPr>
          <w:rFonts w:ascii="Times New Roman" w:cs="Times New Roman" w:eastAsia="Times New Roman" w:hAnsi="Times New Roman"/>
          <w:sz w:val="18"/>
          <w:szCs w:val="18"/>
          <w:color w:val="auto"/>
        </w:rPr>
        <w:t>For example,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spacing w:after="0" w:line="74" w:lineRule="exact"/>
        <w:rPr>
          <w:sz w:val="20"/>
          <w:szCs w:val="20"/>
          <w:color w:val="auto"/>
        </w:rPr>
      </w:pPr>
    </w:p>
    <w:p>
      <w:pPr>
        <w:ind w:right="80" w:firstLine="560"/>
        <w:spacing w:after="0" w:line="265"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in the United States federal and state levels to reduce healthcare expenditures. For example, several healthcare reform initiatives culminated in the enactment of the IRA, in August 2022, which allows, among other things, the HHS to negotiate the selling price of certain drugs and biologics that CMS reimburses under Medicare Part B and Part D, although this only applies to high-expenditure single-source drugs that have been approved for at least 7 years (11 years for biologics). The negotiated prices, which will first become effective in 2026, will be capped at a statutory ceiling price. Beginning in January 2023 for Medicare Part B and October 2022 for Medicare Part D,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are taking effect progressively starting in 2023, although they are subject to legal challenges. For example, the provisions related to the negotiation of selling prices of high-expenditure single-source drugs and biologics have been challenged in multiple lawsuits. Thus, it is unclear how the IRA will be implemented but it will likely have a significant impact on the pharmaceutical industry and the pricing of our products and product candidates. The adoption of restrictive price controls in new jurisdictions, more restrictive controls in existing jurisdictions or the failure to obtain or maintain timely or adequate pricing could also adversely impact revenue. We expect pricing pressures will continue globally.</w:t>
      </w:r>
    </w:p>
    <w:p>
      <w:pPr>
        <w:spacing w:after="0" w:line="69" w:lineRule="exact"/>
        <w:rPr>
          <w:sz w:val="20"/>
          <w:szCs w:val="20"/>
          <w:color w:val="auto"/>
        </w:rPr>
      </w:pPr>
    </w:p>
    <w:p>
      <w:pPr>
        <w:ind w:firstLine="560"/>
        <w:spacing w:after="0" w:line="254"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We cannot predict the reform initiatives that may be adopted in the future or whether initiatives that have been adopted will be repealed or modified.</w:t>
      </w:r>
    </w:p>
    <w:p>
      <w:pPr>
        <w:spacing w:after="0" w:line="79" w:lineRule="exact"/>
        <w:rPr>
          <w:sz w:val="20"/>
          <w:szCs w:val="20"/>
          <w:color w:val="auto"/>
        </w:rPr>
      </w:pPr>
    </w:p>
    <w:p>
      <w:pPr>
        <w:ind w:firstLine="560"/>
        <w:spacing w:after="0" w:line="262" w:lineRule="auto"/>
        <w:rPr>
          <w:sz w:val="20"/>
          <w:szCs w:val="20"/>
          <w:color w:val="auto"/>
        </w:rPr>
      </w:pPr>
      <w:r>
        <w:rPr>
          <w:rFonts w:ascii="Times New Roman" w:cs="Times New Roman" w:eastAsia="Times New Roman" w:hAnsi="Times New Roman"/>
          <w:sz w:val="18"/>
          <w:szCs w:val="18"/>
          <w:color w:val="auto"/>
        </w:rPr>
        <w:t>We expect that the ACA, the IRA and other state or federal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7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3" w:lineRule="exact"/>
        <w:rPr>
          <w:sz w:val="20"/>
          <w:szCs w:val="20"/>
          <w:color w:val="auto"/>
        </w:rPr>
      </w:pPr>
    </w:p>
    <w:p>
      <w:pPr>
        <w:ind w:right="160" w:firstLine="560"/>
        <w:spacing w:after="0" w:line="254"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6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183" w:lineRule="exact"/>
        <w:rPr>
          <w:sz w:val="20"/>
          <w:szCs w:val="20"/>
          <w:color w:val="auto"/>
        </w:rPr>
      </w:pPr>
    </w:p>
    <w:p>
      <w:pPr>
        <w:ind w:right="460"/>
        <w:spacing w:after="0" w:line="264" w:lineRule="auto"/>
        <w:rPr>
          <w:sz w:val="20"/>
          <w:szCs w:val="20"/>
          <w:color w:val="auto"/>
        </w:rPr>
      </w:pPr>
      <w:r>
        <w:rPr>
          <w:rFonts w:ascii="Times New Roman" w:cs="Times New Roman" w:eastAsia="Times New Roman" w:hAnsi="Times New Roman"/>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68" w:lineRule="exact"/>
        <w:rPr>
          <w:sz w:val="20"/>
          <w:szCs w:val="20"/>
          <w:color w:val="auto"/>
        </w:rPr>
      </w:pPr>
    </w:p>
    <w:p>
      <w:pPr>
        <w:ind w:right="160" w:firstLine="560"/>
        <w:spacing w:after="0" w:line="254" w:lineRule="auto"/>
        <w:rPr>
          <w:sz w:val="20"/>
          <w:szCs w:val="20"/>
          <w:color w:val="auto"/>
        </w:rPr>
      </w:pPr>
      <w:r>
        <w:rPr>
          <w:rFonts w:ascii="Times New Roman" w:cs="Times New Roman" w:eastAsia="Times New Roman" w:hAnsi="Times New Roman"/>
          <w:sz w:val="18"/>
          <w:szCs w:val="18"/>
          <w:color w:val="auto"/>
        </w:rPr>
        <w:t>Health care providers and third-party payors play a primary role in the recommendation and prescription of any product candidates for which we or our collaborators obtain marketing approval. Our future arrangements with third-party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spacing w:after="0" w:line="79" w:lineRule="exact"/>
        <w:rPr>
          <w:sz w:val="20"/>
          <w:szCs w:val="20"/>
          <w:color w:val="auto"/>
        </w:rPr>
      </w:pPr>
    </w:p>
    <w:p>
      <w:pPr>
        <w:ind w:left="640" w:right="100" w:hanging="313"/>
        <w:spacing w:after="0" w:line="257"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4" w:lineRule="exact"/>
        <w:rPr>
          <w:rFonts w:ascii="Times New Roman" w:cs="Times New Roman" w:eastAsia="Times New Roman" w:hAnsi="Times New Roman"/>
          <w:sz w:val="18"/>
          <w:szCs w:val="18"/>
          <w:color w:val="auto"/>
        </w:rPr>
      </w:pPr>
    </w:p>
    <w:p>
      <w:pPr>
        <w:ind w:left="640" w:right="180" w:hanging="313"/>
        <w:spacing w:after="0" w:line="257"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4" w:lineRule="exact"/>
        <w:rPr>
          <w:rFonts w:ascii="Times New Roman" w:cs="Times New Roman" w:eastAsia="Times New Roman" w:hAnsi="Times New Roman"/>
          <w:sz w:val="18"/>
          <w:szCs w:val="18"/>
          <w:color w:val="auto"/>
        </w:rPr>
      </w:pPr>
    </w:p>
    <w:p>
      <w:pPr>
        <w:ind w:left="640" w:right="160" w:hanging="313"/>
        <w:spacing w:after="0" w:line="277"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executing or attempting to execute a scheme to defraud any health care benefit program or making false statements relating to health care matters;</w:t>
      </w:r>
    </w:p>
    <w:p>
      <w:pPr>
        <w:spacing w:after="0" w:line="55" w:lineRule="exact"/>
        <w:rPr>
          <w:rFonts w:ascii="Times New Roman" w:cs="Times New Roman" w:eastAsia="Times New Roman" w:hAnsi="Times New Roman"/>
          <w:sz w:val="18"/>
          <w:szCs w:val="18"/>
          <w:color w:val="auto"/>
        </w:rPr>
      </w:pPr>
    </w:p>
    <w:p>
      <w:pPr>
        <w:jc w:val="both"/>
        <w:ind w:left="640" w:right="180" w:hanging="313"/>
        <w:spacing w:after="0" w:line="262"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69" w:lineRule="exact"/>
        <w:rPr>
          <w:rFonts w:ascii="Times New Roman" w:cs="Times New Roman" w:eastAsia="Times New Roman" w:hAnsi="Times New Roman"/>
          <w:sz w:val="18"/>
          <w:szCs w:val="18"/>
          <w:color w:val="auto"/>
        </w:rPr>
      </w:pPr>
    </w:p>
    <w:p>
      <w:pPr>
        <w:ind w:left="640" w:hanging="313"/>
        <w:spacing w:after="0" w:line="25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78"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56" w:lineRule="exact"/>
        <w:rPr>
          <w:sz w:val="20"/>
          <w:szCs w:val="20"/>
          <w:color w:val="auto"/>
        </w:rPr>
      </w:pPr>
    </w:p>
    <w:p>
      <w:pPr>
        <w:ind w:right="200" w:firstLine="560"/>
        <w:spacing w:after="0" w:line="257" w:lineRule="auto"/>
        <w:rPr>
          <w:sz w:val="20"/>
          <w:szCs w:val="20"/>
          <w:color w:val="auto"/>
        </w:rPr>
      </w:pPr>
      <w:r>
        <w:rPr>
          <w:rFonts w:ascii="Times New Roman" w:cs="Times New Roman" w:eastAsia="Times New Roman" w:hAnsi="Times New Roman"/>
          <w:sz w:val="18"/>
          <w:szCs w:val="18"/>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74" w:lineRule="exact"/>
        <w:rPr>
          <w:sz w:val="20"/>
          <w:szCs w:val="20"/>
          <w:color w:val="auto"/>
        </w:rPr>
      </w:pPr>
    </w:p>
    <w:p>
      <w:pPr>
        <w:ind w:right="380" w:firstLine="560"/>
        <w:spacing w:after="0" w:line="277" w:lineRule="auto"/>
        <w:rPr>
          <w:sz w:val="20"/>
          <w:szCs w:val="20"/>
          <w:color w:val="auto"/>
        </w:rPr>
      </w:pPr>
      <w:r>
        <w:rPr>
          <w:rFonts w:ascii="Times New Roman" w:cs="Times New Roman" w:eastAsia="Times New Roman" w:hAnsi="Times New Roman"/>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6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comply with privacy and data security laws, regulations and standards may cause our business to be materially adversely affected.</w:t>
      </w:r>
    </w:p>
    <w:p>
      <w:pPr>
        <w:spacing w:after="0" w:line="117" w:lineRule="exact"/>
        <w:rPr>
          <w:sz w:val="20"/>
          <w:szCs w:val="20"/>
          <w:color w:val="auto"/>
        </w:rPr>
      </w:pPr>
    </w:p>
    <w:p>
      <w:pPr>
        <w:ind w:firstLine="560"/>
        <w:spacing w:after="0" w:line="249" w:lineRule="auto"/>
        <w:rPr>
          <w:sz w:val="20"/>
          <w:szCs w:val="20"/>
          <w:color w:val="auto"/>
        </w:rPr>
      </w:pPr>
      <w:r>
        <w:rPr>
          <w:rFonts w:ascii="Times New Roman" w:cs="Times New Roman" w:eastAsia="Times New Roman" w:hAnsi="Times New Roman"/>
          <w:sz w:val="18"/>
          <w:szCs w:val="18"/>
          <w:color w:val="auto"/>
        </w:rPr>
        <w:t>We maintain a quantity of sensitive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In contrast, the EU and United Kingdom (“UK”) GDPR, which applies extraterritorially, imposes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information from the European Economic Area/UK/Switzerland to countries not deemed to have adequate data protections laws. The GDPR also provides that countries in the European Economic Area may establish their own laws and regulations further restricting the processing of certain personal information, including genetic data, biometric data, and health data. Companies that must comply with the GDPR face increased compliance obligations and risk, including more robust regulatory enforcement of data protection requirements and potential fines for noncompliance of up to €20 million (approximately $22.6 million) or 4 percent of the annual global revenues of the noncompliant company, whichever is greater.</w:t>
      </w:r>
    </w:p>
    <w:p>
      <w:pPr>
        <w:spacing w:after="0" w:line="90" w:lineRule="exact"/>
        <w:rPr>
          <w:sz w:val="20"/>
          <w:szCs w:val="20"/>
          <w:color w:val="auto"/>
        </w:rPr>
      </w:pPr>
    </w:p>
    <w:p>
      <w:pPr>
        <w:ind w:right="40" w:firstLine="560"/>
        <w:spacing w:after="0" w:line="251" w:lineRule="auto"/>
        <w:rPr>
          <w:sz w:val="20"/>
          <w:szCs w:val="20"/>
          <w:color w:val="auto"/>
        </w:rPr>
      </w:pPr>
      <w:r>
        <w:rPr>
          <w:rFonts w:ascii="Times New Roman" w:cs="Times New Roman" w:eastAsia="Times New Roman" w:hAnsi="Times New Roman"/>
          <w:sz w:val="18"/>
          <w:szCs w:val="18"/>
          <w:color w:val="auto"/>
        </w:rPr>
        <w:t>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California enacted the California Consumer Privacy Act (the “CCPA”), later amended by ballot measure through the California Privacy Rights Act (the “CPRA”). Failure to comply with the CCPA and the CPRA may result in significant civil penalties, injunctive relief, or statutory or actual damages as determined by the California Privacy Protection Agency and California Attorney General through its investigative authority. Many other states have or are considering enacting comparable consumer privacy laws. Compliance with this new privacy legislation may result in additional costs and expense of resources to maintain compliance. There is also discussion in the U.S. of a new comprehensive federal data privacy law to which we would become subject if it is enacted.</w:t>
      </w:r>
    </w:p>
    <w:p>
      <w:pPr>
        <w:spacing w:after="0" w:line="80" w:lineRule="exact"/>
        <w:rPr>
          <w:sz w:val="20"/>
          <w:szCs w:val="20"/>
          <w:color w:val="auto"/>
        </w:rPr>
      </w:pPr>
    </w:p>
    <w:p>
      <w:pPr>
        <w:ind w:right="20" w:firstLine="560"/>
        <w:spacing w:after="0" w:line="257" w:lineRule="auto"/>
        <w:rPr>
          <w:sz w:val="20"/>
          <w:szCs w:val="20"/>
          <w:color w:val="auto"/>
        </w:rPr>
      </w:pPr>
      <w:r>
        <w:rPr>
          <w:rFonts w:ascii="Times New Roman" w:cs="Times New Roman" w:eastAsia="Times New Roman" w:hAnsi="Times New Roman"/>
          <w:sz w:val="18"/>
          <w:szCs w:val="18"/>
          <w:color w:val="auto"/>
        </w:rPr>
        <w:t>We cannot provide assurance that (i) current or future legislation will not prevent us from generating or maintaining personal information, or (ii) patients will consent to the use of their personal information (as necessary). Either of these circumstances may prevent us from undertaking or continuing essential research and development, manufacturing, and commercialization, which could have a material adverse effect on our business, results of operations, financial condition, and prospects.</w:t>
      </w:r>
    </w:p>
    <w:p>
      <w:pPr>
        <w:spacing w:after="0" w:line="74" w:lineRule="exact"/>
        <w:rPr>
          <w:sz w:val="20"/>
          <w:szCs w:val="20"/>
          <w:color w:val="auto"/>
        </w:rPr>
      </w:pPr>
    </w:p>
    <w:p>
      <w:pPr>
        <w:ind w:right="60" w:firstLine="560"/>
        <w:spacing w:after="0" w:line="271" w:lineRule="auto"/>
        <w:rPr>
          <w:sz w:val="20"/>
          <w:szCs w:val="20"/>
          <w:color w:val="auto"/>
        </w:rPr>
      </w:pPr>
      <w:r>
        <w:rPr>
          <w:rFonts w:ascii="Times New Roman" w:cs="Times New Roman" w:eastAsia="Times New Roman" w:hAnsi="Times New Roman"/>
          <w:sz w:val="17"/>
          <w:szCs w:val="17"/>
          <w:color w:val="auto"/>
        </w:rPr>
        <w:t>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 data or a third-party’s personal information could subject us to individual or consumer class action litigation and governmental investigations and proceedings by federal, state, and local regulatory entities in the U.S. and by international regulatory entities. Compliance with these and any other applicable privacy and data security laws and regulations is a rigorous and time-intensive process, and we may be required to put in place additional mechanisms ensuring compliance with existing and new data protection rules and possible government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69" w:lineRule="exact"/>
        <w:rPr>
          <w:sz w:val="20"/>
          <w:szCs w:val="20"/>
          <w:color w:val="auto"/>
        </w:rPr>
      </w:pPr>
    </w:p>
    <w:p>
      <w:pPr>
        <w:ind w:right="60" w:firstLine="560"/>
        <w:spacing w:after="0" w:line="265" w:lineRule="auto"/>
        <w:rPr>
          <w:sz w:val="20"/>
          <w:szCs w:val="20"/>
          <w:color w:val="auto"/>
        </w:rPr>
      </w:pPr>
      <w:r>
        <w:rPr>
          <w:rFonts w:ascii="Times New Roman" w:cs="Times New Roman" w:eastAsia="Times New Roman" w:hAnsi="Times New Roman"/>
          <w:sz w:val="17"/>
          <w:szCs w:val="17"/>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spacing w:after="0" w:line="17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b w:val="1"/>
          <w:bCs w:val="1"/>
          <w:color w:val="auto"/>
        </w:rPr>
        <w:t>Our employees may engage in misconduct or other improper activities, including noncompliance with regulatory standards and requirements and insider trading.</w:t>
      </w:r>
    </w:p>
    <w:p>
      <w:pPr>
        <w:spacing w:after="0" w:line="53" w:lineRule="exact"/>
        <w:rPr>
          <w:sz w:val="20"/>
          <w:szCs w:val="20"/>
          <w:color w:val="auto"/>
        </w:rPr>
      </w:pPr>
    </w:p>
    <w:p>
      <w:pPr>
        <w:ind w:right="20" w:firstLine="560"/>
        <w:spacing w:after="0" w:line="250"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firstLine="560"/>
        <w:spacing w:after="0" w:line="249"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69" w:lineRule="exact"/>
        <w:rPr>
          <w:sz w:val="20"/>
          <w:szCs w:val="20"/>
          <w:color w:val="auto"/>
        </w:rPr>
      </w:pPr>
    </w:p>
    <w:p>
      <w:pPr>
        <w:ind w:right="20" w:firstLine="560"/>
        <w:spacing w:after="0" w:line="250"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85" w:lineRule="exact"/>
        <w:rPr>
          <w:sz w:val="20"/>
          <w:szCs w:val="20"/>
          <w:color w:val="auto"/>
        </w:rPr>
      </w:pPr>
    </w:p>
    <w:p>
      <w:pPr>
        <w:ind w:right="20" w:firstLine="560"/>
        <w:spacing w:after="0" w:line="252" w:lineRule="auto"/>
        <w:rPr>
          <w:sz w:val="20"/>
          <w:szCs w:val="20"/>
          <w:color w:val="auto"/>
        </w:rPr>
      </w:pPr>
      <w:r>
        <w:rPr>
          <w:rFonts w:ascii="Times New Roman" w:cs="Times New Roman" w:eastAsia="Times New Roman" w:hAnsi="Times New Roman"/>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80" w:lineRule="exact"/>
        <w:rPr>
          <w:sz w:val="20"/>
          <w:szCs w:val="20"/>
          <w:color w:val="auto"/>
        </w:rPr>
      </w:pPr>
    </w:p>
    <w:p>
      <w:pPr>
        <w:ind w:right="20" w:firstLine="560"/>
        <w:spacing w:after="0" w:line="250" w:lineRule="auto"/>
        <w:rPr>
          <w:sz w:val="20"/>
          <w:szCs w:val="20"/>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83" w:lineRule="exact"/>
        <w:rPr>
          <w:sz w:val="20"/>
          <w:szCs w:val="20"/>
          <w:color w:val="auto"/>
        </w:rPr>
      </w:pPr>
    </w:p>
    <w:p>
      <w:pPr>
        <w:ind w:firstLine="560"/>
        <w:spacing w:after="0" w:line="251"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 rights throughout the world.</w:t>
      </w:r>
    </w:p>
    <w:p>
      <w:pPr>
        <w:spacing w:after="0" w:line="117" w:lineRule="exact"/>
        <w:rPr>
          <w:sz w:val="20"/>
          <w:szCs w:val="20"/>
          <w:color w:val="auto"/>
        </w:rPr>
      </w:pPr>
    </w:p>
    <w:p>
      <w:pPr>
        <w:ind w:right="40" w:firstLine="560"/>
        <w:spacing w:after="0" w:line="250"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85" w:lineRule="exact"/>
        <w:rPr>
          <w:sz w:val="20"/>
          <w:szCs w:val="20"/>
          <w:color w:val="auto"/>
        </w:rPr>
      </w:pPr>
    </w:p>
    <w:p>
      <w:pPr>
        <w:ind w:right="100" w:firstLine="560"/>
        <w:spacing w:after="0" w:line="250"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right="80" w:firstLine="560"/>
        <w:spacing w:after="0" w:line="262"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69" w:lineRule="exact"/>
        <w:rPr>
          <w:sz w:val="20"/>
          <w:szCs w:val="20"/>
          <w:color w:val="auto"/>
        </w:rPr>
      </w:pPr>
    </w:p>
    <w:p>
      <w:pPr>
        <w:ind w:right="60" w:firstLine="560"/>
        <w:spacing w:after="0" w:line="257"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74" w:lineRule="exact"/>
        <w:rPr>
          <w:sz w:val="20"/>
          <w:szCs w:val="20"/>
          <w:color w:val="auto"/>
        </w:rPr>
      </w:pPr>
    </w:p>
    <w:p>
      <w:pPr>
        <w:ind w:right="20" w:firstLine="560"/>
        <w:spacing w:after="0" w:line="254"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79" w:lineRule="exact"/>
        <w:rPr>
          <w:sz w:val="20"/>
          <w:szCs w:val="20"/>
          <w:color w:val="auto"/>
        </w:rPr>
      </w:pPr>
    </w:p>
    <w:p>
      <w:pPr>
        <w:ind w:firstLine="560"/>
        <w:spacing w:after="0" w:line="253"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6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third party as a defendant in a district court action. The AIA and its implementation could increase the uncertainties and costs surrounding the prosecution of our patent applications and the enforcement or defense of our issued patents.</w:t>
      </w:r>
    </w:p>
    <w:p>
      <w:pPr>
        <w:spacing w:after="0" w:line="56" w:lineRule="exact"/>
        <w:rPr>
          <w:sz w:val="20"/>
          <w:szCs w:val="20"/>
          <w:color w:val="auto"/>
        </w:rPr>
      </w:pPr>
    </w:p>
    <w:p>
      <w:pPr>
        <w:ind w:firstLine="560"/>
        <w:spacing w:after="0" w:line="250" w:lineRule="auto"/>
        <w:rPr>
          <w:sz w:val="20"/>
          <w:szCs w:val="20"/>
          <w:color w:val="auto"/>
        </w:rPr>
      </w:pPr>
      <w:r>
        <w:rPr>
          <w:rFonts w:ascii="Times New Roman" w:cs="Times New Roman" w:eastAsia="Times New Roman" w:hAnsi="Times New Roman"/>
          <w:sz w:val="18"/>
          <w:szCs w:val="18"/>
          <w:color w:val="auto"/>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over the past decade, the U.S. Supreme Court and the U.S. Court of Appeals for the Federal Circuit have rendered decisions in several patent cases such as </w:t>
      </w:r>
      <w:r>
        <w:rPr>
          <w:rFonts w:ascii="Times New Roman" w:cs="Times New Roman" w:eastAsia="Times New Roman" w:hAnsi="Times New Roman"/>
          <w:sz w:val="18"/>
          <w:szCs w:val="18"/>
          <w:i w:val="1"/>
          <w:iCs w:val="1"/>
          <w:color w:val="auto"/>
        </w:rPr>
        <w:t>Association for Molecular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Pathology v. Myriad Genetics,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BRCA1- &amp; BRCA2-Based Hereditary Cancer Test Patent Litig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Mayo Collaborative Services v. Prometheus Laboratories, Inc.,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Alice Corporation Pty. Ltd. v. CLS Bank International</w:t>
      </w:r>
      <w:r>
        <w:rPr>
          <w:rFonts w:ascii="Times New Roman" w:cs="Times New Roman" w:eastAsia="Times New Roman" w:hAnsi="Times New Roman"/>
          <w:sz w:val="18"/>
          <w:szCs w:val="18"/>
          <w:color w:val="auto"/>
        </w:rPr>
        <w:t>, either narrowing the scope of patent protection available in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186" w:lineRule="exact"/>
        <w:rPr>
          <w:sz w:val="20"/>
          <w:szCs w:val="20"/>
          <w:color w:val="auto"/>
        </w:rPr>
      </w:pPr>
    </w:p>
    <w:p>
      <w:pPr>
        <w:jc w:val="both"/>
        <w:ind w:right="260"/>
        <w:spacing w:after="0" w:line="264" w:lineRule="auto"/>
        <w:rPr>
          <w:sz w:val="20"/>
          <w:szCs w:val="20"/>
          <w:color w:val="auto"/>
        </w:rPr>
      </w:pPr>
      <w:r>
        <w:rPr>
          <w:rFonts w:ascii="Times New Roman" w:cs="Times New Roman" w:eastAsia="Times New Roman" w:hAnsi="Times New Roman"/>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8" w:lineRule="exact"/>
        <w:rPr>
          <w:sz w:val="20"/>
          <w:szCs w:val="20"/>
          <w:color w:val="auto"/>
        </w:rPr>
      </w:pPr>
    </w:p>
    <w:p>
      <w:pPr>
        <w:ind w:firstLine="560"/>
        <w:spacing w:after="0" w:line="251"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18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3" w:lineRule="exact"/>
        <w:rPr>
          <w:sz w:val="20"/>
          <w:szCs w:val="20"/>
          <w:color w:val="auto"/>
        </w:rPr>
      </w:pPr>
    </w:p>
    <w:p>
      <w:pPr>
        <w:ind w:right="20" w:firstLine="560"/>
        <w:spacing w:after="0" w:line="251" w:lineRule="auto"/>
        <w:rPr>
          <w:sz w:val="20"/>
          <w:szCs w:val="20"/>
          <w:color w:val="auto"/>
        </w:rPr>
      </w:pPr>
      <w:r>
        <w:rPr>
          <w:rFonts w:ascii="Times New Roman" w:cs="Times New Roman" w:eastAsia="Times New Roman" w:hAnsi="Times New Roman"/>
          <w:sz w:val="18"/>
          <w:szCs w:val="18"/>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80" w:lineRule="exact"/>
        <w:rPr>
          <w:sz w:val="20"/>
          <w:szCs w:val="20"/>
          <w:color w:val="auto"/>
        </w:rPr>
      </w:pPr>
    </w:p>
    <w:p>
      <w:pPr>
        <w:ind w:right="40" w:firstLine="560"/>
        <w:spacing w:after="0" w:line="251"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6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information by any of our third-party collaborators. A competitor’s discovery of our trade secrets would impair our competitive position and have an adverse impact on our business.</w:t>
      </w:r>
    </w:p>
    <w:p>
      <w:pPr>
        <w:spacing w:after="0" w:line="15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3" w:lineRule="exact"/>
        <w:rPr>
          <w:sz w:val="20"/>
          <w:szCs w:val="20"/>
          <w:color w:val="auto"/>
        </w:rPr>
      </w:pPr>
    </w:p>
    <w:p>
      <w:pPr>
        <w:ind w:right="20" w:firstLine="560"/>
        <w:spacing w:after="0" w:line="250" w:lineRule="auto"/>
        <w:rPr>
          <w:sz w:val="20"/>
          <w:szCs w:val="20"/>
          <w:color w:val="auto"/>
        </w:rPr>
      </w:pPr>
      <w:r>
        <w:rPr>
          <w:rFonts w:ascii="Times New Roman" w:cs="Times New Roman" w:eastAsia="Times New Roman" w:hAnsi="Times New Roman"/>
          <w:sz w:val="18"/>
          <w:szCs w:val="18"/>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83" w:lineRule="exact"/>
        <w:rPr>
          <w:sz w:val="20"/>
          <w:szCs w:val="20"/>
          <w:color w:val="auto"/>
        </w:rPr>
      </w:pPr>
    </w:p>
    <w:p>
      <w:pPr>
        <w:ind w:firstLine="560"/>
        <w:spacing w:after="0" w:line="257" w:lineRule="auto"/>
        <w:rPr>
          <w:sz w:val="20"/>
          <w:szCs w:val="20"/>
          <w:color w:val="auto"/>
        </w:rPr>
      </w:pPr>
      <w:r>
        <w:rPr>
          <w:rFonts w:ascii="Times New Roman" w:cs="Times New Roman" w:eastAsia="Times New Roman" w:hAnsi="Times New Roman"/>
          <w:sz w:val="18"/>
          <w:szCs w:val="18"/>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74" w:lineRule="exact"/>
        <w:rPr>
          <w:sz w:val="20"/>
          <w:szCs w:val="20"/>
          <w:color w:val="auto"/>
        </w:rPr>
      </w:pPr>
    </w:p>
    <w:p>
      <w:pPr>
        <w:ind w:firstLine="560"/>
        <w:spacing w:after="0" w:line="250" w:lineRule="auto"/>
        <w:rPr>
          <w:sz w:val="20"/>
          <w:szCs w:val="20"/>
          <w:color w:val="auto"/>
        </w:rPr>
      </w:pPr>
      <w:r>
        <w:rPr>
          <w:rFonts w:ascii="Times New Roman" w:cs="Times New Roman" w:eastAsia="Times New Roman" w:hAnsi="Times New Roman"/>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85" w:lineRule="exact"/>
        <w:rPr>
          <w:sz w:val="20"/>
          <w:szCs w:val="20"/>
          <w:color w:val="auto"/>
        </w:rPr>
      </w:pPr>
    </w:p>
    <w:p>
      <w:pPr>
        <w:jc w:val="both"/>
        <w:ind w:right="300" w:firstLine="560"/>
        <w:spacing w:after="0" w:line="257"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74" w:lineRule="exact"/>
        <w:rPr>
          <w:sz w:val="20"/>
          <w:szCs w:val="20"/>
          <w:color w:val="auto"/>
        </w:rPr>
      </w:pPr>
    </w:p>
    <w:p>
      <w:pPr>
        <w:ind w:right="220" w:firstLine="560"/>
        <w:spacing w:after="0" w:line="257"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7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b w:val="1"/>
          <w:bCs w:val="1"/>
          <w:color w:val="auto"/>
        </w:rPr>
        <w:t>If we breach the license agreements related to our product candidates, we could lose the ability to continue the development and commercialization of our product candidates.</w:t>
      </w:r>
    </w:p>
    <w:p>
      <w:pPr>
        <w:spacing w:after="0" w:line="53" w:lineRule="exact"/>
        <w:rPr>
          <w:sz w:val="20"/>
          <w:szCs w:val="20"/>
          <w:color w:val="auto"/>
        </w:rPr>
      </w:pPr>
    </w:p>
    <w:p>
      <w:pPr>
        <w:ind w:right="40" w:firstLine="560"/>
        <w:spacing w:after="0" w:line="262"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licensors, licensees and collaborators, to develop, manufacture, market and sell our product candidates and use our and our licensors’, licensees’ or collaborators’ wholly owned technologies without infringing the proprietary rights of third parties. A third party may hold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3" w:lineRule="exact"/>
        <w:rPr>
          <w:sz w:val="20"/>
          <w:szCs w:val="20"/>
          <w:color w:val="auto"/>
        </w:rPr>
      </w:pPr>
    </w:p>
    <w:p>
      <w:pPr>
        <w:ind w:left="640" w:hanging="313"/>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collaboration relationships we might enter into in the future;</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3" w:lineRule="exact"/>
        <w:rPr>
          <w:rFonts w:ascii="Times New Roman" w:cs="Times New Roman" w:eastAsia="Times New Roman" w:hAnsi="Times New Roman"/>
          <w:sz w:val="18"/>
          <w:szCs w:val="18"/>
          <w:color w:val="auto"/>
        </w:rPr>
      </w:pPr>
    </w:p>
    <w:p>
      <w:pPr>
        <w:ind w:left="640" w:right="400" w:hanging="313"/>
        <w:spacing w:after="0" w:line="277"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us and our licensors, licensees or collaborators; and</w:t>
      </w:r>
    </w:p>
    <w:p>
      <w:pPr>
        <w:spacing w:after="0" w:line="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3" w:lineRule="exact"/>
        <w:rPr>
          <w:sz w:val="20"/>
          <w:szCs w:val="20"/>
          <w:color w:val="auto"/>
        </w:rPr>
      </w:pPr>
    </w:p>
    <w:p>
      <w:pPr>
        <w:ind w:right="100" w:firstLine="560"/>
        <w:spacing w:after="0" w:line="277"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any future licensing arrangements on acceptable terms, we may be unable to successfully develop and commercialize the affected product candidates.</w:t>
      </w:r>
    </w:p>
    <w:p>
      <w:pPr>
        <w:spacing w:after="0" w:line="15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68" w:lineRule="exact"/>
        <w:rPr>
          <w:sz w:val="20"/>
          <w:szCs w:val="20"/>
          <w:color w:val="auto"/>
        </w:rPr>
      </w:pPr>
    </w:p>
    <w:p>
      <w:pPr>
        <w:ind w:right="60" w:firstLine="560"/>
        <w:spacing w:after="0" w:line="253" w:lineRule="auto"/>
        <w:rPr>
          <w:sz w:val="20"/>
          <w:szCs w:val="20"/>
          <w:color w:val="auto"/>
        </w:rPr>
      </w:pPr>
      <w:r>
        <w:rPr>
          <w:rFonts w:ascii="Times New Roman" w:cs="Times New Roman" w:eastAsia="Times New Roman" w:hAnsi="Times New Roman"/>
          <w:sz w:val="18"/>
          <w:szCs w:val="18"/>
          <w:color w:val="auto"/>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78" w:lineRule="exact"/>
        <w:rPr>
          <w:sz w:val="20"/>
          <w:szCs w:val="20"/>
          <w:color w:val="auto"/>
        </w:rPr>
      </w:pPr>
    </w:p>
    <w:p>
      <w:pPr>
        <w:ind w:right="20" w:firstLine="560"/>
        <w:spacing w:after="0" w:line="251"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3" w:name="page64"/>
    <w:bookmarkEnd w:id="63"/>
    <w:p>
      <w:pPr>
        <w:spacing w:after="0" w:line="172"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3" w:lineRule="exact"/>
        <w:rPr>
          <w:sz w:val="20"/>
          <w:szCs w:val="20"/>
          <w:color w:val="auto"/>
        </w:rPr>
      </w:pPr>
    </w:p>
    <w:p>
      <w:pPr>
        <w:ind w:right="80" w:firstLine="560"/>
        <w:spacing w:after="0" w:line="273" w:lineRule="auto"/>
        <w:rPr>
          <w:sz w:val="20"/>
          <w:szCs w:val="20"/>
          <w:color w:val="auto"/>
        </w:rPr>
      </w:pPr>
      <w:r>
        <w:rPr>
          <w:rFonts w:ascii="Times New Roman" w:cs="Times New Roman" w:eastAsia="Times New Roman" w:hAnsi="Times New Roman"/>
          <w:sz w:val="17"/>
          <w:szCs w:val="17"/>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62" w:lineRule="exact"/>
        <w:rPr>
          <w:sz w:val="20"/>
          <w:szCs w:val="20"/>
          <w:color w:val="auto"/>
        </w:rPr>
      </w:pPr>
    </w:p>
    <w:p>
      <w:pPr>
        <w:ind w:firstLine="560"/>
        <w:spacing w:after="0" w:line="254"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right="100" w:firstLine="560"/>
        <w:spacing w:after="0" w:line="250"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86"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3" w:lineRule="exact"/>
        <w:rPr>
          <w:sz w:val="20"/>
          <w:szCs w:val="20"/>
          <w:color w:val="auto"/>
        </w:rPr>
      </w:pPr>
    </w:p>
    <w:p>
      <w:pPr>
        <w:ind w:right="60" w:firstLine="560"/>
        <w:spacing w:after="0" w:line="251"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92" w:lineRule="exact"/>
        <w:rPr>
          <w:sz w:val="20"/>
          <w:szCs w:val="20"/>
          <w:color w:val="auto"/>
        </w:rPr>
      </w:pPr>
    </w:p>
    <w:p>
      <w:pPr>
        <w:ind w:right="5120"/>
        <w:spacing w:after="0" w:line="395" w:lineRule="auto"/>
        <w:rPr>
          <w:sz w:val="20"/>
          <w:szCs w:val="20"/>
          <w:color w:val="auto"/>
        </w:rPr>
      </w:pPr>
      <w:r>
        <w:rPr>
          <w:rFonts w:ascii="Times New Roman" w:cs="Times New Roman" w:eastAsia="Times New Roman" w:hAnsi="Times New Roman"/>
          <w:sz w:val="17"/>
          <w:szCs w:val="17"/>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firstLine="560"/>
        <w:spacing w:after="0" w:line="262"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w:t>
      </w:r>
    </w:p>
    <w:p>
      <w:pPr>
        <w:spacing w:after="0" w:line="79" w:lineRule="exact"/>
        <w:rPr>
          <w:sz w:val="20"/>
          <w:szCs w:val="20"/>
          <w:color w:val="auto"/>
        </w:rPr>
      </w:pPr>
    </w:p>
    <w:p>
      <w:pPr>
        <w:jc w:val="both"/>
        <w:ind w:right="60" w:firstLine="560"/>
        <w:spacing w:after="0" w:line="257"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b w:val="1"/>
          <w:bCs w:val="1"/>
          <w:color w:val="auto"/>
        </w:rPr>
        <w:t>We expect to expand our development and regulatory capabilities, and as a result, we may encounter difficulties in managing our growth, which could disrupt our operations.</w:t>
      </w:r>
    </w:p>
    <w:p>
      <w:pPr>
        <w:spacing w:after="0" w:line="53" w:lineRule="exact"/>
        <w:rPr>
          <w:sz w:val="20"/>
          <w:szCs w:val="20"/>
          <w:color w:val="auto"/>
        </w:rPr>
      </w:pPr>
    </w:p>
    <w:p>
      <w:pPr>
        <w:ind w:right="20" w:firstLine="560"/>
        <w:spacing w:after="0" w:line="252" w:lineRule="auto"/>
        <w:rPr>
          <w:sz w:val="20"/>
          <w:szCs w:val="20"/>
          <w:color w:val="auto"/>
        </w:rPr>
      </w:pPr>
      <w:r>
        <w:rPr>
          <w:rFonts w:ascii="Times New Roman" w:cs="Times New Roman" w:eastAsia="Times New Roman" w:hAnsi="Times New Roman"/>
          <w:sz w:val="18"/>
          <w:szCs w:val="18"/>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vulnerable to disruption, damage and financial obligation as a result of system failures.</w:t>
      </w:r>
    </w:p>
    <w:p>
      <w:pPr>
        <w:spacing w:after="0" w:line="117" w:lineRule="exact"/>
        <w:rPr>
          <w:sz w:val="20"/>
          <w:szCs w:val="20"/>
          <w:color w:val="auto"/>
        </w:rPr>
      </w:pPr>
    </w:p>
    <w:p>
      <w:pPr>
        <w:ind w:right="60" w:firstLine="560"/>
        <w:spacing w:after="0" w:line="251" w:lineRule="auto"/>
        <w:rPr>
          <w:sz w:val="20"/>
          <w:szCs w:val="20"/>
          <w:color w:val="auto"/>
        </w:rPr>
      </w:pPr>
      <w:r>
        <w:rPr>
          <w:rFonts w:ascii="Times New Roman" w:cs="Times New Roman" w:eastAsia="Times New Roman" w:hAnsi="Times New Roman"/>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183"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29" w:lineRule="exact"/>
        <w:rPr>
          <w:sz w:val="20"/>
          <w:szCs w:val="20"/>
          <w:color w:val="auto"/>
        </w:rPr>
      </w:pPr>
    </w:p>
    <w:p>
      <w:pPr>
        <w:ind w:right="120" w:firstLine="560"/>
        <w:spacing w:after="0" w:line="251" w:lineRule="auto"/>
        <w:rPr>
          <w:sz w:val="20"/>
          <w:szCs w:val="20"/>
          <w:color w:val="auto"/>
        </w:rPr>
      </w:pPr>
      <w:r>
        <w:rPr>
          <w:rFonts w:ascii="Times New Roman" w:cs="Times New Roman" w:eastAsia="Times New Roman" w:hAnsi="Times New Roman"/>
          <w:sz w:val="18"/>
          <w:szCs w:val="18"/>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69" w:lineRule="exact"/>
        <w:rPr>
          <w:sz w:val="20"/>
          <w:szCs w:val="20"/>
          <w:color w:val="auto"/>
        </w:rPr>
      </w:pPr>
    </w:p>
    <w:p>
      <w:pPr>
        <w:ind w:right="60" w:firstLine="560"/>
        <w:spacing w:after="0" w:line="262" w:lineRule="auto"/>
        <w:rPr>
          <w:sz w:val="20"/>
          <w:szCs w:val="20"/>
          <w:color w:val="auto"/>
        </w:rPr>
      </w:pPr>
      <w:r>
        <w:rPr>
          <w:rFonts w:ascii="Times New Roman" w:cs="Times New Roman" w:eastAsia="Times New Roman" w:hAnsi="Times New Roman"/>
          <w:sz w:val="18"/>
          <w:szCs w:val="18"/>
          <w:color w:val="auto"/>
        </w:rPr>
        <w:t>Furthermore, integral parties in our supply chain are geographically concentrated and operating from single sites, increasing their vulnerability to natural disasters or other sudden, unforeseen and severe and/or material disruptions. If such an event were to affect our supply chain, it could have a material adverse effect on our business.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stock has been and may continue to be volatile, and you could lose all or part of your investment.</w:t>
      </w:r>
    </w:p>
    <w:p>
      <w:pPr>
        <w:spacing w:after="0" w:line="117" w:lineRule="exact"/>
        <w:rPr>
          <w:sz w:val="20"/>
          <w:szCs w:val="20"/>
          <w:color w:val="auto"/>
        </w:rPr>
      </w:pPr>
    </w:p>
    <w:p>
      <w:pPr>
        <w:ind w:right="400" w:firstLine="560"/>
        <w:spacing w:after="0" w:line="277"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56" w:lineRule="exact"/>
        <w:rPr>
          <w:sz w:val="20"/>
          <w:szCs w:val="20"/>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product candidates or those of our competitors;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our existing collaboration agreements and announcements of new collaboration agreements;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breaches and terminations of our manufacturing agreements, collaborations agreements or other important agreements;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our common stock by us pursuant to a stock repurchase program;</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biotechnology sector; and</w:t>
      </w:r>
    </w:p>
    <w:p>
      <w:pPr>
        <w:spacing w:after="0" w:line="113" w:lineRule="exact"/>
        <w:rPr>
          <w:rFonts w:ascii="Times New Roman" w:cs="Times New Roman" w:eastAsia="Times New Roman" w:hAnsi="Times New Roman"/>
          <w:sz w:val="18"/>
          <w:szCs w:val="18"/>
          <w:color w:val="auto"/>
        </w:rPr>
      </w:pPr>
    </w:p>
    <w:p>
      <w:pPr>
        <w:ind w:left="640" w:hanging="313"/>
        <w:spacing w:after="0" w:line="307" w:lineRule="auto"/>
        <w:tabs>
          <w:tab w:leader="none" w:pos="6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uncertainty and capital markets disruptions, which have been substantially impacted by geopolitical instability, actual or perceived instability in the U.S. and global banking systems, uncertainty with respect to the U.S. federal budget, and rising interest rates and inflation.</w:t>
      </w:r>
    </w:p>
    <w:p>
      <w:pPr>
        <w:spacing w:after="0" w:line="34" w:lineRule="exact"/>
        <w:rPr>
          <w:sz w:val="20"/>
          <w:szCs w:val="20"/>
          <w:color w:val="auto"/>
        </w:rPr>
      </w:pPr>
    </w:p>
    <w:p>
      <w:pPr>
        <w:ind w:firstLine="560"/>
        <w:spacing w:after="0" w:line="262"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broad discretion in the use of the net proceeds from our public offerings and may not use them effectively.</w:t>
      </w:r>
    </w:p>
    <w:p>
      <w:pPr>
        <w:spacing w:after="0" w:line="117" w:lineRule="exact"/>
        <w:rPr>
          <w:sz w:val="20"/>
          <w:szCs w:val="20"/>
          <w:color w:val="auto"/>
        </w:rPr>
      </w:pPr>
    </w:p>
    <w:p>
      <w:pPr>
        <w:ind w:right="20" w:firstLine="560"/>
        <w:spacing w:after="0" w:line="257"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securities litigation, which is expensive and could divert management attention.</w:t>
      </w:r>
    </w:p>
    <w:p>
      <w:pPr>
        <w:spacing w:after="0" w:line="117" w:lineRule="exact"/>
        <w:rPr>
          <w:sz w:val="20"/>
          <w:szCs w:val="20"/>
          <w:color w:val="auto"/>
        </w:rPr>
      </w:pPr>
    </w:p>
    <w:p>
      <w:pPr>
        <w:ind w:right="20" w:firstLine="560"/>
        <w:spacing w:after="0" w:line="257" w:lineRule="auto"/>
        <w:rPr>
          <w:sz w:val="20"/>
          <w:szCs w:val="20"/>
          <w:color w:val="auto"/>
        </w:rPr>
      </w:pPr>
      <w:r>
        <w:rPr>
          <w:rFonts w:ascii="Times New Roman" w:cs="Times New Roman" w:eastAsia="Times New Roman" w:hAnsi="Times New Roman"/>
          <w:sz w:val="18"/>
          <w:szCs w:val="18"/>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spacing w:after="0" w:line="17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53" w:lineRule="exact"/>
        <w:rPr>
          <w:sz w:val="20"/>
          <w:szCs w:val="20"/>
          <w:color w:val="auto"/>
        </w:rPr>
      </w:pPr>
    </w:p>
    <w:p>
      <w:pPr>
        <w:ind w:right="120" w:firstLine="560"/>
        <w:spacing w:after="0" w:line="250"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81" w:lineRule="exact"/>
        <w:rPr>
          <w:sz w:val="20"/>
          <w:szCs w:val="20"/>
          <w:color w:val="auto"/>
        </w:rPr>
      </w:pPr>
    </w:p>
    <w:p>
      <w:pPr>
        <w:ind w:firstLine="640"/>
        <w:spacing w:after="0" w:line="250" w:lineRule="auto"/>
        <w:rPr>
          <w:sz w:val="20"/>
          <w:szCs w:val="20"/>
          <w:color w:val="auto"/>
        </w:rPr>
      </w:pPr>
      <w:r>
        <w:rPr>
          <w:rFonts w:ascii="Times New Roman" w:cs="Times New Roman" w:eastAsia="Times New Roman" w:hAnsi="Times New Roman"/>
          <w:sz w:val="18"/>
          <w:szCs w:val="18"/>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69" w:lineRule="exact"/>
        <w:rPr>
          <w:sz w:val="20"/>
          <w:szCs w:val="20"/>
          <w:color w:val="auto"/>
        </w:rPr>
      </w:pPr>
    </w:p>
    <w:p>
      <w:pPr>
        <w:ind w:firstLine="560"/>
        <w:spacing w:after="0" w:line="249"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In November 2022, we entered into a sales agreement with Cowen and Company, LLC (“Cowen”), through which we may offer and sell shares of our common stock, having an aggregate offering of up to $150.0 million through Cowen as our sales agent. In November 2024, we entered into a sales agreement with TD Securities (USA) LLC (“TD Cowen”), through which we may offer and sell shares of our common stock, having an aggregate offering of up to $100.0 million through TD Cowen as our sales agent. Our prior sales agreement with Cowen will terminate upon effectiveness of the registration statement on the Form S-3 we will file in connection with our sales agreement with TD Cowen.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disclosure controls and procedures may not prevent or detect all errors or acts of fraud.</w:t>
      </w:r>
    </w:p>
    <w:p>
      <w:pPr>
        <w:spacing w:after="0" w:line="117" w:lineRule="exact"/>
        <w:rPr>
          <w:sz w:val="20"/>
          <w:szCs w:val="20"/>
          <w:color w:val="auto"/>
        </w:rPr>
      </w:pPr>
    </w:p>
    <w:p>
      <w:pPr>
        <w:ind w:right="80" w:firstLine="560"/>
        <w:spacing w:after="0" w:line="254"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9" w:lineRule="exact"/>
        <w:rPr>
          <w:sz w:val="20"/>
          <w:szCs w:val="20"/>
          <w:color w:val="auto"/>
        </w:rPr>
      </w:pPr>
    </w:p>
    <w:p>
      <w:pPr>
        <w:ind w:right="120" w:firstLine="560"/>
        <w:spacing w:after="0" w:line="257"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on our common stock, so any returns will be limited to the value of our stock.</w:t>
      </w:r>
    </w:p>
    <w:p>
      <w:pPr>
        <w:spacing w:after="0" w:line="117" w:lineRule="exact"/>
        <w:rPr>
          <w:sz w:val="20"/>
          <w:szCs w:val="20"/>
          <w:color w:val="auto"/>
        </w:rPr>
      </w:pPr>
    </w:p>
    <w:p>
      <w:pPr>
        <w:ind w:right="80" w:firstLine="560"/>
        <w:spacing w:after="0" w:line="262"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cash and investments could be adversely affected if the financial institutions in which we hold our cash and investments fail.</w:t>
      </w:r>
    </w:p>
    <w:p>
      <w:pPr>
        <w:spacing w:after="0" w:line="117" w:lineRule="exact"/>
        <w:rPr>
          <w:sz w:val="20"/>
          <w:szCs w:val="20"/>
          <w:color w:val="auto"/>
        </w:rPr>
      </w:pPr>
    </w:p>
    <w:p>
      <w:pPr>
        <w:ind w:right="140" w:firstLine="560"/>
        <w:spacing w:after="0" w:line="254"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spacing w:after="0" w:line="18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3" w:lineRule="exact"/>
        <w:rPr>
          <w:sz w:val="20"/>
          <w:szCs w:val="20"/>
          <w:color w:val="auto"/>
        </w:rPr>
      </w:pPr>
    </w:p>
    <w:p>
      <w:pPr>
        <w:ind w:right="40" w:firstLine="560"/>
        <w:spacing w:after="0" w:line="262" w:lineRule="auto"/>
        <w:rPr>
          <w:sz w:val="20"/>
          <w:szCs w:val="20"/>
          <w:color w:val="auto"/>
        </w:rPr>
      </w:pPr>
      <w:r>
        <w:rPr>
          <w:rFonts w:ascii="Times New Roman" w:cs="Times New Roman" w:eastAsia="Times New Roman" w:hAnsi="Times New Roman"/>
          <w:sz w:val="18"/>
          <w:szCs w:val="18"/>
          <w:color w:val="auto"/>
        </w:rPr>
        <w:t>Our amended and restated certificate of incorporation, or restated certificate, and second amended and restated bylaws, or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69" w:lineRule="exact"/>
        <w:rPr>
          <w:sz w:val="20"/>
          <w:szCs w:val="20"/>
          <w:color w:val="auto"/>
        </w:rPr>
      </w:pPr>
    </w:p>
    <w:p>
      <w:pPr>
        <w:ind w:left="640" w:hanging="313"/>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of Directors are elected at one time;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8" w:name="page69"/>
    <w:bookmarkEnd w:id="68"/>
    <w:p>
      <w:pPr>
        <w:spacing w:after="0" w:line="69" w:lineRule="exact"/>
        <w:rPr>
          <w:sz w:val="20"/>
          <w:szCs w:val="20"/>
          <w:color w:val="auto"/>
        </w:rPr>
      </w:pPr>
    </w:p>
    <w:p>
      <w:pPr>
        <w:ind w:left="640" w:hanging="31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 of Directors;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3" w:lineRule="exact"/>
        <w:rPr>
          <w:rFonts w:ascii="Times New Roman" w:cs="Times New Roman" w:eastAsia="Times New Roman" w:hAnsi="Times New Roman"/>
          <w:sz w:val="18"/>
          <w:szCs w:val="18"/>
          <w:color w:val="auto"/>
        </w:rPr>
      </w:pPr>
    </w:p>
    <w:p>
      <w:pPr>
        <w:ind w:left="640" w:right="60" w:hanging="313"/>
        <w:spacing w:after="0" w:line="277"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 (also known as a “poison pill”);</w:t>
      </w:r>
    </w:p>
    <w:p>
      <w:pPr>
        <w:spacing w:after="0" w:line="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3" w:lineRule="exact"/>
        <w:rPr>
          <w:rFonts w:ascii="Times New Roman" w:cs="Times New Roman" w:eastAsia="Times New Roman" w:hAnsi="Times New Roman"/>
          <w:sz w:val="18"/>
          <w:szCs w:val="18"/>
          <w:color w:val="auto"/>
        </w:rPr>
      </w:pPr>
    </w:p>
    <w:p>
      <w:pPr>
        <w:ind w:left="640" w:right="380" w:hanging="313"/>
        <w:spacing w:after="0" w:line="277"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56" w:lineRule="exact"/>
        <w:rPr>
          <w:sz w:val="20"/>
          <w:szCs w:val="20"/>
          <w:color w:val="auto"/>
        </w:rPr>
      </w:pPr>
    </w:p>
    <w:p>
      <w:pPr>
        <w:ind w:right="80" w:firstLine="560"/>
        <w:spacing w:after="0" w:line="262"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65" w:lineRule="exact"/>
        <w:rPr>
          <w:sz w:val="20"/>
          <w:szCs w:val="20"/>
          <w:color w:val="auto"/>
        </w:rPr>
      </w:pPr>
    </w:p>
    <w:p>
      <w:pPr>
        <w:jc w:val="both"/>
        <w:ind w:right="220"/>
        <w:spacing w:after="0" w:line="264" w:lineRule="auto"/>
        <w:rPr>
          <w:sz w:val="20"/>
          <w:szCs w:val="20"/>
          <w:color w:val="auto"/>
        </w:rPr>
      </w:pPr>
      <w:r>
        <w:rPr>
          <w:rFonts w:ascii="Times New Roman" w:cs="Times New Roman" w:eastAsia="Times New Roman" w:hAnsi="Times New Roman"/>
          <w:sz w:val="18"/>
          <w:szCs w:val="18"/>
          <w:b w:val="1"/>
          <w:b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68" w:lineRule="exact"/>
        <w:rPr>
          <w:sz w:val="20"/>
          <w:szCs w:val="20"/>
          <w:color w:val="auto"/>
        </w:rPr>
      </w:pPr>
    </w:p>
    <w:p>
      <w:pPr>
        <w:ind w:right="140" w:firstLine="494"/>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w:t>
      </w:r>
    </w:p>
    <w:p>
      <w:pPr>
        <w:spacing w:after="0" w:line="78" w:lineRule="exact"/>
        <w:rPr>
          <w:sz w:val="20"/>
          <w:szCs w:val="20"/>
          <w:color w:val="auto"/>
        </w:rPr>
      </w:pPr>
    </w:p>
    <w:p>
      <w:pPr>
        <w:ind w:right="120" w:firstLine="494"/>
        <w:spacing w:after="0" w:line="254"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spacing w:after="0" w:line="79" w:lineRule="exact"/>
        <w:rPr>
          <w:sz w:val="20"/>
          <w:szCs w:val="20"/>
          <w:color w:val="auto"/>
        </w:rPr>
      </w:pPr>
    </w:p>
    <w:p>
      <w:pPr>
        <w:ind w:firstLine="494"/>
        <w:spacing w:after="0" w:line="249"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69"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8"/>
          <w:szCs w:val="18"/>
          <w:color w:val="auto"/>
        </w:rPr>
        <w:t>Exchange Act or the rules and regulations thereunder must be brought in federal court, and our stockholders cannot waive compliance with the federal securities laws and the rules and regulations thereunder.</w:t>
      </w:r>
    </w:p>
    <w:p>
      <w:pPr>
        <w:spacing w:after="0" w:line="56" w:lineRule="exact"/>
        <w:rPr>
          <w:sz w:val="20"/>
          <w:szCs w:val="20"/>
          <w:color w:val="auto"/>
        </w:rPr>
      </w:pPr>
    </w:p>
    <w:p>
      <w:pPr>
        <w:jc w:val="both"/>
        <w:ind w:firstLine="494"/>
        <w:spacing w:after="0" w:line="257"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7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3" w:lineRule="exact"/>
        <w:rPr>
          <w:sz w:val="20"/>
          <w:szCs w:val="20"/>
          <w:color w:val="auto"/>
        </w:rPr>
      </w:pPr>
    </w:p>
    <w:p>
      <w:pPr>
        <w:ind w:right="40" w:firstLine="560"/>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b w:val="1"/>
          <w:bCs w:val="1"/>
          <w:color w:val="auto"/>
        </w:rPr>
        <w:t>We plan to use our federal and state net operating loss (“NOL”) carryforwards to offset taxable income from revenue generated from operations or corporate collaborations. However, our ability to use NOL carryforwards to offset taxable income in future years could be limited.</w:t>
      </w:r>
    </w:p>
    <w:p>
      <w:pPr>
        <w:spacing w:after="0" w:line="40" w:lineRule="exact"/>
        <w:rPr>
          <w:sz w:val="20"/>
          <w:szCs w:val="20"/>
          <w:color w:val="auto"/>
        </w:rPr>
      </w:pPr>
    </w:p>
    <w:p>
      <w:pPr>
        <w:ind w:right="40" w:firstLine="560"/>
        <w:spacing w:after="0" w:line="225" w:lineRule="auto"/>
        <w:rPr>
          <w:sz w:val="20"/>
          <w:szCs w:val="20"/>
          <w:color w:val="auto"/>
        </w:rPr>
      </w:pPr>
      <w:r>
        <w:rPr>
          <w:rFonts w:ascii="Times New Roman" w:cs="Times New Roman" w:eastAsia="Times New Roman" w:hAnsi="Times New Roman"/>
          <w:sz w:val="18"/>
          <w:szCs w:val="18"/>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the benefits from the use of our NOL carryforwards may be impaired or limited under Section 382 of the Code, if we incur a cumulative ownership change of more than 50%, as interpreted by the U.S. Internal Revenue Service, over a three-year period. Under legislative changes made by the Tax Cuts and Jobs Act, the U.S. federal NOLs incurred in 2018 and in future years may be carried forward indefinitely, but the ability to utilize such federal NOLs to offset taxable income is limited to 80% of our taxable income before the deduction for such NOL carryovers. Our significant state NOLs were generated in the state of California, which provides a 20 year carry forward. State NOL carryforwards may be similarly limited by cumulative ownership changes. Any such disallowances may result in greater tax liabilities than we would incur in the absence of such a limitation, and any increased liabilities could adversely affect our business, results of operations, financial condition and cash flow.</w:t>
      </w:r>
    </w:p>
    <w:p>
      <w:pPr>
        <w:spacing w:after="0" w:line="82" w:lineRule="exact"/>
        <w:rPr>
          <w:sz w:val="20"/>
          <w:szCs w:val="20"/>
          <w:color w:val="auto"/>
        </w:rPr>
      </w:pPr>
    </w:p>
    <w:p>
      <w:pPr>
        <w:ind w:right="560" w:firstLine="480"/>
        <w:spacing w:after="0" w:line="277" w:lineRule="auto"/>
        <w:rPr>
          <w:sz w:val="20"/>
          <w:szCs w:val="20"/>
          <w:color w:val="auto"/>
        </w:rPr>
      </w:pPr>
      <w:r>
        <w:rPr>
          <w:rFonts w:ascii="Times New Roman" w:cs="Times New Roman" w:eastAsia="Times New Roman" w:hAnsi="Times New Roman"/>
          <w:sz w:val="18"/>
          <w:szCs w:val="18"/>
          <w:color w:val="auto"/>
        </w:rPr>
        <w:t>As of December 31, 2023, we have federal NOLs of approximately $313.8 million. Of this, $52.1 million expire beginning December 31, 2030 through December 31, 2037, if not used to reduce income taxes payable in the future and $261.7 million carry forward indefinitely.</w:t>
      </w:r>
    </w:p>
    <w:p>
      <w:pPr>
        <w:spacing w:after="0" w:line="15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53" w:lineRule="exact"/>
        <w:rPr>
          <w:sz w:val="20"/>
          <w:szCs w:val="20"/>
          <w:color w:val="auto"/>
        </w:rPr>
      </w:pPr>
    </w:p>
    <w:p>
      <w:pPr>
        <w:ind w:right="80" w:firstLine="560"/>
        <w:spacing w:after="0" w:line="252" w:lineRule="auto"/>
        <w:rPr>
          <w:sz w:val="20"/>
          <w:szCs w:val="20"/>
          <w:color w:val="auto"/>
        </w:rPr>
      </w:pPr>
      <w:r>
        <w:rPr>
          <w:rFonts w:ascii="Times New Roman" w:cs="Times New Roman" w:eastAsia="Times New Roman" w:hAnsi="Times New Roman"/>
          <w:sz w:val="18"/>
          <w:szCs w:val="18"/>
          <w:color w:val="auto"/>
        </w:rPr>
        <w:t>We are a “smaller reporting company,” meaning that we are not an investment company, an asset-backed issuer, or a majority-owned subsidiary of a parent company that is not a “smaller reporting company,” and have either: (i) a public float of less than $250 million as of our most recently completed second fiscal quarter or (ii) annual revenues of less than $100 million during the most recently completed fiscal year and (A) no public float or (B) a public float of less than $700 million as of our most recently completed second fiscal quarter.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80" w:lineRule="exact"/>
        <w:rPr>
          <w:sz w:val="20"/>
          <w:szCs w:val="20"/>
          <w:color w:val="auto"/>
        </w:rPr>
      </w:pPr>
    </w:p>
    <w:p>
      <w:pPr>
        <w:ind w:right="20" w:firstLine="560"/>
        <w:spacing w:after="0" w:line="277"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1" w:name="page72"/>
    <w:bookmarkEnd w:id="71"/>
    <w:p>
      <w:pPr>
        <w:spacing w:after="0" w:line="27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29"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New Open Market Sales Agreement</w:t>
      </w:r>
    </w:p>
    <w:p>
      <w:pPr>
        <w:spacing w:after="0" w:line="117" w:lineRule="exact"/>
        <w:rPr>
          <w:sz w:val="20"/>
          <w:szCs w:val="20"/>
          <w:color w:val="auto"/>
        </w:rPr>
      </w:pPr>
    </w:p>
    <w:p>
      <w:pPr>
        <w:ind w:right="60" w:firstLine="560"/>
        <w:spacing w:after="0" w:line="257" w:lineRule="auto"/>
        <w:rPr>
          <w:sz w:val="20"/>
          <w:szCs w:val="20"/>
          <w:color w:val="auto"/>
        </w:rPr>
      </w:pPr>
      <w:r>
        <w:rPr>
          <w:rFonts w:ascii="Times New Roman" w:cs="Times New Roman" w:eastAsia="Times New Roman" w:hAnsi="Times New Roman"/>
          <w:sz w:val="18"/>
          <w:szCs w:val="18"/>
          <w:color w:val="auto"/>
        </w:rPr>
        <w:t>In November 2024, we entered into a sales agreement with TD Securities (USA) LLC (“TD Cowen”), through which we may offer and sell shares of our common stock, having an aggregate offering of up to $100.0 million through TD Cowen as our sales agent. Our prior sales agreement with Cowen &amp; Company, LLC will terminate upon effectiveness of the registration statement on the Form S-3 we will file in connection with our sales agreement with TD Cowen.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117" w:lineRule="exact"/>
        <w:rPr>
          <w:sz w:val="20"/>
          <w:szCs w:val="20"/>
          <w:color w:val="auto"/>
        </w:rPr>
      </w:pPr>
    </w:p>
    <w:p>
      <w:pPr>
        <w:jc w:val="both"/>
        <w:ind w:right="20" w:firstLine="560"/>
        <w:spacing w:after="0" w:line="267" w:lineRule="auto"/>
        <w:rPr>
          <w:sz w:val="20"/>
          <w:szCs w:val="20"/>
          <w:color w:val="auto"/>
        </w:rPr>
      </w:pPr>
      <w:r>
        <w:rPr>
          <w:rFonts w:ascii="Times New Roman" w:cs="Times New Roman" w:eastAsia="Times New Roman" w:hAnsi="Times New Roman"/>
          <w:sz w:val="17"/>
          <w:szCs w:val="17"/>
          <w:color w:val="auto"/>
        </w:rPr>
        <w:t>On August 30, 2024, John Schmid, a director of the company, entered into a written plan for the potential sale of up to an aggregate 42,337 shares of common stock. The aggregate number of shares that will be sold under the plan is not yet determinable because the shares available will be net of shares sold to satisfy tax withholding obligations that arise in connection with the vesting and settlement of any equity awards held by Mr. Schmid. As such, for purposes of this disclosure, the aggregate number of shares of common stock available for sale reflects the aggregate maximum number of shares underlying Mr.</w:t>
      </w:r>
    </w:p>
    <w:p>
      <w:pPr>
        <w:spacing w:after="0" w:line="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Schmid’s equity awards which may be sold, without excluding the shares that will be sold to satisfy the tax withholding obligations. The plan is intended to satisfy the affirmative defense conditions of Rule 10b5-1(c) under the Exchange Act and is scheduled to terminate no later than November 14, 2025.</w:t>
      </w:r>
    </w:p>
    <w:p>
      <w:pPr>
        <w:spacing w:after="0" w:line="75" w:lineRule="exact"/>
        <w:rPr>
          <w:sz w:val="20"/>
          <w:szCs w:val="20"/>
          <w:color w:val="auto"/>
        </w:rPr>
      </w:pPr>
    </w:p>
    <w:p>
      <w:pPr>
        <w:ind w:firstLine="560"/>
        <w:spacing w:after="0" w:line="254" w:lineRule="auto"/>
        <w:rPr>
          <w:sz w:val="20"/>
          <w:szCs w:val="20"/>
          <w:color w:val="auto"/>
        </w:rPr>
      </w:pPr>
      <w:r>
        <w:rPr>
          <w:rFonts w:ascii="Times New Roman" w:cs="Times New Roman" w:eastAsia="Times New Roman" w:hAnsi="Times New Roman"/>
          <w:sz w:val="18"/>
          <w:szCs w:val="18"/>
          <w:color w:val="auto"/>
        </w:rPr>
        <w:t>The plan includes a representation from Mr. Schmid to the broker administering the plan that Mr. Schmid was not in possession of any material nonpublic information regarding the company or the securities subject to the plan. A similar representation was made to us in connection with the adoption of the plan under our Insider Trading Policy. Those representations were made as of the date of adoption of the plan and speak only as of that date. In making those representations, there is no assurance with respect to any material nonpublic information of which Mr. Schmid was unaware, or with respect to any material nonpublic information acquired by Mr. Schmid or the company after the date of the representation</w:t>
      </w:r>
      <w:r>
        <w:rPr>
          <w:rFonts w:ascii="Times New Roman" w:cs="Times New Roman" w:eastAsia="Times New Roman" w:hAnsi="Times New Roman"/>
          <w:sz w:val="18"/>
          <w:szCs w:val="18"/>
          <w:color w:val="008080"/>
        </w:rPr>
        <w:t>.</w:t>
      </w:r>
    </w:p>
    <w:p>
      <w:pPr>
        <w:spacing w:after="0" w:line="79" w:lineRule="exact"/>
        <w:rPr>
          <w:sz w:val="20"/>
          <w:szCs w:val="20"/>
          <w:color w:val="auto"/>
        </w:rPr>
      </w:pPr>
    </w:p>
    <w:p>
      <w:pPr>
        <w:ind w:right="80" w:firstLine="560"/>
        <w:spacing w:after="0" w:line="307" w:lineRule="auto"/>
        <w:rPr>
          <w:sz w:val="20"/>
          <w:szCs w:val="20"/>
          <w:color w:val="auto"/>
        </w:rPr>
      </w:pPr>
      <w:r>
        <w:rPr>
          <w:rFonts w:ascii="Times New Roman" w:cs="Times New Roman" w:eastAsia="Times New Roman" w:hAnsi="Times New Roman"/>
          <w:sz w:val="17"/>
          <w:szCs w:val="17"/>
          <w:color w:val="auto"/>
        </w:rPr>
        <w:t>Other than as disclosed above, during the three months ended September 30, 2024, none of the company’s directors or officers adopted or terminated any “Rule 10b5-1 trading arrangements” or any “non-Rule 10b5-1 trading arrangements,” as each term is defined in Item 408 of Regulation S-K.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below.</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98" w:lineRule="exact"/>
        <w:rPr>
          <w:sz w:val="20"/>
          <w:szCs w:val="20"/>
          <w:color w:val="auto"/>
        </w:rPr>
      </w:pPr>
    </w:p>
    <w:tbl>
      <w:tblPr>
        <w:tblLayout w:type="fixed"/>
        <w:tblInd w:w="13" w:type="dxa"/>
        <w:tblCellMar>
          <w:top w:w="0" w:type="dxa"/>
          <w:left w:w="0" w:type="dxa"/>
          <w:bottom w:w="0" w:type="dxa"/>
          <w:right w:w="0" w:type="dxa"/>
        </w:tblCellMar>
      </w:tblPr>
      <w:tr>
        <w:trPr>
          <w:trHeight w:val="211"/>
        </w:trPr>
        <w:tc>
          <w:tcPr>
            <w:tcW w:w="11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1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920" w:type="dxa"/>
            <w:vAlign w:val="bottom"/>
            <w:gridSpan w:val="5"/>
          </w:tcPr>
          <w:p>
            <w:pPr>
              <w:ind w:left="434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72"/>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31.1</w:t>
            </w:r>
          </w:p>
        </w:tc>
        <w:tc>
          <w:tcPr>
            <w:tcW w:w="9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Certification of Principal Executive Officer, pursuant to Rule 13a-14(a)/15d-14(a), as adopted pursuant to Section 302 of the Sarbanes-Oxley Act of 2002.</w:t>
            </w:r>
          </w:p>
        </w:tc>
        <w:tc>
          <w:tcPr>
            <w:tcW w:w="4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1180" w:type="dxa"/>
            <w:vAlign w:val="bottom"/>
            <w:vMerge w:val="continue"/>
          </w:tcPr>
          <w:p>
            <w:pPr>
              <w:spacing w:after="0"/>
              <w:rPr>
                <w:sz w:val="4"/>
                <w:szCs w:val="4"/>
                <w:color w:val="auto"/>
              </w:rPr>
            </w:pPr>
          </w:p>
        </w:tc>
        <w:tc>
          <w:tcPr>
            <w:tcW w:w="98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w w:val="99"/>
              </w:rPr>
              <w:t>Certification of Principal Financial Officer, pursuant to Rule 13a-14(a)/15d-14(a), as adopted pursuant to Section 302 of the Sarbanes-Oxley Act of 2002.</w:t>
            </w:r>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31.2</w:t>
            </w:r>
          </w:p>
        </w:tc>
        <w:tc>
          <w:tcPr>
            <w:tcW w:w="9840" w:type="dxa"/>
            <w:vAlign w:val="bottom"/>
            <w:tcBorders>
              <w:bottom w:val="single" w:sz="8" w:color="0000FF"/>
            </w:tcBorders>
            <w:gridSpan w:val="3"/>
            <w:vMerge w:val="continue"/>
          </w:tcPr>
          <w:p>
            <w:pPr>
              <w:spacing w:after="0"/>
              <w:rPr>
                <w:sz w:val="20"/>
                <w:szCs w:val="20"/>
                <w:color w:val="auto"/>
              </w:rPr>
            </w:pPr>
          </w:p>
        </w:tc>
        <w:tc>
          <w:tcPr>
            <w:tcW w:w="8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1180" w:type="dxa"/>
            <w:vAlign w:val="bottom"/>
            <w:vMerge w:val="continue"/>
          </w:tcPr>
          <w:p>
            <w:pPr>
              <w:spacing w:after="0"/>
              <w:rPr>
                <w:sz w:val="4"/>
                <w:szCs w:val="4"/>
                <w:color w:val="auto"/>
              </w:rPr>
            </w:pPr>
          </w:p>
        </w:tc>
        <w:tc>
          <w:tcPr>
            <w:tcW w:w="94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9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9"/>
              </w:rPr>
              <w:t>Certification of Chief Executive Officer, pursuant to 18 U.S.C. Section 1350, as adopted pursuant to Section 906 of the Sarbanes-Oxley Act of 2002.</w:t>
            </w:r>
          </w:p>
        </w:tc>
        <w:tc>
          <w:tcPr>
            <w:tcW w:w="3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99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9480" w:type="dxa"/>
            <w:vAlign w:val="bottom"/>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92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9"/>
              </w:rPr>
              <w:t>Inline XBRL Report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Inline XBRL document</w:t>
            </w:r>
          </w:p>
        </w:tc>
        <w:tc>
          <w:tcPr>
            <w:tcW w:w="0" w:type="dxa"/>
            <w:vAlign w:val="bottom"/>
          </w:tcPr>
          <w:p>
            <w:pPr>
              <w:spacing w:after="0"/>
              <w:rPr>
                <w:sz w:val="1"/>
                <w:szCs w:val="1"/>
                <w:color w:val="auto"/>
              </w:rPr>
            </w:pPr>
          </w:p>
        </w:tc>
      </w:tr>
      <w:tr>
        <w:trPr>
          <w:trHeight w:val="209"/>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9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307"/>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9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tc>
        <w:tc>
          <w:tcPr>
            <w:tcW w:w="0" w:type="dxa"/>
            <w:vAlign w:val="bottom"/>
          </w:tcPr>
          <w:p>
            <w:pPr>
              <w:spacing w:after="0"/>
              <w:rPr>
                <w:sz w:val="1"/>
                <w:szCs w:val="1"/>
                <w:color w:val="auto"/>
              </w:rPr>
            </w:pPr>
          </w:p>
        </w:tc>
      </w:tr>
      <w:tr>
        <w:trPr>
          <w:trHeight w:val="307"/>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9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Label Linkbase Document</w:t>
            </w:r>
          </w:p>
        </w:tc>
        <w:tc>
          <w:tcPr>
            <w:tcW w:w="0" w:type="dxa"/>
            <w:vAlign w:val="bottom"/>
          </w:tcPr>
          <w:p>
            <w:pPr>
              <w:spacing w:after="0"/>
              <w:rPr>
                <w:sz w:val="1"/>
                <w:szCs w:val="1"/>
                <w:color w:val="auto"/>
              </w:rPr>
            </w:pPr>
          </w:p>
        </w:tc>
      </w:tr>
      <w:tr>
        <w:trPr>
          <w:trHeight w:val="307"/>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9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Presentation Linkbase Document</w:t>
            </w:r>
          </w:p>
        </w:tc>
        <w:tc>
          <w:tcPr>
            <w:tcW w:w="0" w:type="dxa"/>
            <w:vAlign w:val="bottom"/>
          </w:tcPr>
          <w:p>
            <w:pPr>
              <w:spacing w:after="0"/>
              <w:rPr>
                <w:sz w:val="1"/>
                <w:szCs w:val="1"/>
                <w:color w:val="auto"/>
              </w:rPr>
            </w:pPr>
          </w:p>
        </w:tc>
      </w:tr>
      <w:tr>
        <w:trPr>
          <w:trHeight w:val="307"/>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9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193" w:hanging="1176"/>
        <w:spacing w:after="0"/>
        <w:tabs>
          <w:tab w:leader="none" w:pos="1193"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(formatted in Inline XBRL and contained in Exhibit 101)</w:t>
      </w:r>
    </w:p>
    <w:p>
      <w:pPr>
        <w:spacing w:after="0" w:line="200" w:lineRule="exact"/>
        <w:rPr>
          <w:rFonts w:ascii="Times New Roman" w:cs="Times New Roman" w:eastAsia="Times New Roman" w:hAnsi="Times New Roman"/>
          <w:sz w:val="16"/>
          <w:szCs w:val="16"/>
          <w:color w:val="auto"/>
        </w:rPr>
      </w:pPr>
    </w:p>
    <w:p>
      <w:pPr>
        <w:spacing w:after="0" w:line="376" w:lineRule="exact"/>
        <w:rPr>
          <w:rFonts w:ascii="Times New Roman" w:cs="Times New Roman" w:eastAsia="Times New Roman" w:hAnsi="Times New Roman"/>
          <w:sz w:val="16"/>
          <w:szCs w:val="16"/>
          <w:color w:val="auto"/>
        </w:rPr>
      </w:pPr>
    </w:p>
    <w:p>
      <w:pPr>
        <w:ind w:left="-7" w:firstLine="7"/>
        <w:spacing w:after="0" w:line="293" w:lineRule="auto"/>
        <w:tabs>
          <w:tab w:leader="none" w:pos="19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13"/>
          </w:cols>
          <w:pgMar w:left="327" w:top="1440" w:right="459" w:bottom="1440" w:gutter="0" w:footer="0" w:header="0"/>
        </w:sectPr>
      </w:pPr>
    </w:p>
    <w:bookmarkStart w:id="73" w:name="page74"/>
    <w:bookmarkEnd w:id="7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3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AnaptysBio, Inc.</w:t>
      </w:r>
    </w:p>
    <w:p>
      <w:pPr>
        <w:spacing w:after="0" w:line="233" w:lineRule="exact"/>
        <w:rPr>
          <w:sz w:val="20"/>
          <w:szCs w:val="20"/>
          <w:color w:val="auto"/>
        </w:rPr>
      </w:pPr>
    </w:p>
    <w:p>
      <w:pPr>
        <w:ind w:left="20"/>
        <w:spacing w:after="0"/>
        <w:tabs>
          <w:tab w:leader="none" w:pos="640" w:val="left"/>
          <w:tab w:leader="none" w:pos="4820" w:val="left"/>
          <w:tab w:leader="none" w:pos="5280" w:val="left"/>
        </w:tabs>
        <w:rPr>
          <w:sz w:val="20"/>
          <w:szCs w:val="20"/>
          <w:color w:val="auto"/>
        </w:rPr>
      </w:pPr>
      <w:r>
        <w:rPr>
          <w:rFonts w:ascii="Times New Roman" w:cs="Times New Roman" w:eastAsia="Times New Roman" w:hAnsi="Times New Roman"/>
          <w:sz w:val="18"/>
          <w:szCs w:val="18"/>
          <w:color w:val="auto"/>
        </w:rPr>
        <w:t>Date:</w:t>
        <w:tab/>
        <w:t>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33020</wp:posOffset>
            </wp:positionV>
            <wp:extent cx="37871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787140" cy="8255"/>
                    </a:xfrm>
                    <a:prstGeom prst="rect">
                      <a:avLst/>
                    </a:prstGeom>
                    <a:noFill/>
                  </pic:spPr>
                </pic:pic>
              </a:graphicData>
            </a:graphic>
          </wp:anchor>
        </w:drawing>
      </w:r>
    </w:p>
    <w:p>
      <w:pPr>
        <w:spacing w:after="0" w:line="4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Daniel Faga</w:t>
      </w:r>
    </w:p>
    <w:p>
      <w:pPr>
        <w:spacing w:after="0" w:line="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8" w:lineRule="exact"/>
        <w:rPr>
          <w:sz w:val="20"/>
          <w:szCs w:val="20"/>
          <w:color w:val="auto"/>
        </w:rPr>
      </w:pPr>
    </w:p>
    <w:p>
      <w:pPr>
        <w:ind w:left="20"/>
        <w:spacing w:after="0"/>
        <w:tabs>
          <w:tab w:leader="none" w:pos="640" w:val="left"/>
          <w:tab w:leader="none" w:pos="4820" w:val="left"/>
          <w:tab w:leader="none" w:pos="5280" w:val="left"/>
        </w:tabs>
        <w:rPr>
          <w:sz w:val="20"/>
          <w:szCs w:val="20"/>
          <w:color w:val="auto"/>
        </w:rPr>
      </w:pPr>
      <w:r>
        <w:rPr>
          <w:rFonts w:ascii="Times New Roman" w:cs="Times New Roman" w:eastAsia="Times New Roman" w:hAnsi="Times New Roman"/>
          <w:sz w:val="18"/>
          <w:szCs w:val="18"/>
          <w:color w:val="auto"/>
        </w:rPr>
        <w:t>Date:</w:t>
        <w:tab/>
        <w:t>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33020</wp:posOffset>
            </wp:positionV>
            <wp:extent cx="37871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787140" cy="8255"/>
                    </a:xfrm>
                    <a:prstGeom prst="rect">
                      <a:avLst/>
                    </a:prstGeom>
                    <a:noFill/>
                  </pic:spPr>
                </pic:pic>
              </a:graphicData>
            </a:graphic>
          </wp:anchor>
        </w:drawing>
      </w:r>
    </w:p>
    <w:p>
      <w:pPr>
        <w:spacing w:after="0" w:line="4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Dennis Mulroy</w:t>
      </w:r>
    </w:p>
    <w:p>
      <w:pPr>
        <w:spacing w:after="0" w:line="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80"/>
          </w:cols>
          <w:pgMar w:left="320" w:top="1398" w:right="39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Faga, certify that:</w:t>
      </w:r>
    </w:p>
    <w:p>
      <w:pPr>
        <w:spacing w:after="0" w:line="153" w:lineRule="exact"/>
        <w:rPr>
          <w:sz w:val="20"/>
          <w:szCs w:val="20"/>
          <w:color w:val="auto"/>
        </w:rPr>
      </w:pPr>
    </w:p>
    <w:p>
      <w:pPr>
        <w:ind w:left="180" w:hanging="173"/>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13" w:lineRule="exact"/>
        <w:rPr>
          <w:rFonts w:ascii="Times New Roman" w:cs="Times New Roman" w:eastAsia="Times New Roman" w:hAnsi="Times New Roman"/>
          <w:sz w:val="18"/>
          <w:szCs w:val="18"/>
          <w:color w:val="auto"/>
        </w:rPr>
      </w:pPr>
    </w:p>
    <w:p>
      <w:pPr>
        <w:ind w:left="160" w:right="240" w:hanging="153"/>
        <w:spacing w:after="0" w:line="307" w:lineRule="auto"/>
        <w:tabs>
          <w:tab w:leader="none" w:pos="17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Times New Roman" w:cs="Times New Roman" w:eastAsia="Times New Roman" w:hAnsi="Times New Roman"/>
          <w:sz w:val="17"/>
          <w:szCs w:val="17"/>
          <w:color w:val="auto"/>
        </w:rPr>
      </w:pPr>
    </w:p>
    <w:p>
      <w:pPr>
        <w:ind w:left="160" w:hanging="153"/>
        <w:spacing w:after="0" w:line="277" w:lineRule="auto"/>
        <w:tabs>
          <w:tab w:leader="none" w:pos="1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ind w:left="160" w:right="160" w:hanging="153"/>
        <w:spacing w:after="0" w:line="262" w:lineRule="auto"/>
        <w:tabs>
          <w:tab w:leader="none" w:pos="1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400" w:right="220" w:hanging="153"/>
        <w:spacing w:after="0" w:line="262" w:lineRule="auto"/>
        <w:tabs>
          <w:tab w:leader="none" w:pos="42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400" w:right="20" w:hanging="153"/>
        <w:spacing w:after="0" w:line="262" w:lineRule="auto"/>
        <w:tabs>
          <w:tab w:leader="none" w:pos="43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400" w:right="60" w:hanging="153"/>
        <w:spacing w:after="0" w:line="277" w:lineRule="auto"/>
        <w:tabs>
          <w:tab w:leader="none" w:pos="42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8"/>
          <w:szCs w:val="18"/>
          <w:color w:val="auto"/>
        </w:rPr>
      </w:pPr>
    </w:p>
    <w:p>
      <w:pPr>
        <w:ind w:left="400" w:right="140" w:hanging="153"/>
        <w:spacing w:after="0" w:line="262" w:lineRule="auto"/>
        <w:tabs>
          <w:tab w:leader="none" w:pos="43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160" w:right="600" w:hanging="153"/>
        <w:spacing w:after="0" w:line="277" w:lineRule="auto"/>
        <w:tabs>
          <w:tab w:leader="none" w:pos="1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400" w:right="180" w:hanging="153"/>
        <w:spacing w:after="0" w:line="277" w:lineRule="auto"/>
        <w:tabs>
          <w:tab w:leader="none" w:pos="42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400" w:right="220" w:hanging="153"/>
        <w:spacing w:after="0" w:line="277" w:lineRule="auto"/>
        <w:tabs>
          <w:tab w:leader="none" w:pos="43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35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15875</wp:posOffset>
            </wp:positionV>
            <wp:extent cx="30162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16250" cy="8255"/>
                    </a:xfrm>
                    <a:prstGeom prst="rect">
                      <a:avLst/>
                    </a:prstGeom>
                    <a:noFill/>
                  </pic:spPr>
                </pic:pic>
              </a:graphicData>
            </a:graphic>
          </wp:anchor>
        </w:drawing>
      </w:r>
    </w:p>
    <w:p>
      <w:pPr>
        <w:spacing w:after="0" w:line="1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Daniel Faga</w:t>
      </w:r>
    </w:p>
    <w:p>
      <w:pPr>
        <w:spacing w:after="0" w:line="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ectPr>
          <w:pgSz w:w="11900" w:h="16838" w:orient="portrait"/>
          <w:cols w:equalWidth="0" w:num="1">
            <w:col w:w="11240"/>
          </w:cols>
          <w:pgMar w:left="320" w:top="1398"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Mulroy, certify that:</w:t>
      </w:r>
    </w:p>
    <w:p>
      <w:pPr>
        <w:spacing w:after="0" w:line="207" w:lineRule="exact"/>
        <w:rPr>
          <w:sz w:val="20"/>
          <w:szCs w:val="20"/>
          <w:color w:val="auto"/>
        </w:rPr>
      </w:pPr>
    </w:p>
    <w:p>
      <w:pPr>
        <w:ind w:left="180" w:hanging="173"/>
        <w:spacing w:after="0"/>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53" w:lineRule="exact"/>
        <w:rPr>
          <w:rFonts w:ascii="Times New Roman" w:cs="Times New Roman" w:eastAsia="Times New Roman" w:hAnsi="Times New Roman"/>
          <w:sz w:val="18"/>
          <w:szCs w:val="18"/>
          <w:color w:val="auto"/>
        </w:rPr>
      </w:pPr>
    </w:p>
    <w:p>
      <w:pPr>
        <w:ind w:left="160" w:right="240" w:hanging="153"/>
        <w:spacing w:after="0" w:line="307" w:lineRule="auto"/>
        <w:tabs>
          <w:tab w:leader="none" w:pos="17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Times New Roman" w:cs="Times New Roman" w:eastAsia="Times New Roman" w:hAnsi="Times New Roman"/>
          <w:sz w:val="17"/>
          <w:szCs w:val="17"/>
          <w:color w:val="auto"/>
        </w:rPr>
      </w:pPr>
    </w:p>
    <w:p>
      <w:pPr>
        <w:ind w:left="160" w:hanging="153"/>
        <w:spacing w:after="0" w:line="277" w:lineRule="auto"/>
        <w:tabs>
          <w:tab w:leader="none" w:pos="1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ind w:left="160" w:right="160" w:hanging="153"/>
        <w:spacing w:after="0" w:line="262" w:lineRule="auto"/>
        <w:tabs>
          <w:tab w:leader="none" w:pos="1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400" w:right="220" w:hanging="153"/>
        <w:spacing w:after="0" w:line="262" w:lineRule="auto"/>
        <w:tabs>
          <w:tab w:leader="none" w:pos="42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400" w:right="20" w:hanging="153"/>
        <w:spacing w:after="0" w:line="262" w:lineRule="auto"/>
        <w:tabs>
          <w:tab w:leader="none" w:pos="43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400" w:right="60" w:hanging="153"/>
        <w:spacing w:after="0" w:line="277" w:lineRule="auto"/>
        <w:tabs>
          <w:tab w:leader="none" w:pos="42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8"/>
          <w:szCs w:val="18"/>
          <w:color w:val="auto"/>
        </w:rPr>
      </w:pPr>
    </w:p>
    <w:p>
      <w:pPr>
        <w:ind w:left="400" w:right="140" w:hanging="153"/>
        <w:spacing w:after="0" w:line="262" w:lineRule="auto"/>
        <w:tabs>
          <w:tab w:leader="none" w:pos="43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160" w:right="600" w:hanging="153"/>
        <w:spacing w:after="0" w:line="277" w:lineRule="auto"/>
        <w:tabs>
          <w:tab w:leader="none" w:pos="1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400" w:right="180" w:hanging="153"/>
        <w:spacing w:after="0" w:line="277" w:lineRule="auto"/>
        <w:tabs>
          <w:tab w:leader="none" w:pos="42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400" w:right="220" w:hanging="153"/>
        <w:spacing w:after="0" w:line="277" w:lineRule="auto"/>
        <w:tabs>
          <w:tab w:leader="none" w:pos="43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3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15875</wp:posOffset>
            </wp:positionV>
            <wp:extent cx="43376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Dennis Mulroy</w:t>
      </w:r>
    </w:p>
    <w:p>
      <w:pPr>
        <w:spacing w:after="0" w:line="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398"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Faga, Chief Executive Officer of AnaptysBio, Inc. (Company), do hereby certify, pursuant to 18 U.S.C. Section 1350, as adopted pursuant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94" w:lineRule="exact"/>
        <w:rPr>
          <w:sz w:val="20"/>
          <w:szCs w:val="20"/>
          <w:color w:val="auto"/>
        </w:rPr>
      </w:pPr>
    </w:p>
    <w:p>
      <w:pPr>
        <w:ind w:left="880" w:right="280" w:hanging="393"/>
        <w:spacing w:after="0" w:line="277" w:lineRule="auto"/>
        <w:tabs>
          <w:tab w:leader="none" w:pos="8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2024 (the “Report”), as filed with the Securities and Exchange Commission, fully complies with the requirements of Section 13(a) or 15(d) of the Securities Exchange Act of 1934; and</w:t>
      </w:r>
    </w:p>
    <w:p>
      <w:pPr>
        <w:spacing w:after="0" w:line="55" w:lineRule="exact"/>
        <w:rPr>
          <w:rFonts w:ascii="Times New Roman" w:cs="Times New Roman" w:eastAsia="Times New Roman" w:hAnsi="Times New Roman"/>
          <w:sz w:val="18"/>
          <w:szCs w:val="18"/>
          <w:color w:val="auto"/>
        </w:rPr>
      </w:pPr>
    </w:p>
    <w:p>
      <w:pPr>
        <w:ind w:left="880" w:right="120" w:hanging="393"/>
        <w:spacing w:after="0" w:line="277" w:lineRule="auto"/>
        <w:tabs>
          <w:tab w:leader="none" w:pos="8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35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15875</wp:posOffset>
            </wp:positionV>
            <wp:extent cx="30245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24505" cy="8255"/>
                    </a:xfrm>
                    <a:prstGeom prst="rect">
                      <a:avLst/>
                    </a:prstGeom>
                    <a:noFill/>
                  </pic:spPr>
                </pic:pic>
              </a:graphicData>
            </a:graphic>
          </wp:anchor>
        </w:drawing>
      </w:r>
    </w:p>
    <w:p>
      <w:pPr>
        <w:spacing w:after="0" w:line="1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Daniel Faga</w:t>
      </w:r>
    </w:p>
    <w:p>
      <w:pPr>
        <w:spacing w:after="0" w:line="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ectPr>
          <w:pgSz w:w="11900" w:h="16838" w:orient="portrait"/>
          <w:cols w:equalWidth="0" w:num="1">
            <w:col w:w="11240"/>
          </w:cols>
          <w:pgMar w:left="320" w:top="1398" w:right="339" w:bottom="1440" w:gutter="0" w:footer="0" w:header="0"/>
        </w:sectPr>
      </w:pPr>
    </w:p>
    <w:bookmarkStart w:id="77" w:name="page78"/>
    <w:bookmarkEnd w:id="77"/>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Mulroy, Chief Financial Officer of AnaptysBio, Inc. (Company), do hereby certify, pursuant to 18 U.S.C. Section 1350, as adopted pursuant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94" w:lineRule="exact"/>
        <w:rPr>
          <w:sz w:val="20"/>
          <w:szCs w:val="20"/>
          <w:color w:val="auto"/>
        </w:rPr>
      </w:pPr>
    </w:p>
    <w:p>
      <w:pPr>
        <w:ind w:left="880" w:right="280" w:hanging="393"/>
        <w:spacing w:after="0" w:line="277" w:lineRule="auto"/>
        <w:tabs>
          <w:tab w:leader="none" w:pos="8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2024 (the “Report”), as filed with the Securities and Exchange Commission, fully complies with the requirements of Section 13(a) or 15(d) of the Securities Exchange Act of 1934; and</w:t>
      </w:r>
    </w:p>
    <w:p>
      <w:pPr>
        <w:spacing w:after="0" w:line="55" w:lineRule="exact"/>
        <w:rPr>
          <w:rFonts w:ascii="Times New Roman" w:cs="Times New Roman" w:eastAsia="Times New Roman" w:hAnsi="Times New Roman"/>
          <w:sz w:val="18"/>
          <w:szCs w:val="18"/>
          <w:color w:val="auto"/>
        </w:rPr>
      </w:pPr>
    </w:p>
    <w:p>
      <w:pPr>
        <w:ind w:left="880" w:right="120" w:hanging="393"/>
        <w:spacing w:after="0" w:line="277" w:lineRule="auto"/>
        <w:tabs>
          <w:tab w:leader="none" w:pos="8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35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15875</wp:posOffset>
            </wp:positionV>
            <wp:extent cx="42360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36085" cy="8255"/>
                    </a:xfrm>
                    <a:prstGeom prst="rect">
                      <a:avLst/>
                    </a:prstGeom>
                    <a:noFill/>
                  </pic:spPr>
                </pic:pic>
              </a:graphicData>
            </a:graphic>
          </wp:anchor>
        </w:drawing>
      </w:r>
    </w:p>
    <w:p>
      <w:pPr>
        <w:spacing w:after="0" w:line="1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Dennis Mulroy</w:t>
      </w:r>
    </w:p>
    <w:p>
      <w:pPr>
        <w:spacing w:after="0" w:line="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2"/>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6"/>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7"/>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9"/>
    </w:lvl>
  </w:abstractNum>
  <w:abstractNum w:abstractNumId="13">
    <w:nsid w:val="2CA88611"/>
    <w:multiLevelType w:val="hybridMultilevel"/>
    <w:lvl w:ilvl="0">
      <w:lvlJc w:val="left"/>
      <w:lvlText w:val="%1."/>
      <w:numFmt w:val="decimal"/>
      <w:start w:val="10"/>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lvl w:ilvl="1">
      <w:lvlJc w:val="left"/>
      <w:lvlText w:val="%2"/>
      <w:numFmt w:val="decimal"/>
      <w:start w:val="104"/>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2024-11-05T15:39:50Z</dcterms:created>
  <dcterms:modified xsi:type="dcterms:W3CDTF">2024-11-05T15:39:50Z</dcterms:modified>
</cp:coreProperties>
</file>