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120"/>
        <w:spacing w:after="0"/>
        <w:rPr>
          <w:sz w:val="20"/>
          <w:szCs w:val="20"/>
          <w:color w:val="auto"/>
        </w:rPr>
      </w:pPr>
      <w:r>
        <w:rPr>
          <w:rFonts w:ascii="Times New Roman" w:cs="Times New Roman" w:eastAsia="Times New Roman" w:hAnsi="Times New Roman"/>
          <w:sz w:val="13"/>
          <w:szCs w:val="13"/>
          <w:b w:val="1"/>
          <w:bCs w:val="1"/>
          <w:color w:val="auto"/>
        </w:rPr>
        <w:t>UNITED STATES</w:t>
      </w:r>
    </w:p>
    <w:p>
      <w:pPr>
        <w:spacing w:after="0" w:line="24"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3"/>
          <w:szCs w:val="13"/>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 8-K</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CURRENT REPORT PURSUANT TO</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13 OR 15(d) OF THE SECURITIES EXCHANGE ACT OF 1934</w:t>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Date of Report: November 10, 2025</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(Date of earliest event reported)</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ANAPTYSBIO, INC.</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(Exact Name of Registrant as Specified in Charter)</w:t>
      </w:r>
    </w:p>
    <w:p>
      <w:pPr>
        <w:sectPr>
          <w:pgSz w:w="11900" w:h="16838" w:orient="portrait"/>
          <w:cols w:equalWidth="0" w:num="1">
            <w:col w:w="11300"/>
          </w:cols>
          <w:pgMar w:left="300" w:top="1059" w:right="299" w:bottom="1440" w:gutter="0" w:footer="0" w:header="0"/>
        </w:sectPr>
      </w:pPr>
    </w:p>
    <w:p>
      <w:pPr>
        <w:spacing w:after="0" w:line="186"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2"/>
          <w:szCs w:val="12"/>
          <w:b w:val="1"/>
          <w:bCs w:val="1"/>
          <w:color w:val="auto"/>
        </w:rPr>
        <w:t>001-37985</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20-3828755</w:t>
      </w:r>
    </w:p>
    <w:p>
      <w:pPr>
        <w:spacing w:after="0" w:line="24" w:lineRule="exact"/>
        <w:rPr>
          <w:sz w:val="24"/>
          <w:szCs w:val="24"/>
          <w:color w:val="auto"/>
        </w:rPr>
      </w:pPr>
    </w:p>
    <w:p>
      <w:pPr>
        <w:sectPr>
          <w:pgSz w:w="11900" w:h="16838" w:orient="portrait"/>
          <w:cols w:equalWidth="0" w:num="3">
            <w:col w:w="4680" w:space="720"/>
            <w:col w:w="2920" w:space="720"/>
            <w:col w:w="2260"/>
          </w:cols>
          <w:pgMar w:left="300" w:top="1059" w:right="299" w:bottom="1440" w:gutter="0" w:footer="0" w:header="0"/>
          <w:type w:val="continuous"/>
        </w:sectPr>
      </w:pPr>
    </w:p>
    <w:p>
      <w:pPr>
        <w:ind w:left="780"/>
        <w:spacing w:after="0"/>
        <w:rPr>
          <w:sz w:val="20"/>
          <w:szCs w:val="20"/>
          <w:color w:val="auto"/>
        </w:rPr>
      </w:pPr>
      <w:r>
        <w:rPr>
          <w:rFonts w:ascii="Times New Roman" w:cs="Times New Roman" w:eastAsia="Times New Roman" w:hAnsi="Times New Roman"/>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(IRS Employer Identification No.)</w:t>
      </w:r>
    </w:p>
    <w:p>
      <w:pPr>
        <w:spacing w:after="0" w:line="200" w:lineRule="exact"/>
        <w:rPr>
          <w:sz w:val="24"/>
          <w:szCs w:val="24"/>
          <w:color w:val="auto"/>
        </w:rPr>
      </w:pPr>
    </w:p>
    <w:p>
      <w:pPr>
        <w:sectPr>
          <w:pgSz w:w="11900" w:h="16838" w:orient="portrait"/>
          <w:cols w:equalWidth="0" w:num="3">
            <w:col w:w="4240" w:space="720"/>
            <w:col w:w="2760" w:space="720"/>
            <w:col w:w="2860"/>
          </w:cols>
          <w:pgMar w:left="300" w:top="1059" w:right="299" w:bottom="1440" w:gutter="0" w:footer="0" w:header="0"/>
          <w:type w:val="continuous"/>
        </w:sectPr>
      </w:pPr>
    </w:p>
    <w:p>
      <w:pPr>
        <w:spacing w:after="0" w:line="26"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3"/>
          <w:szCs w:val="13"/>
          <w:b w:val="1"/>
          <w:bCs w:val="1"/>
          <w:color w:val="auto"/>
        </w:rPr>
        <w:t>10770 Wateridge Circle, Suite 210,</w:t>
      </w:r>
    </w:p>
    <w:p>
      <w:pPr>
        <w:spacing w:after="0" w:line="24"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3"/>
          <w:szCs w:val="13"/>
          <w:b w:val="1"/>
          <w:bCs w:val="1"/>
          <w:color w:val="auto"/>
        </w:rPr>
        <w:t>San Diego, CA 92121</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color w:val="auto"/>
        </w:rPr>
        <w:t>(Address of Principal Executive Offices, and Zip Code)</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(858) 362-6295</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color w:val="auto"/>
        </w:rPr>
        <w:t>(Registrant’s Telephone Number, Including Area Code)</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8"/>
          <w:szCs w:val="8"/>
          <w:color w:val="auto"/>
        </w:rPr>
        <w:t>(Former name or former address, if changed since last report.)</w:t>
      </w:r>
    </w:p>
    <w:p>
      <w:pPr>
        <w:sectPr>
          <w:pgSz w:w="11900" w:h="16838" w:orient="portrait"/>
          <w:cols w:equalWidth="0" w:num="1">
            <w:col w:w="11300"/>
          </w:cols>
          <w:pgMar w:left="300" w:top="1059" w:right="299" w:bottom="1440" w:gutter="0" w:footer="0" w:header="0"/>
          <w:type w:val="continuous"/>
        </w:sectPr>
      </w:pP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40"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Written communication pursuant to Rule 425 under the Securities Act (17 CFR 230.425)</w:t>
      </w:r>
    </w:p>
    <w:p>
      <w:pPr>
        <w:spacing w:after="0" w:line="46"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Soliciting material pursuant to Rule 14a-12 under the Exchange Act (17 CFR 240.14a-12)</w:t>
      </w:r>
    </w:p>
    <w:p>
      <w:pPr>
        <w:spacing w:after="0" w:line="2"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Pre-commencement communication pursuant to Rule 14d-2(b) under the Exchange Act (17 CFR 240.14d-2(b))</w:t>
      </w:r>
    </w:p>
    <w:p>
      <w:pPr>
        <w:spacing w:after="0" w:line="10"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Pre-commencement communication pursuant to Rule 13e-4(c) under the Exchange Act (17 CFR 240.13e-4(c))</w:t>
      </w:r>
    </w:p>
    <w:p>
      <w:pPr>
        <w:spacing w:after="0" w:line="6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78" w:lineRule="exact"/>
        <w:rPr>
          <w:sz w:val="24"/>
          <w:szCs w:val="24"/>
          <w:color w:val="auto"/>
        </w:rPr>
      </w:pPr>
    </w:p>
    <w:tbl>
      <w:tblPr>
        <w:tblLayout w:type="fixed"/>
        <w:tblInd w:w="190" w:type="dxa"/>
        <w:tblCellMar>
          <w:top w:w="0" w:type="dxa"/>
          <w:left w:w="0" w:type="dxa"/>
          <w:bottom w:w="0" w:type="dxa"/>
          <w:right w:w="0" w:type="dxa"/>
        </w:tblCellMar>
      </w:tblPr>
      <w:tr>
        <w:trPr>
          <w:trHeight w:val="164"/>
        </w:trPr>
        <w:tc>
          <w:tcPr>
            <w:tcW w:w="40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2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4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25"/>
        </w:trPr>
        <w:tc>
          <w:tcPr>
            <w:tcW w:w="40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880" w:type="dxa"/>
            <w:vAlign w:val="bottom"/>
            <w:tcBorders>
              <w:bottom w:val="single" w:sz="8" w:color="auto"/>
              <w:right w:val="single" w:sz="8" w:color="auto"/>
            </w:tcBorders>
          </w:tcPr>
          <w:p>
            <w:pPr>
              <w:spacing w:after="0"/>
              <w:rPr>
                <w:sz w:val="2"/>
                <w:szCs w:val="2"/>
                <w:color w:val="auto"/>
              </w:rPr>
            </w:pPr>
          </w:p>
        </w:tc>
      </w:tr>
      <w:tr>
        <w:trPr>
          <w:trHeight w:val="144"/>
        </w:trPr>
        <w:tc>
          <w:tcPr>
            <w:tcW w:w="40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Common Stock, par value $0.001 per share</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ANAB</w:t>
            </w:r>
          </w:p>
        </w:tc>
        <w:tc>
          <w:tcPr>
            <w:tcW w:w="4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The Nasdaq Stock Market LLC</w:t>
            </w:r>
          </w:p>
        </w:tc>
      </w:tr>
      <w:tr>
        <w:trPr>
          <w:trHeight w:val="25"/>
        </w:trPr>
        <w:tc>
          <w:tcPr>
            <w:tcW w:w="40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880" w:type="dxa"/>
            <w:vAlign w:val="bottom"/>
            <w:tcBorders>
              <w:bottom w:val="single" w:sz="8" w:color="auto"/>
              <w:right w:val="single" w:sz="8" w:color="auto"/>
            </w:tcBorders>
          </w:tcPr>
          <w:p>
            <w:pPr>
              <w:spacing w:after="0"/>
              <w:rPr>
                <w:sz w:val="2"/>
                <w:szCs w:val="2"/>
                <w:color w:val="auto"/>
              </w:rPr>
            </w:pPr>
          </w:p>
        </w:tc>
      </w:tr>
    </w:tbl>
    <w:p>
      <w:pPr>
        <w:spacing w:after="0" w:line="196" w:lineRule="exact"/>
        <w:rPr>
          <w:sz w:val="24"/>
          <w:szCs w:val="24"/>
          <w:color w:val="auto"/>
        </w:rPr>
      </w:pPr>
    </w:p>
    <w:p>
      <w:pPr>
        <w:ind w:right="280"/>
        <w:spacing w:after="0" w:line="264"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09" w:lineRule="exact"/>
        <w:rPr>
          <w:sz w:val="24"/>
          <w:szCs w:val="24"/>
          <w:color w:val="auto"/>
        </w:rPr>
      </w:pPr>
    </w:p>
    <w:p>
      <w:pPr>
        <w:ind w:left="9840"/>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208" w:lineRule="exact"/>
        <w:rPr>
          <w:sz w:val="24"/>
          <w:szCs w:val="24"/>
          <w:color w:val="auto"/>
        </w:rPr>
      </w:pPr>
    </w:p>
    <w:p>
      <w:pPr>
        <w:ind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570865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59" w:right="299" w:bottom="1440" w:gutter="0" w:footer="0" w:header="0"/>
          <w:type w:val="continuous"/>
        </w:sectPr>
      </w:pPr>
    </w:p>
    <w:bookmarkStart w:id="1" w:name="page2"/>
    <w:bookmarkEnd w:id="1"/>
    <w:p>
      <w:pPr>
        <w:spacing w:after="0"/>
        <w:tabs>
          <w:tab w:leader="none" w:pos="660" w:val="left"/>
        </w:tabs>
        <w:rPr>
          <w:sz w:val="20"/>
          <w:szCs w:val="20"/>
          <w:color w:val="auto"/>
        </w:rPr>
      </w:pPr>
      <w:r>
        <w:rPr>
          <w:rFonts w:ascii="Times New Roman" w:cs="Times New Roman" w:eastAsia="Times New Roman" w:hAnsi="Times New Roman"/>
          <w:sz w:val="13"/>
          <w:szCs w:val="13"/>
          <w:b w:val="1"/>
          <w:bCs w:val="1"/>
          <w:color w:val="auto"/>
        </w:rPr>
        <w:t>Item 7.01.</w:t>
        <w:tab/>
        <w:t>Regulation FD.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On November 10, 2025, AnaptysBio, Inc. (“AnaptysBio”) updated its corporate investor presentation, a full copy of which is attached hereto as Exhibit 99.1.</w:t>
      </w:r>
    </w:p>
    <w:p>
      <w:pPr>
        <w:spacing w:after="0" w:line="157"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3"/>
          <w:szCs w:val="13"/>
          <w:color w:val="auto"/>
        </w:rPr>
        <w:t>The information in this Item 7.01,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Exchange Act or the Securities Act of 1933, as amended, except as expressly set forth by specific reference in such a filing.</w:t>
      </w:r>
    </w:p>
    <w:p>
      <w:pPr>
        <w:spacing w:after="0" w:line="114"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3"/>
          <w:szCs w:val="13"/>
          <w:b w:val="1"/>
          <w:bCs w:val="1"/>
          <w:color w:val="auto"/>
        </w:rPr>
        <w:t>Item 8.01.</w:t>
        <w:tab/>
        <w:t>Other Items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On November 10, 2025, AnaptysBio issued a press release regarding top-line Phase 2 data in ulcerative colitis with rosnilimab. A copy of the press release is filed herewith as Exhibit 99.2.</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9.01. Financial Statements and Exhibits.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 Exhibits</w:t>
            </w:r>
          </w:p>
        </w:tc>
        <w:tc>
          <w:tcPr>
            <w:tcW w:w="9600" w:type="dxa"/>
            <w:vAlign w:val="bottom"/>
          </w:tcPr>
          <w:p>
            <w:pPr>
              <w:spacing w:after="0"/>
              <w:rPr>
                <w:sz w:val="14"/>
                <w:szCs w:val="14"/>
                <w:color w:val="auto"/>
              </w:rPr>
            </w:pPr>
          </w:p>
        </w:tc>
      </w:tr>
      <w:tr>
        <w:trPr>
          <w:trHeight w:val="360"/>
        </w:trPr>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 Number</w:t>
            </w:r>
          </w:p>
        </w:tc>
        <w:tc>
          <w:tcPr>
            <w:tcW w:w="9600" w:type="dxa"/>
            <w:vAlign w:val="bottom"/>
          </w:tcPr>
          <w:p>
            <w:pPr>
              <w:ind w:left="780"/>
              <w:spacing w:after="0"/>
              <w:rPr>
                <w:sz w:val="20"/>
                <w:szCs w:val="20"/>
                <w:color w:val="auto"/>
              </w:rPr>
            </w:pPr>
            <w:r>
              <w:rPr>
                <w:rFonts w:ascii="Times New Roman" w:cs="Times New Roman" w:eastAsia="Times New Roman" w:hAnsi="Times New Roman"/>
                <w:sz w:val="13"/>
                <w:szCs w:val="13"/>
                <w:b w:val="1"/>
                <w:bCs w:val="1"/>
                <w:color w:val="auto"/>
              </w:rPr>
              <w:t>Exhibit Title or Description</w:t>
            </w:r>
          </w:p>
        </w:tc>
      </w:tr>
      <w:tr>
        <w:trPr>
          <w:trHeight w:val="158"/>
        </w:trPr>
        <w:tc>
          <w:tcPr>
            <w:tcW w:w="2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3"/>
                <w:szCs w:val="13"/>
                <w:color w:val="0000FF"/>
                <w:w w:val="96"/>
              </w:rPr>
              <w:t>99.</w:t>
            </w:r>
            <w:r>
              <w:rPr>
                <w:rFonts w:ascii="Times New Roman" w:cs="Times New Roman" w:eastAsia="Times New Roman" w:hAnsi="Times New Roman"/>
                <w:sz w:val="13"/>
                <w:szCs w:val="13"/>
                <w:u w:val="single" w:color="auto"/>
                <w:color w:val="0000FF"/>
                <w:w w:val="96"/>
              </w:rPr>
              <w:t>1</w:t>
            </w:r>
          </w:p>
        </w:tc>
        <w:tc>
          <w:tcPr>
            <w:tcW w:w="1460" w:type="dxa"/>
            <w:vAlign w:val="bottom"/>
          </w:tcPr>
          <w:p>
            <w:pPr>
              <w:spacing w:after="0"/>
              <w:rPr>
                <w:sz w:val="13"/>
                <w:szCs w:val="13"/>
                <w:color w:val="auto"/>
              </w:rPr>
            </w:pPr>
          </w:p>
        </w:tc>
        <w:tc>
          <w:tcPr>
            <w:tcW w:w="960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Anaptys Corporate Presentation November 2025.</w:t>
            </w:r>
          </w:p>
        </w:tc>
      </w:tr>
      <w:tr>
        <w:trPr>
          <w:trHeight w:val="169"/>
        </w:trPr>
        <w:tc>
          <w:tcPr>
            <w:tcW w:w="2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3"/>
                <w:szCs w:val="13"/>
                <w:color w:val="0000FF"/>
                <w:w w:val="96"/>
              </w:rPr>
              <w:t>99.</w:t>
            </w:r>
            <w:r>
              <w:rPr>
                <w:rFonts w:ascii="Times New Roman" w:cs="Times New Roman" w:eastAsia="Times New Roman" w:hAnsi="Times New Roman"/>
                <w:sz w:val="13"/>
                <w:szCs w:val="13"/>
                <w:u w:val="single" w:color="auto"/>
                <w:color w:val="0000FF"/>
                <w:w w:val="96"/>
              </w:rPr>
              <w:t>2</w:t>
            </w:r>
          </w:p>
        </w:tc>
        <w:tc>
          <w:tcPr>
            <w:tcW w:w="1460" w:type="dxa"/>
            <w:vAlign w:val="bottom"/>
          </w:tcPr>
          <w:p>
            <w:pPr>
              <w:spacing w:after="0"/>
              <w:rPr>
                <w:sz w:val="14"/>
                <w:szCs w:val="14"/>
                <w:color w:val="auto"/>
              </w:rPr>
            </w:pPr>
          </w:p>
        </w:tc>
        <w:tc>
          <w:tcPr>
            <w:tcW w:w="960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AnaptysBio, Inc. Press Release, dated November 10, 2025.</w:t>
            </w:r>
          </w:p>
        </w:tc>
      </w:tr>
      <w:tr>
        <w:trPr>
          <w:trHeight w:val="200"/>
        </w:trPr>
        <w:tc>
          <w:tcPr>
            <w:tcW w:w="24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1460" w:type="dxa"/>
            <w:vAlign w:val="bottom"/>
          </w:tcPr>
          <w:p>
            <w:pPr>
              <w:spacing w:after="0"/>
              <w:rPr>
                <w:sz w:val="17"/>
                <w:szCs w:val="17"/>
                <w:color w:val="auto"/>
              </w:rPr>
            </w:pPr>
          </w:p>
        </w:tc>
        <w:tc>
          <w:tcPr>
            <w:tcW w:w="960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Cover Page Interactive Data File (the cover page XBRL tags are embedded within the inline XBRL document).</w:t>
            </w:r>
          </w:p>
        </w:tc>
      </w:tr>
      <w:tr>
        <w:trPr>
          <w:trHeight w:val="581"/>
        </w:trPr>
        <w:tc>
          <w:tcPr>
            <w:tcW w:w="2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9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50" w:right="299" w:bottom="1440" w:gutter="0" w:footer="0" w:header="0"/>
        </w:sectPr>
      </w:pPr>
    </w:p>
    <w:bookmarkStart w:id="2" w:name="page3"/>
    <w:bookmarkEnd w:id="2"/>
    <w:p>
      <w:pPr>
        <w:ind w:left="5220"/>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thereunto duly authorized.</w:t>
      </w:r>
    </w:p>
    <w:p>
      <w:pPr>
        <w:spacing w:after="0" w:line="35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3"/>
          <w:szCs w:val="13"/>
          <w:color w:val="auto"/>
        </w:rPr>
        <w:t>AnaptysBio, Inc.</w:t>
      </w:r>
    </w:p>
    <w:p>
      <w:pPr>
        <w:spacing w:after="0" w:line="22" w:lineRule="exact"/>
        <w:rPr>
          <w:sz w:val="20"/>
          <w:szCs w:val="20"/>
          <w:color w:val="auto"/>
        </w:rPr>
      </w:pPr>
    </w:p>
    <w:p>
      <w:pPr>
        <w:spacing w:after="0"/>
        <w:tabs>
          <w:tab w:leader="none" w:pos="4220" w:val="left"/>
          <w:tab w:leader="none" w:pos="4780" w:val="left"/>
        </w:tabs>
        <w:rPr>
          <w:sz w:val="20"/>
          <w:szCs w:val="20"/>
          <w:color w:val="auto"/>
        </w:rPr>
      </w:pPr>
      <w:r>
        <w:rPr>
          <w:rFonts w:ascii="Times New Roman" w:cs="Times New Roman" w:eastAsia="Times New Roman" w:hAnsi="Times New Roman"/>
          <w:sz w:val="13"/>
          <w:szCs w:val="13"/>
          <w:color w:val="auto"/>
        </w:rPr>
        <w:t>Date: November 10, 2025</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3035300</wp:posOffset>
            </wp:positionH>
            <wp:positionV relativeFrom="paragraph">
              <wp:posOffset>17145</wp:posOffset>
            </wp:positionV>
            <wp:extent cx="413766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37660" cy="5715"/>
                    </a:xfrm>
                    <a:prstGeom prst="rect">
                      <a:avLst/>
                    </a:prstGeom>
                    <a:noFill/>
                  </pic:spPr>
                </pic:pic>
              </a:graphicData>
            </a:graphic>
          </wp:anchor>
        </w:drawing>
      </w:r>
    </w:p>
    <w:p>
      <w:pPr>
        <w:spacing w:after="0" w:line="1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3"/>
          <w:szCs w:val="13"/>
          <w:color w:val="auto"/>
        </w:rPr>
        <w:t>Name: Dennis Mulroy</w:t>
      </w:r>
    </w:p>
    <w:p>
      <w:pPr>
        <w:spacing w:after="0" w:line="3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3"/>
          <w:szCs w:val="13"/>
          <w:color w:val="auto"/>
        </w:rPr>
        <w:t>Title: Chief Financial Officer</w:t>
      </w:r>
    </w:p>
    <w:p>
      <w:pPr>
        <w:sectPr>
          <w:pgSz w:w="11900" w:h="16838" w:orient="portrait"/>
          <w:cols w:equalWidth="0" w:num="1">
            <w:col w:w="10159"/>
          </w:cols>
          <w:pgMar w:left="300" w:top="987"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7"/>
          <w:szCs w:val="17"/>
          <w:b w:val="1"/>
          <w:bCs w:val="1"/>
          <w:color w:val="auto"/>
        </w:rPr>
        <w:t>Anaptys Announces Phase 2 Trial of Rosnilimab Did Not Meet Primary or Secondary Endpoints at Week 12 in Moderate-to-Severe Ulcerative Colitis</w:t>
      </w:r>
    </w:p>
    <w:p>
      <w:pPr>
        <w:spacing w:after="0" w:line="79" w:lineRule="exact"/>
        <w:rPr>
          <w:sz w:val="20"/>
          <w:szCs w:val="20"/>
          <w:color w:val="auto"/>
        </w:rPr>
      </w:pPr>
    </w:p>
    <w:p>
      <w:pPr>
        <w:ind w:left="420" w:hanging="212"/>
        <w:spacing w:after="0"/>
        <w:tabs>
          <w:tab w:leader="none" w:pos="4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Rosnilimab was safe and well tolerated with similar adverse event rates vs. placebo</w:t>
      </w:r>
    </w:p>
    <w:p>
      <w:pPr>
        <w:spacing w:after="0" w:line="89" w:lineRule="exact"/>
        <w:rPr>
          <w:rFonts w:ascii="Times New Roman" w:cs="Times New Roman" w:eastAsia="Times New Roman" w:hAnsi="Times New Roman"/>
          <w:sz w:val="13"/>
          <w:szCs w:val="13"/>
          <w:color w:val="auto"/>
        </w:rPr>
      </w:pPr>
    </w:p>
    <w:p>
      <w:pPr>
        <w:ind w:left="420" w:right="140" w:hanging="212"/>
        <w:spacing w:after="0" w:line="295" w:lineRule="auto"/>
        <w:tabs>
          <w:tab w:leader="none" w:pos="412"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Observed expected pharmacology, including ~90% depletion of pathogenic T cells, however lack of adequate efficacy at Week 12 does not support further development of rosnilimab in </w:t>
      </w:r>
      <w:r>
        <w:rPr>
          <w:rFonts w:ascii="Times New Roman" w:cs="Times New Roman" w:eastAsia="Times New Roman" w:hAnsi="Times New Roman"/>
          <w:sz w:val="14"/>
          <w:szCs w:val="14"/>
          <w:color w:val="auto"/>
        </w:rPr>
        <w:t>UC and trial will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4"/>
          <w:szCs w:val="14"/>
          <w:color w:val="auto"/>
        </w:rPr>
        <w:t>be discontinued, resulting in at least $10 million in savings</w:t>
      </w:r>
    </w:p>
    <w:p>
      <w:pPr>
        <w:spacing w:after="0" w:line="12"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Will provide update in H1 2026 on advancement of rosnilimab in RA, which would be funded by strategic or other sources of capital without diluting our royalties</w:t>
      </w:r>
    </w:p>
    <w:p>
      <w:pPr>
        <w:spacing w:after="0" w:line="84"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Reiterating commitment to protect and return the value of our substantial royalties to shareholders and intention to separate biopharma operations from royalty assets in 2026</w:t>
      </w:r>
    </w:p>
    <w:p>
      <w:pPr>
        <w:spacing w:after="0" w:line="84"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Biopharma Co will advance ANB033 through Phase 1b in celiac disease and an additional inflammatory indication, and ANB101 through Phase 1a in healthy volunteers</w:t>
      </w:r>
    </w:p>
    <w:p>
      <w:pPr>
        <w:spacing w:after="0" w:line="78"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Anticipate ending 2025 with ~$300 million, including anticipated accrual of one-time $75 million commercial sales milestone from GSK in Q4 2025 once </w:t>
      </w:r>
      <w:r>
        <w:rPr>
          <w:rFonts w:ascii="Times New Roman" w:cs="Times New Roman" w:eastAsia="Times New Roman" w:hAnsi="Times New Roman"/>
          <w:sz w:val="14"/>
          <w:szCs w:val="14"/>
          <w:i w:val="1"/>
          <w:iCs w:val="1"/>
          <w:color w:val="auto"/>
        </w:rPr>
        <w:t>Jemperli</w:t>
      </w:r>
      <w:r>
        <w:rPr>
          <w:rFonts w:ascii="Times New Roman" w:cs="Times New Roman" w:eastAsia="Times New Roman" w:hAnsi="Times New Roman"/>
          <w:sz w:val="13"/>
          <w:szCs w:val="13"/>
          <w:color w:val="auto"/>
        </w:rPr>
        <w:t xml:space="preserve"> achieves $1 billion in global net sales</w:t>
      </w:r>
    </w:p>
    <w:p>
      <w:pPr>
        <w:spacing w:after="0" w:line="15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3"/>
          <w:szCs w:val="13"/>
          <w:b w:val="1"/>
          <w:bCs w:val="1"/>
          <w:color w:val="auto"/>
        </w:rPr>
        <w:t xml:space="preserve">SAN DIEGO, Nov. 10, 2025 </w:t>
      </w:r>
      <w:r>
        <w:rPr>
          <w:rFonts w:ascii="Times New Roman" w:cs="Times New Roman" w:eastAsia="Times New Roman" w:hAnsi="Times New Roman"/>
          <w:sz w:val="13"/>
          <w:szCs w:val="13"/>
          <w:color w:val="auto"/>
        </w:rPr>
        <w:t>— AnaptysBio, Inc. (Nasdaq: ANAB), a clinical-stage biotechnology company focused on delivering innovative immunology therapeutics, today announced that investigational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rosnilimab was safe and well tolerated but did not meet the primary endpoint of mean change from baseline in modified Mayo Score (mMS) or key secondary endpoints of clinical response and clinical remission at Week 12 in the global Phase 2 trial for moderate-to-severe ulcerative colitis (UC). Placebo rates in the trial were within expected historical ranges. Given these results, this UC trial will be discontinued, resulting in at least $10 million in savings.</w:t>
      </w:r>
    </w:p>
    <w:p>
      <w:pPr>
        <w:spacing w:after="0" w:line="10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3"/>
          <w:szCs w:val="13"/>
          <w:color w:val="auto"/>
        </w:rPr>
        <w:t xml:space="preserve">“Rosnilimab was safe and well tolerated, but we are disappointed in the lack of adequate efficacy and will discontinue the UC trial. However, we remain excited about the potential advancement of rosnilimab in RA and will provide an update in H1 2026 including funding by strategic or other sources of capital without diluting our royalties,” said Daniel Faga, president and chief executive officer of Anaptys. “ANB033, our CD122 antagonist, is in a Phase 1b for celiac disease and we plan to announce a Phase 1b in another inflammatory disease in 2026. Simultaneously, we are reiterating our intention to separate our biopharma assets from our substantial royalty assets in 2026, including </w:t>
      </w:r>
      <w:r>
        <w:rPr>
          <w:rFonts w:ascii="Times New Roman" w:cs="Times New Roman" w:eastAsia="Times New Roman" w:hAnsi="Times New Roman"/>
          <w:sz w:val="13"/>
          <w:szCs w:val="13"/>
          <w:i w:val="1"/>
          <w:iCs w:val="1"/>
          <w:color w:val="auto"/>
        </w:rPr>
        <w:t>Jemperli</w:t>
      </w:r>
      <w:r>
        <w:rPr>
          <w:rFonts w:ascii="Times New Roman" w:cs="Times New Roman" w:eastAsia="Times New Roman" w:hAnsi="Times New Roman"/>
          <w:sz w:val="13"/>
          <w:szCs w:val="13"/>
          <w:color w:val="auto"/>
        </w:rPr>
        <w:t xml:space="preserve"> royalties of &gt;$390 million per year at GSK’s peak sales guidance of &gt;$2.7 billion</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3"/>
          <w:szCs w:val="13"/>
          <w:color w:val="auto"/>
        </w:rPr>
        <w:t>, which Anaptys expects to be achieved before 2031.”</w:t>
      </w:r>
    </w:p>
    <w:p>
      <w:pPr>
        <w:spacing w:after="0" w:line="6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3"/>
          <w:szCs w:val="13"/>
          <w:color w:val="auto"/>
        </w:rPr>
        <w:t>The Phase 2 randomized, double-blind, placebo-controlled, multicenter study evaluated the efficacy and safety of rosnilimab in UC patients. The study enrolled 136 moderate-to-severe patients across the U.S. Western and Eastern Europe with a baseline mean mMS score of 6.7 who had an inadequate response to, loss of response or intolerance to, at least one conventional or advanced UC therapy. Approximately 50% of enrolled patients had prior experience with advanced therapies and 62% had an endoscopic (MES) score of 3, indicating severe disease activity. Patients were randomized to receive either 400mg of subcutaneous (SC) rosnilimab every four weeks (Q4W), 800mg SC every two weeks (Q2W), or placebo.</w:t>
      </w:r>
    </w:p>
    <w:p>
      <w:pPr>
        <w:spacing w:after="0" w:line="121"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3"/>
          <w:szCs w:val="13"/>
          <w:color w:val="auto"/>
        </w:rPr>
        <w:t>Regardless of prior treatment, rosnilimab performed no better than placebo at Week 12, with clinical remission achieved by 7% of patients receiving rosnilimab 400mg Q4W or 800 mg Q2W, and 5% and 4% of patients achieving endoscopic remission, respectively. While preliminary data suggest an increase in remission rates between Week 12 and Week 24, Week 24 remission rates did not meet our six-month target product profile.</w:t>
      </w:r>
    </w:p>
    <w:p>
      <w:pPr>
        <w:spacing w:after="0" w:line="11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3"/>
          <w:szCs w:val="13"/>
          <w:color w:val="auto"/>
        </w:rPr>
        <w:t>Consistent with the RA Phase 2b study, blood biomarker data in the UC study for both rosnilimab doses showed ~90% depletion of pathogenic T cells at Week 12 with preliminary data suggesting these effects were sustained through Week 24. Likewise, for patients continuing in the treatment extension period (TEP), all of whom were reassigned to a less frequent, 400mg Q8W dose regimen, these reductions were sustained through Week 50.</w:t>
      </w:r>
    </w:p>
    <w:p>
      <w:pPr>
        <w:sectPr>
          <w:pgSz w:w="11900" w:h="16838" w:orient="portrait"/>
          <w:cols w:equalWidth="0" w:num="1">
            <w:col w:w="11300"/>
          </w:cols>
          <w:pgMar w:left="300" w:top="634" w:right="299" w:bottom="1440" w:gutter="0" w:footer="0" w:header="0"/>
        </w:sectPr>
      </w:pPr>
    </w:p>
    <w:bookmarkStart w:id="72" w:name="page73"/>
    <w:bookmarkEnd w:id="72"/>
    <w:p>
      <w:pPr>
        <w:ind w:right="320"/>
        <w:spacing w:after="0" w:line="281" w:lineRule="auto"/>
        <w:rPr>
          <w:sz w:val="20"/>
          <w:szCs w:val="20"/>
          <w:color w:val="auto"/>
        </w:rPr>
      </w:pPr>
      <w:r>
        <w:rPr>
          <w:rFonts w:ascii="Times New Roman" w:cs="Times New Roman" w:eastAsia="Times New Roman" w:hAnsi="Times New Roman"/>
          <w:sz w:val="13"/>
          <w:szCs w:val="13"/>
          <w:color w:val="auto"/>
        </w:rPr>
        <w:t>PD-1+ T cells were depleted in the colonic tissue at Week 12, consistent with the synovium in the RA Phase 2b study. Preliminary data show these reductions were observed equally with both induction doses, indicating the expected maximal pharmacological effect was obtained with the 400mg Q4W dose.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Rosnilimab Well Tolerated with No Safety Signals</w:t>
      </w:r>
    </w:p>
    <w:p>
      <w:pPr>
        <w:spacing w:after="0" w:line="150" w:lineRule="exact"/>
        <w:rPr>
          <w:sz w:val="20"/>
          <w:szCs w:val="20"/>
          <w:color w:val="auto"/>
        </w:rPr>
      </w:pPr>
    </w:p>
    <w:p>
      <w:pPr>
        <w:ind w:right="300"/>
        <w:spacing w:after="0" w:line="295" w:lineRule="auto"/>
        <w:rPr>
          <w:sz w:val="20"/>
          <w:szCs w:val="20"/>
          <w:color w:val="auto"/>
        </w:rPr>
      </w:pPr>
      <w:r>
        <w:rPr>
          <w:rFonts w:ascii="Times New Roman" w:cs="Times New Roman" w:eastAsia="Times New Roman" w:hAnsi="Times New Roman"/>
          <w:sz w:val="13"/>
          <w:szCs w:val="13"/>
          <w:color w:val="auto"/>
        </w:rPr>
        <w:t>Consistent with prior rosnilimab studies, a favorable safety and tolerability profile was observed, even at a 33% higher cumulative dose through 6 months in the 800mg Q2W cohort relative to the highest dose studied, 600mg Q2W, in the RA Phase 2b trial.</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data through Week 12 show –</w:t>
      </w:r>
    </w:p>
    <w:p>
      <w:pPr>
        <w:spacing w:after="0" w:line="76"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Most adverse events (AEs) were mild to moderate in severity</w:t>
      </w:r>
    </w:p>
    <w:p>
      <w:pPr>
        <w:spacing w:after="0" w:line="84"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treatment-related serious adverse events (SAEs)</w:t>
      </w:r>
    </w:p>
    <w:p>
      <w:pPr>
        <w:spacing w:after="0" w:line="75"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malignancies</w:t>
      </w:r>
    </w:p>
    <w:p>
      <w:pPr>
        <w:spacing w:after="0" w:line="84" w:lineRule="exact"/>
        <w:rPr>
          <w:rFonts w:ascii="Times New Roman" w:cs="Times New Roman" w:eastAsia="Times New Roman" w:hAnsi="Times New Roman"/>
          <w:sz w:val="13"/>
          <w:szCs w:val="13"/>
          <w:color w:val="auto"/>
        </w:rPr>
      </w:pPr>
    </w:p>
    <w:p>
      <w:pPr>
        <w:ind w:left="420" w:right="380" w:hanging="212"/>
        <w:spacing w:after="0" w:line="295" w:lineRule="auto"/>
        <w:tabs>
          <w:tab w:leader="none" w:pos="412"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MACE, other than one myocardial infarction in the 800mg Q2W dose cohort in a patient with hyperthyroidism, hypertension, glucose intolerance, and with evidence of preexisting cardiovascular disease by cardiac catheterization</w:t>
      </w:r>
    </w:p>
    <w:p>
      <w:pPr>
        <w:spacing w:after="0" w:line="19"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serious, severe or opportunistic infections, other than a bilateral anterior uveitis by CMV in the 800mg Q2W dose cohort, diagnosed in a patient with pre-existing HIV</w:t>
      </w:r>
    </w:p>
    <w:p>
      <w:pPr>
        <w:spacing w:after="0" w:line="84"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AEs of liver enzyme elevations</w:t>
      </w:r>
    </w:p>
    <w:p>
      <w:pPr>
        <w:spacing w:after="0" w:line="75"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Low incidence of injection site reactions and similar to placebo</w:t>
      </w:r>
    </w:p>
    <w:p>
      <w:pPr>
        <w:spacing w:after="0" w:line="84"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incidence of anaphylaxis or systemic hypersensitivity</w:t>
      </w:r>
    </w:p>
    <w:p>
      <w:pPr>
        <w:spacing w:after="0" w:line="157"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3"/>
          <w:szCs w:val="13"/>
          <w:color w:val="auto"/>
        </w:rPr>
        <w:t xml:space="preserve">Through Week 12, adverse events occurring in </w:t>
      </w:r>
      <w:r>
        <w:rPr>
          <w:rFonts w:ascii="Times New Roman" w:cs="Times New Roman" w:eastAsia="Times New Roman" w:hAnsi="Times New Roman"/>
          <w:sz w:val="13"/>
          <w:szCs w:val="13"/>
          <w:u w:val="single" w:color="auto"/>
          <w:color w:val="auto"/>
        </w:rPr>
        <w:t>&gt;</w:t>
      </w:r>
      <w:r>
        <w:rPr>
          <w:rFonts w:ascii="Times New Roman" w:cs="Times New Roman" w:eastAsia="Times New Roman" w:hAnsi="Times New Roman"/>
          <w:sz w:val="13"/>
          <w:szCs w:val="13"/>
          <w:color w:val="auto"/>
        </w:rPr>
        <w:t>5% of participants were nasopharyngitis, ulcerative colitis, dizziness and injection site erythema, and were all mild to moderate in severity. Rosnilimab was highly tolerable, with one patient discontinuing rosnilimab due to an AE. Separately, in the placebo cohort, there was one reported death and one case of uterine leiomyoma.</w:t>
      </w:r>
    </w:p>
    <w:p>
      <w:pPr>
        <w:spacing w:after="0" w:line="109"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3"/>
          <w:szCs w:val="13"/>
          <w:color w:val="auto"/>
        </w:rPr>
        <w:t>The ongoing safety profile, including for patients through end-of-treatment at Week 50, remains consistent with the reported profile of all rosnilimab-treated patients through Week 12 as well as what was observed in the RA study. There have been no reported cases of malignancy or additional MACE.</w:t>
      </w:r>
    </w:p>
    <w:p>
      <w:pPr>
        <w:spacing w:after="0" w:line="109" w:lineRule="exact"/>
        <w:rPr>
          <w:sz w:val="20"/>
          <w:szCs w:val="20"/>
          <w:color w:val="auto"/>
        </w:rPr>
      </w:pPr>
    </w:p>
    <w:p>
      <w:pPr>
        <w:ind w:right="360"/>
        <w:spacing w:after="0" w:line="295" w:lineRule="auto"/>
        <w:rPr>
          <w:sz w:val="20"/>
          <w:szCs w:val="20"/>
          <w:color w:val="auto"/>
        </w:rPr>
      </w:pPr>
      <w:r>
        <w:rPr>
          <w:rFonts w:ascii="Times New Roman" w:cs="Times New Roman" w:eastAsia="Times New Roman" w:hAnsi="Times New Roman"/>
          <w:sz w:val="13"/>
          <w:szCs w:val="13"/>
          <w:color w:val="auto"/>
        </w:rPr>
        <w:t>“We are sincerely grateful to the patients and clinicians who participated in this trial. Despite rosnilimab not being the appropriate therapeutic option for UC, biologic insights from these data will help further inform future rosnilimab development,” said Paul Lizzul, M.D., Ph.D., chief medical officer of Anaptys.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About Anaptys</w:t>
      </w:r>
    </w:p>
    <w:p>
      <w:pPr>
        <w:spacing w:after="0" w:line="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Anaptys is a clinical-stage biotechnology company focused on delivering innovative immunology therapeutics for autoimmune and inflammatory diseases. The company’s pipeline includes rosnilimab, a pathogenic T cell depleter, which has completed a Phase 2b trial for rheumatoid arthritis; ANB033, a CD122 antagonist, in a Phase 1b trial for celiac disease with plans to expand development into an additional indication; and ANB101, a BDCA2 modulator, in a Phase 1a trial. Anaptys has also discovered and out-licensed in financial collaborations multiple therapeutic</w:t>
      </w:r>
    </w:p>
    <w:p>
      <w:pPr>
        <w:sectPr>
          <w:pgSz w:w="11900" w:h="16838" w:orient="portrait"/>
          <w:cols w:equalWidth="0" w:num="1">
            <w:col w:w="11280"/>
          </w:cols>
          <w:pgMar w:left="300" w:top="782" w:right="319" w:bottom="1440" w:gutter="0" w:footer="0" w:header="0"/>
        </w:sectPr>
      </w:pPr>
    </w:p>
    <w:bookmarkStart w:id="73" w:name="page74"/>
    <w:bookmarkEnd w:id="73"/>
    <w:p>
      <w:pPr>
        <w:ind w:right="460"/>
        <w:spacing w:after="0" w:line="284" w:lineRule="auto"/>
        <w:rPr>
          <w:sz w:val="20"/>
          <w:szCs w:val="20"/>
          <w:color w:val="auto"/>
        </w:rPr>
      </w:pPr>
      <w:r>
        <w:rPr>
          <w:rFonts w:ascii="Times New Roman" w:cs="Times New Roman" w:eastAsia="Times New Roman" w:hAnsi="Times New Roman"/>
          <w:sz w:val="13"/>
          <w:szCs w:val="13"/>
          <w:color w:val="auto"/>
        </w:rPr>
        <w:t>antibodies, including a PD-1 antagonist (</w:t>
      </w:r>
      <w:r>
        <w:rPr>
          <w:rFonts w:ascii="Times New Roman" w:cs="Times New Roman" w:eastAsia="Times New Roman" w:hAnsi="Times New Roman"/>
          <w:sz w:val="13"/>
          <w:szCs w:val="13"/>
          <w:i w:val="1"/>
          <w:iCs w:val="1"/>
          <w:color w:val="auto"/>
        </w:rPr>
        <w:t>Jemperli</w:t>
      </w:r>
      <w:r>
        <w:rPr>
          <w:rFonts w:ascii="Times New Roman" w:cs="Times New Roman" w:eastAsia="Times New Roman" w:hAnsi="Times New Roman"/>
          <w:sz w:val="13"/>
          <w:szCs w:val="13"/>
          <w:color w:val="auto"/>
        </w:rPr>
        <w:t xml:space="preserve"> (dostarlimab-gxly)) to GSK and an IL-36R antagonist (imsidolimab) to Vanda Pharmaceuticals. To learn more, visit www.AnaptysBio.com or follow us on LinkedIn.</w:t>
      </w:r>
    </w:p>
    <w:p>
      <w:pPr>
        <w:spacing w:after="0" w:line="3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3"/>
          <w:szCs w:val="13"/>
          <w:color w:val="auto"/>
        </w:rPr>
        <w:t>Anaptys recently announced the intent to separate its biopharma operations from its substantial royalty assets by year-end 2026, enabling investors to align their investment philosophies and portfolio allocation with the strategic opportunities and financial objectives of each company. Learn more at https://ir.anaptysbio.com/news-releases/news-release-details/anaptys-announces-intent-separate-biopharma-operations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8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3"/>
          <w:szCs w:val="13"/>
          <w:color w:val="auto"/>
        </w:rPr>
        <w:t>This press release contains forward-looking statements within the meaning of the "safe harbor" provisions of the Private Securities Litigation Reform Act of 1995, including, but not limited to: the ability to find funding for continued development of rosnilimab; expectations regarding the structure, infrastructure, timing and taxation of the proposed separation of companies; year-end cash estimates; and the potential to receive any additional milestones and royalties from the GSK collaboration, and the timing therefor.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its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Contact: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Nick Montemarano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Executive Director, Investor Relations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858.732.0178</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563C1"/>
        </w:rPr>
        <w:t>investors@anaptysbio.com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240030</wp:posOffset>
            </wp:positionV>
            <wp:extent cx="2851785"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5178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60" w:hanging="214"/>
        <w:spacing w:after="0"/>
        <w:tabs>
          <w:tab w:leader="none" w:pos="260" w:val="left"/>
        </w:tabs>
        <w:numPr>
          <w:ilvl w:val="0"/>
          <w:numId w:val="3"/>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CEO Emma Walmsley, 2025 JP Morgan CEO Series fireside chat, 9/11/2025, “</w:t>
      </w:r>
      <w:r>
        <w:rPr>
          <w:rFonts w:ascii="Times New Roman" w:cs="Times New Roman" w:eastAsia="Times New Roman" w:hAnsi="Times New Roman"/>
          <w:sz w:val="8"/>
          <w:szCs w:val="8"/>
          <w:i w:val="1"/>
          <w:iCs w:val="1"/>
          <w:color w:val="auto"/>
        </w:rPr>
        <w:t>there's no change to our peak year sales overall ambition for Jemperli, that's for sure, which is far more than £2 billion</w:t>
      </w:r>
      <w:r>
        <w:rPr>
          <w:rFonts w:ascii="Times New Roman" w:cs="Times New Roman" w:eastAsia="Times New Roman" w:hAnsi="Times New Roman"/>
          <w:sz w:val="8"/>
          <w:szCs w:val="8"/>
          <w:color w:val="auto"/>
        </w:rPr>
        <w:t>.”; Converted from GBP to USD using Q3 2025 average exchange rate (1.35x)</w:t>
      </w:r>
    </w:p>
    <w:sectPr>
      <w:pgSz w:w="11900" w:h="16838" w:orient="portrait"/>
      <w:cols w:equalWidth="0" w:num="1">
        <w:col w:w="11300"/>
      </w:cols>
      <w:pgMar w:left="300" w:top="70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2025-11-10T08:13:33Z</dcterms:created>
  <dcterms:modified xsi:type="dcterms:W3CDTF">2025-11-10T08:13:33Z</dcterms:modified>
</cp:coreProperties>
</file>